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0"/>
        <w:spacing w:after="0"/>
        <w:rPr>
          <w:sz w:val="20"/>
          <w:szCs w:val="20"/>
          <w:color w:val="auto"/>
        </w:rPr>
      </w:pPr>
      <w:r>
        <w:rPr>
          <w:rFonts w:ascii="Calibri" w:cs="Calibri" w:eastAsia="Calibri" w:hAnsi="Calibri"/>
          <w:sz w:val="12"/>
          <w:szCs w:val="12"/>
          <w:color w:val="003366"/>
        </w:rPr>
        <w:t>TABLE OF CONTENTS</w:t>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August 22, 2024.</w:t>
      </w:r>
    </w:p>
    <w:p>
      <w:pPr>
        <w:spacing w:after="0" w:line="5" w:lineRule="exact"/>
        <w:rPr>
          <w:sz w:val="24"/>
          <w:szCs w:val="24"/>
          <w:color w:val="auto"/>
        </w:rPr>
      </w:pPr>
    </w:p>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Registration No. 333-        ​</w:t>
      </w:r>
    </w:p>
    <w:p>
      <w:pPr>
        <w:ind w:left="54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1905</wp:posOffset>
            </wp:positionV>
            <wp:extent cx="503682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36820" cy="13970"/>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36195</wp:posOffset>
            </wp:positionV>
            <wp:extent cx="5036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36820" cy="6985"/>
                    </a:xfrm>
                    <a:prstGeom prst="rect">
                      <a:avLst/>
                    </a:prstGeom>
                    <a:noFill/>
                  </pic:spPr>
                </pic:pic>
              </a:graphicData>
            </a:graphic>
          </wp:anchor>
        </w:drawing>
      </w:r>
    </w:p>
    <w:p>
      <w:pPr>
        <w:spacing w:after="0" w:line="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33655</wp:posOffset>
            </wp:positionV>
            <wp:extent cx="8928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S-1</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26670</wp:posOffset>
            </wp:positionV>
            <wp:extent cx="8928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ZENAS BIOPHARMA, INC.</w:t>
      </w:r>
    </w:p>
    <w:tbl>
      <w:tblPr>
        <w:tblLayout w:type="fixed"/>
        <w:tblInd w:w="540" w:type="dxa"/>
        <w:tblCellMar>
          <w:top w:w="0" w:type="dxa"/>
          <w:left w:w="0" w:type="dxa"/>
          <w:bottom w:w="0" w:type="dxa"/>
          <w:right w:w="0" w:type="dxa"/>
        </w:tblCellMar>
      </w:tblPr>
      <w:tr>
        <w:trPr>
          <w:trHeight w:val="194"/>
        </w:trPr>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r>
              <w:rPr>
                <w:rFonts w:ascii="Times New Roman" w:cs="Times New Roman" w:eastAsia="Times New Roman" w:hAnsi="Times New Roman"/>
                <w:sz w:val="14"/>
                <w:szCs w:val="14"/>
                <w:color w:val="auto"/>
              </w:rPr>
              <w:t>​</w:t>
            </w:r>
          </w:p>
        </w:tc>
        <w:tc>
          <w:tcPr>
            <w:tcW w:w="17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36"/>
        </w:trPr>
        <w:tc>
          <w:tcPr>
            <w:tcW w:w="28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20" w:type="dxa"/>
            <w:vAlign w:val="bottom"/>
          </w:tcPr>
          <w:p>
            <w:pPr>
              <w:ind w:left="720"/>
              <w:spacing w:after="0" w:line="137" w:lineRule="exact"/>
              <w:rPr>
                <w:sz w:val="20"/>
                <w:szCs w:val="20"/>
                <w:color w:val="auto"/>
              </w:rPr>
            </w:pPr>
            <w:r>
              <w:rPr>
                <w:rFonts w:ascii="Times New Roman" w:cs="Times New Roman" w:eastAsia="Times New Roman" w:hAnsi="Times New Roman"/>
                <w:sz w:val="14"/>
                <w:szCs w:val="14"/>
                <w:b w:val="1"/>
                <w:bCs w:val="1"/>
                <w:color w:val="auto"/>
              </w:rPr>
              <w:t>Delaware</w:t>
            </w:r>
          </w:p>
        </w:tc>
        <w:tc>
          <w:tcPr>
            <w:tcW w:w="380" w:type="dxa"/>
            <w:vAlign w:val="bottom"/>
          </w:tcPr>
          <w:p>
            <w:pPr>
              <w:ind w:left="280"/>
              <w:spacing w:after="0" w:line="137" w:lineRule="exact"/>
              <w:rPr>
                <w:sz w:val="20"/>
                <w:szCs w:val="20"/>
                <w:color w:val="auto"/>
              </w:rPr>
            </w:pPr>
            <w:r>
              <w:rPr>
                <w:rFonts w:ascii="Times New Roman" w:cs="Times New Roman" w:eastAsia="Times New Roman" w:hAnsi="Times New Roman"/>
                <w:sz w:val="12"/>
                <w:szCs w:val="12"/>
                <w:color w:val="auto"/>
              </w:rPr>
              <w:t>​ ​</w:t>
            </w:r>
          </w:p>
        </w:tc>
        <w:tc>
          <w:tcPr>
            <w:tcW w:w="580" w:type="dxa"/>
            <w:vAlign w:val="bottom"/>
          </w:tcPr>
          <w:p>
            <w:pPr>
              <w:spacing w:after="0"/>
              <w:rPr>
                <w:sz w:val="11"/>
                <w:szCs w:val="11"/>
                <w:color w:val="auto"/>
              </w:rPr>
            </w:pPr>
          </w:p>
        </w:tc>
        <w:tc>
          <w:tcPr>
            <w:tcW w:w="1400" w:type="dxa"/>
            <w:vAlign w:val="bottom"/>
            <w:tcBorders>
              <w:top w:val="single" w:sz="8" w:color="auto"/>
            </w:tcBorders>
          </w:tcPr>
          <w:p>
            <w:pPr>
              <w:jc w:val="right"/>
              <w:ind w:right="489"/>
              <w:spacing w:after="0" w:line="137" w:lineRule="exact"/>
              <w:rPr>
                <w:sz w:val="20"/>
                <w:szCs w:val="20"/>
                <w:color w:val="auto"/>
              </w:rPr>
            </w:pPr>
            <w:r>
              <w:rPr>
                <w:rFonts w:ascii="Times New Roman" w:cs="Times New Roman" w:eastAsia="Times New Roman" w:hAnsi="Times New Roman"/>
                <w:sz w:val="14"/>
                <w:szCs w:val="14"/>
                <w:b w:val="1"/>
                <w:bCs w:val="1"/>
                <w:color w:val="auto"/>
              </w:rPr>
              <w:t>2834</w:t>
            </w:r>
          </w:p>
        </w:tc>
        <w:tc>
          <w:tcPr>
            <w:tcW w:w="320" w:type="dxa"/>
            <w:vAlign w:val="bottom"/>
          </w:tcPr>
          <w:p>
            <w:pPr>
              <w:spacing w:after="0"/>
              <w:rPr>
                <w:sz w:val="11"/>
                <w:szCs w:val="11"/>
                <w:color w:val="auto"/>
              </w:rPr>
            </w:pPr>
          </w:p>
        </w:tc>
        <w:tc>
          <w:tcPr>
            <w:tcW w:w="800" w:type="dxa"/>
            <w:vAlign w:val="bottom"/>
          </w:tcPr>
          <w:p>
            <w:pPr>
              <w:ind w:left="280"/>
              <w:spacing w:after="0" w:line="137" w:lineRule="exact"/>
              <w:rPr>
                <w:sz w:val="20"/>
                <w:szCs w:val="20"/>
                <w:color w:val="auto"/>
              </w:rPr>
            </w:pPr>
            <w:r>
              <w:rPr>
                <w:rFonts w:ascii="Times New Roman" w:cs="Times New Roman" w:eastAsia="Times New Roman" w:hAnsi="Times New Roman"/>
                <w:sz w:val="12"/>
                <w:szCs w:val="12"/>
                <w:color w:val="auto"/>
              </w:rPr>
              <w:t>​ ​</w:t>
            </w:r>
          </w:p>
        </w:tc>
        <w:tc>
          <w:tcPr>
            <w:tcW w:w="1740" w:type="dxa"/>
            <w:vAlign w:val="bottom"/>
          </w:tcPr>
          <w:p>
            <w:pPr>
              <w:jc w:val="right"/>
              <w:ind w:right="477"/>
              <w:spacing w:after="0" w:line="137" w:lineRule="exact"/>
              <w:rPr>
                <w:sz w:val="20"/>
                <w:szCs w:val="20"/>
                <w:color w:val="auto"/>
              </w:rPr>
            </w:pPr>
            <w:r>
              <w:rPr>
                <w:rFonts w:ascii="Times New Roman" w:cs="Times New Roman" w:eastAsia="Times New Roman" w:hAnsi="Times New Roman"/>
                <w:sz w:val="14"/>
                <w:szCs w:val="14"/>
                <w:b w:val="1"/>
                <w:bCs w:val="1"/>
                <w:color w:val="auto"/>
              </w:rPr>
              <w:t>93-2749244</w:t>
            </w:r>
          </w:p>
        </w:tc>
        <w:tc>
          <w:tcPr>
            <w:tcW w:w="420" w:type="dxa"/>
            <w:vAlign w:val="bottom"/>
          </w:tcPr>
          <w:p>
            <w:pPr>
              <w:ind w:left="40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17"/>
        </w:trPr>
        <w:tc>
          <w:tcPr>
            <w:tcW w:w="280" w:type="dxa"/>
            <w:vAlign w:val="bottom"/>
          </w:tcPr>
          <w:p>
            <w:pPr>
              <w:spacing w:after="0"/>
              <w:rPr>
                <w:sz w:val="10"/>
                <w:szCs w:val="10"/>
                <w:color w:val="auto"/>
              </w:rPr>
            </w:pPr>
          </w:p>
        </w:tc>
        <w:tc>
          <w:tcPr>
            <w:tcW w:w="2020" w:type="dxa"/>
            <w:vAlign w:val="bottom"/>
          </w:tcPr>
          <w:p>
            <w:pPr>
              <w:ind w:left="260"/>
              <w:spacing w:after="0" w:line="117" w:lineRule="exact"/>
              <w:rPr>
                <w:sz w:val="20"/>
                <w:szCs w:val="20"/>
                <w:color w:val="auto"/>
              </w:rPr>
            </w:pPr>
            <w:r>
              <w:rPr>
                <w:rFonts w:ascii="Times New Roman" w:cs="Times New Roman" w:eastAsia="Times New Roman" w:hAnsi="Times New Roman"/>
                <w:sz w:val="12"/>
                <w:szCs w:val="12"/>
                <w:color w:val="auto"/>
              </w:rPr>
              <w:t>(State or other jurisdiction of</w:t>
            </w:r>
          </w:p>
        </w:tc>
        <w:tc>
          <w:tcPr>
            <w:tcW w:w="380" w:type="dxa"/>
            <w:vAlign w:val="bottom"/>
          </w:tcPr>
          <w:p>
            <w:pPr>
              <w:spacing w:after="0"/>
              <w:rPr>
                <w:sz w:val="10"/>
                <w:szCs w:val="10"/>
                <w:color w:val="auto"/>
              </w:rPr>
            </w:pPr>
          </w:p>
        </w:tc>
        <w:tc>
          <w:tcPr>
            <w:tcW w:w="2300" w:type="dxa"/>
            <w:vAlign w:val="bottom"/>
            <w:gridSpan w:val="3"/>
          </w:tcPr>
          <w:p>
            <w:pPr>
              <w:ind w:left="560"/>
              <w:spacing w:after="0" w:line="117" w:lineRule="exact"/>
              <w:rPr>
                <w:sz w:val="20"/>
                <w:szCs w:val="20"/>
                <w:color w:val="auto"/>
              </w:rPr>
            </w:pPr>
            <w:r>
              <w:rPr>
                <w:rFonts w:ascii="Times New Roman" w:cs="Times New Roman" w:eastAsia="Times New Roman" w:hAnsi="Times New Roman"/>
                <w:sz w:val="12"/>
                <w:szCs w:val="12"/>
                <w:color w:val="auto"/>
              </w:rPr>
              <w:t>(Primary Standard Industrial</w:t>
            </w:r>
          </w:p>
        </w:tc>
        <w:tc>
          <w:tcPr>
            <w:tcW w:w="800" w:type="dxa"/>
            <w:vAlign w:val="bottom"/>
          </w:tcPr>
          <w:p>
            <w:pPr>
              <w:spacing w:after="0"/>
              <w:rPr>
                <w:sz w:val="10"/>
                <w:szCs w:val="10"/>
                <w:color w:val="auto"/>
              </w:rPr>
            </w:pPr>
          </w:p>
        </w:tc>
        <w:tc>
          <w:tcPr>
            <w:tcW w:w="17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rPr>
              <w:t>(I.R.S. Employer</w:t>
            </w:r>
          </w:p>
        </w:tc>
        <w:tc>
          <w:tcPr>
            <w:tcW w:w="420" w:type="dxa"/>
            <w:vAlign w:val="bottom"/>
          </w:tcPr>
          <w:p>
            <w:pPr>
              <w:spacing w:after="0"/>
              <w:rPr>
                <w:sz w:val="10"/>
                <w:szCs w:val="10"/>
                <w:color w:val="auto"/>
              </w:rPr>
            </w:pPr>
          </w:p>
        </w:tc>
      </w:tr>
      <w:tr>
        <w:trPr>
          <w:trHeight w:val="185"/>
        </w:trPr>
        <w:tc>
          <w:tcPr>
            <w:tcW w:w="280" w:type="dxa"/>
            <w:vAlign w:val="bottom"/>
          </w:tcPr>
          <w:p>
            <w:pPr>
              <w:spacing w:after="0"/>
              <w:rPr>
                <w:sz w:val="16"/>
                <w:szCs w:val="16"/>
                <w:color w:val="auto"/>
              </w:rPr>
            </w:pPr>
          </w:p>
        </w:tc>
        <w:tc>
          <w:tcPr>
            <w:tcW w:w="20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incorporation or organization)</w:t>
            </w: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2300" w:type="dxa"/>
            <w:vAlign w:val="bottom"/>
            <w:gridSpan w:val="3"/>
          </w:tcPr>
          <w:p>
            <w:pPr>
              <w:ind w:left="560"/>
              <w:spacing w:after="0"/>
              <w:rPr>
                <w:sz w:val="20"/>
                <w:szCs w:val="20"/>
                <w:color w:val="auto"/>
              </w:rPr>
            </w:pPr>
            <w:r>
              <w:rPr>
                <w:rFonts w:ascii="Times New Roman" w:cs="Times New Roman" w:eastAsia="Times New Roman" w:hAnsi="Times New Roman"/>
                <w:sz w:val="12"/>
                <w:szCs w:val="12"/>
                <w:color w:val="auto"/>
              </w:rPr>
              <w:t>Classification Code Number)</w:t>
            </w: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Identification No.)</w:t>
            </w:r>
          </w:p>
        </w:tc>
        <w:tc>
          <w:tcPr>
            <w:tcW w:w="420" w:type="dxa"/>
            <w:vAlign w:val="bottom"/>
          </w:tcPr>
          <w:p>
            <w:pPr>
              <w:spacing w:after="0"/>
              <w:rPr>
                <w:sz w:val="16"/>
                <w:szCs w:val="16"/>
                <w:color w:val="auto"/>
              </w:rPr>
            </w:pPr>
          </w:p>
        </w:tc>
      </w:tr>
    </w:tbl>
    <w:p>
      <w:pPr>
        <w:spacing w:after="0" w:line="11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auto"/>
        </w:rPr>
        <w:t>1000 Winter Street, North Building, Suite 1200</w:t>
      </w:r>
    </w:p>
    <w:p>
      <w:pPr>
        <w:spacing w:after="0" w:line="4"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Waltham, MA 02451</w:t>
      </w:r>
    </w:p>
    <w:p>
      <w:pPr>
        <w:ind w:left="4080"/>
        <w:spacing w:after="0"/>
        <w:rPr>
          <w:sz w:val="20"/>
          <w:szCs w:val="20"/>
          <w:color w:val="auto"/>
        </w:rPr>
      </w:pPr>
      <w:r>
        <w:rPr>
          <w:rFonts w:ascii="Times New Roman" w:cs="Times New Roman" w:eastAsia="Times New Roman" w:hAnsi="Times New Roman"/>
          <w:sz w:val="14"/>
          <w:szCs w:val="14"/>
          <w:b w:val="1"/>
          <w:bCs w:val="1"/>
          <w:color w:val="auto"/>
        </w:rPr>
        <w:t>(857) 271-2954</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27305</wp:posOffset>
            </wp:positionV>
            <wp:extent cx="8928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65"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Leon O. Moulder, Jr.</w:t>
      </w:r>
    </w:p>
    <w:p>
      <w:pPr>
        <w:spacing w:after="0" w:line="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ind w:left="3140"/>
        <w:spacing w:after="0" w:line="229" w:lineRule="auto"/>
        <w:rPr>
          <w:sz w:val="20"/>
          <w:szCs w:val="20"/>
          <w:color w:val="auto"/>
        </w:rPr>
      </w:pPr>
      <w:r>
        <w:rPr>
          <w:rFonts w:ascii="Times New Roman" w:cs="Times New Roman" w:eastAsia="Times New Roman" w:hAnsi="Times New Roman"/>
          <w:sz w:val="14"/>
          <w:szCs w:val="14"/>
          <w:b w:val="1"/>
          <w:bCs w:val="1"/>
          <w:color w:val="auto"/>
        </w:rPr>
        <w:t>1000 Winter Street, North Building, Suite 1200</w:t>
      </w:r>
    </w:p>
    <w:p>
      <w:pPr>
        <w:ind w:left="3880"/>
        <w:spacing w:after="0" w:line="229" w:lineRule="auto"/>
        <w:rPr>
          <w:sz w:val="20"/>
          <w:szCs w:val="20"/>
          <w:color w:val="auto"/>
        </w:rPr>
      </w:pPr>
      <w:r>
        <w:rPr>
          <w:rFonts w:ascii="Times New Roman" w:cs="Times New Roman" w:eastAsia="Times New Roman" w:hAnsi="Times New Roman"/>
          <w:sz w:val="14"/>
          <w:szCs w:val="14"/>
          <w:b w:val="1"/>
          <w:bCs w:val="1"/>
          <w:color w:val="auto"/>
        </w:rPr>
        <w:t>Waltham, MA 02451</w:t>
      </w:r>
    </w:p>
    <w:p>
      <w:pPr>
        <w:ind w:left="4080"/>
        <w:spacing w:after="0"/>
        <w:rPr>
          <w:sz w:val="20"/>
          <w:szCs w:val="20"/>
          <w:color w:val="auto"/>
        </w:rPr>
      </w:pPr>
      <w:r>
        <w:rPr>
          <w:rFonts w:ascii="Times New Roman" w:cs="Times New Roman" w:eastAsia="Times New Roman" w:hAnsi="Times New Roman"/>
          <w:sz w:val="14"/>
          <w:szCs w:val="14"/>
          <w:b w:val="1"/>
          <w:bCs w:val="1"/>
          <w:color w:val="auto"/>
        </w:rPr>
        <w:t>(857) 271-2954</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34290</wp:posOffset>
            </wp:positionV>
            <wp:extent cx="8928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76" w:lineRule="exact"/>
        <w:rPr>
          <w:sz w:val="24"/>
          <w:szCs w:val="24"/>
          <w:color w:val="auto"/>
        </w:rPr>
      </w:pPr>
    </w:p>
    <w:tbl>
      <w:tblPr>
        <w:tblLayout w:type="fixed"/>
        <w:tblInd w:w="540" w:type="dxa"/>
        <w:tblCellMar>
          <w:top w:w="0" w:type="dxa"/>
          <w:left w:w="0" w:type="dxa"/>
          <w:bottom w:w="0" w:type="dxa"/>
          <w:right w:w="0" w:type="dxa"/>
        </w:tblCellMar>
      </w:tblPr>
      <w:tr>
        <w:trPr>
          <w:trHeight w:val="187"/>
        </w:trPr>
        <w:tc>
          <w:tcPr>
            <w:tcW w:w="6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Copies to:</w:t>
            </w:r>
          </w:p>
        </w:tc>
        <w:tc>
          <w:tcPr>
            <w:tcW w:w="24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78"/>
        </w:trPr>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6"/>
              </w:rPr>
              <w:t>Thomas Danielski</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24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Richard Segal</w:t>
            </w:r>
          </w:p>
        </w:tc>
        <w:tc>
          <w:tcPr>
            <w:tcW w:w="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43"/>
        </w:trPr>
        <w:tc>
          <w:tcPr>
            <w:tcW w:w="620" w:type="dxa"/>
            <w:vAlign w:val="bottom"/>
          </w:tcPr>
          <w:p>
            <w:pPr>
              <w:spacing w:after="0"/>
              <w:rPr>
                <w:sz w:val="12"/>
                <w:szCs w:val="12"/>
                <w:color w:val="auto"/>
              </w:rPr>
            </w:pPr>
          </w:p>
        </w:tc>
        <w:tc>
          <w:tcPr>
            <w:tcW w:w="25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Paul Kinsella</w:t>
            </w:r>
          </w:p>
        </w:tc>
        <w:tc>
          <w:tcPr>
            <w:tcW w:w="1660" w:type="dxa"/>
            <w:vAlign w:val="bottom"/>
          </w:tcPr>
          <w:p>
            <w:pPr>
              <w:spacing w:after="0"/>
              <w:rPr>
                <w:sz w:val="12"/>
                <w:szCs w:val="12"/>
                <w:color w:val="auto"/>
              </w:rPr>
            </w:pPr>
          </w:p>
        </w:tc>
        <w:tc>
          <w:tcPr>
            <w:tcW w:w="2440" w:type="dxa"/>
            <w:vAlign w:val="bottom"/>
          </w:tcPr>
          <w:p>
            <w:pPr>
              <w:jc w:val="center"/>
              <w:ind w:right="49"/>
              <w:spacing w:after="0" w:line="143" w:lineRule="exact"/>
              <w:rPr>
                <w:sz w:val="20"/>
                <w:szCs w:val="20"/>
                <w:color w:val="auto"/>
              </w:rPr>
            </w:pPr>
            <w:r>
              <w:rPr>
                <w:rFonts w:ascii="Times New Roman" w:cs="Times New Roman" w:eastAsia="Times New Roman" w:hAnsi="Times New Roman"/>
                <w:sz w:val="14"/>
                <w:szCs w:val="14"/>
                <w:b w:val="1"/>
                <w:bCs w:val="1"/>
                <w:color w:val="auto"/>
                <w:w w:val="95"/>
              </w:rPr>
              <w:t>Denny Won</w:t>
            </w:r>
          </w:p>
        </w:tc>
        <w:tc>
          <w:tcPr>
            <w:tcW w:w="720" w:type="dxa"/>
            <w:vAlign w:val="bottom"/>
          </w:tcPr>
          <w:p>
            <w:pPr>
              <w:spacing w:after="0"/>
              <w:rPr>
                <w:sz w:val="12"/>
                <w:szCs w:val="12"/>
                <w:color w:val="auto"/>
              </w:rPr>
            </w:pPr>
          </w:p>
        </w:tc>
      </w:tr>
      <w:tr>
        <w:trPr>
          <w:trHeight w:val="143"/>
        </w:trPr>
        <w:tc>
          <w:tcPr>
            <w:tcW w:w="620" w:type="dxa"/>
            <w:vAlign w:val="bottom"/>
          </w:tcPr>
          <w:p>
            <w:pPr>
              <w:spacing w:after="0"/>
              <w:rPr>
                <w:sz w:val="12"/>
                <w:szCs w:val="12"/>
                <w:color w:val="auto"/>
              </w:rPr>
            </w:pPr>
          </w:p>
        </w:tc>
        <w:tc>
          <w:tcPr>
            <w:tcW w:w="25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Nicholas Roper</w:t>
            </w:r>
          </w:p>
        </w:tc>
        <w:tc>
          <w:tcPr>
            <w:tcW w:w="1660" w:type="dxa"/>
            <w:vAlign w:val="bottom"/>
          </w:tcPr>
          <w:p>
            <w:pPr>
              <w:spacing w:after="0"/>
              <w:rPr>
                <w:sz w:val="12"/>
                <w:szCs w:val="12"/>
                <w:color w:val="auto"/>
              </w:rPr>
            </w:pPr>
          </w:p>
        </w:tc>
        <w:tc>
          <w:tcPr>
            <w:tcW w:w="2440" w:type="dxa"/>
            <w:vAlign w:val="bottom"/>
          </w:tcPr>
          <w:p>
            <w:pPr>
              <w:jc w:val="center"/>
              <w:ind w:right="49"/>
              <w:spacing w:after="0" w:line="143" w:lineRule="exact"/>
              <w:rPr>
                <w:sz w:val="20"/>
                <w:szCs w:val="20"/>
                <w:color w:val="auto"/>
              </w:rPr>
            </w:pPr>
            <w:r>
              <w:rPr>
                <w:rFonts w:ascii="Times New Roman" w:cs="Times New Roman" w:eastAsia="Times New Roman" w:hAnsi="Times New Roman"/>
                <w:sz w:val="14"/>
                <w:szCs w:val="14"/>
                <w:b w:val="1"/>
                <w:bCs w:val="1"/>
                <w:color w:val="auto"/>
                <w:w w:val="97"/>
              </w:rPr>
              <w:t>Divakar Gupta</w:t>
            </w:r>
          </w:p>
        </w:tc>
        <w:tc>
          <w:tcPr>
            <w:tcW w:w="720" w:type="dxa"/>
            <w:vAlign w:val="bottom"/>
          </w:tcPr>
          <w:p>
            <w:pPr>
              <w:spacing w:after="0"/>
              <w:rPr>
                <w:sz w:val="12"/>
                <w:szCs w:val="12"/>
                <w:color w:val="auto"/>
              </w:rPr>
            </w:pPr>
          </w:p>
        </w:tc>
      </w:tr>
      <w:tr>
        <w:trPr>
          <w:trHeight w:val="143"/>
        </w:trPr>
        <w:tc>
          <w:tcPr>
            <w:tcW w:w="620" w:type="dxa"/>
            <w:vAlign w:val="bottom"/>
          </w:tcPr>
          <w:p>
            <w:pPr>
              <w:spacing w:after="0"/>
              <w:rPr>
                <w:sz w:val="12"/>
                <w:szCs w:val="12"/>
                <w:color w:val="auto"/>
              </w:rPr>
            </w:pPr>
          </w:p>
        </w:tc>
        <w:tc>
          <w:tcPr>
            <w:tcW w:w="25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Ropes &amp; Gray LLP</w:t>
            </w:r>
          </w:p>
        </w:tc>
        <w:tc>
          <w:tcPr>
            <w:tcW w:w="1660" w:type="dxa"/>
            <w:vAlign w:val="bottom"/>
          </w:tcPr>
          <w:p>
            <w:pPr>
              <w:spacing w:after="0"/>
              <w:rPr>
                <w:sz w:val="12"/>
                <w:szCs w:val="12"/>
                <w:color w:val="auto"/>
              </w:rPr>
            </w:pPr>
          </w:p>
        </w:tc>
        <w:tc>
          <w:tcPr>
            <w:tcW w:w="2440" w:type="dxa"/>
            <w:vAlign w:val="bottom"/>
          </w:tcPr>
          <w:p>
            <w:pPr>
              <w:jc w:val="center"/>
              <w:ind w:right="49"/>
              <w:spacing w:after="0" w:line="143" w:lineRule="exact"/>
              <w:rPr>
                <w:sz w:val="20"/>
                <w:szCs w:val="20"/>
                <w:color w:val="auto"/>
              </w:rPr>
            </w:pPr>
            <w:r>
              <w:rPr>
                <w:rFonts w:ascii="Times New Roman" w:cs="Times New Roman" w:eastAsia="Times New Roman" w:hAnsi="Times New Roman"/>
                <w:sz w:val="14"/>
                <w:szCs w:val="14"/>
                <w:b w:val="1"/>
                <w:bCs w:val="1"/>
                <w:color w:val="auto"/>
                <w:w w:val="96"/>
              </w:rPr>
              <w:t>Evan Leitner</w:t>
            </w:r>
          </w:p>
        </w:tc>
        <w:tc>
          <w:tcPr>
            <w:tcW w:w="720" w:type="dxa"/>
            <w:vAlign w:val="bottom"/>
          </w:tcPr>
          <w:p>
            <w:pPr>
              <w:spacing w:after="0"/>
              <w:rPr>
                <w:sz w:val="12"/>
                <w:szCs w:val="12"/>
                <w:color w:val="auto"/>
              </w:rPr>
            </w:pPr>
          </w:p>
        </w:tc>
      </w:tr>
      <w:tr>
        <w:trPr>
          <w:trHeight w:val="143"/>
        </w:trPr>
        <w:tc>
          <w:tcPr>
            <w:tcW w:w="620" w:type="dxa"/>
            <w:vAlign w:val="bottom"/>
          </w:tcPr>
          <w:p>
            <w:pPr>
              <w:spacing w:after="0"/>
              <w:rPr>
                <w:sz w:val="12"/>
                <w:szCs w:val="12"/>
                <w:color w:val="auto"/>
              </w:rPr>
            </w:pPr>
          </w:p>
        </w:tc>
        <w:tc>
          <w:tcPr>
            <w:tcW w:w="25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Prudential Tower</w:t>
            </w:r>
          </w:p>
        </w:tc>
        <w:tc>
          <w:tcPr>
            <w:tcW w:w="1660" w:type="dxa"/>
            <w:vAlign w:val="bottom"/>
          </w:tcPr>
          <w:p>
            <w:pPr>
              <w:spacing w:after="0"/>
              <w:rPr>
                <w:sz w:val="12"/>
                <w:szCs w:val="12"/>
                <w:color w:val="auto"/>
              </w:rPr>
            </w:pPr>
          </w:p>
        </w:tc>
        <w:tc>
          <w:tcPr>
            <w:tcW w:w="2440" w:type="dxa"/>
            <w:vAlign w:val="bottom"/>
          </w:tcPr>
          <w:p>
            <w:pPr>
              <w:jc w:val="center"/>
              <w:ind w:right="49"/>
              <w:spacing w:after="0" w:line="143" w:lineRule="exact"/>
              <w:rPr>
                <w:sz w:val="20"/>
                <w:szCs w:val="20"/>
                <w:color w:val="auto"/>
              </w:rPr>
            </w:pPr>
            <w:r>
              <w:rPr>
                <w:rFonts w:ascii="Times New Roman" w:cs="Times New Roman" w:eastAsia="Times New Roman" w:hAnsi="Times New Roman"/>
                <w:sz w:val="14"/>
                <w:szCs w:val="14"/>
                <w:b w:val="1"/>
                <w:bCs w:val="1"/>
                <w:color w:val="auto"/>
              </w:rPr>
              <w:t>Cooley LLP</w:t>
            </w:r>
          </w:p>
        </w:tc>
        <w:tc>
          <w:tcPr>
            <w:tcW w:w="720" w:type="dxa"/>
            <w:vAlign w:val="bottom"/>
          </w:tcPr>
          <w:p>
            <w:pPr>
              <w:spacing w:after="0"/>
              <w:rPr>
                <w:sz w:val="12"/>
                <w:szCs w:val="12"/>
                <w:color w:val="auto"/>
              </w:rPr>
            </w:pPr>
          </w:p>
        </w:tc>
      </w:tr>
      <w:tr>
        <w:trPr>
          <w:trHeight w:val="143"/>
        </w:trPr>
        <w:tc>
          <w:tcPr>
            <w:tcW w:w="620" w:type="dxa"/>
            <w:vAlign w:val="bottom"/>
          </w:tcPr>
          <w:p>
            <w:pPr>
              <w:spacing w:after="0"/>
              <w:rPr>
                <w:sz w:val="12"/>
                <w:szCs w:val="12"/>
                <w:color w:val="auto"/>
              </w:rPr>
            </w:pPr>
          </w:p>
        </w:tc>
        <w:tc>
          <w:tcPr>
            <w:tcW w:w="2520" w:type="dxa"/>
            <w:vAlign w:val="bottom"/>
          </w:tcPr>
          <w:p>
            <w:pPr>
              <w:jc w:val="center"/>
              <w:ind w:left="9"/>
              <w:spacing w:after="0" w:line="143" w:lineRule="exact"/>
              <w:rPr>
                <w:sz w:val="20"/>
                <w:szCs w:val="20"/>
                <w:color w:val="auto"/>
              </w:rPr>
            </w:pPr>
            <w:r>
              <w:rPr>
                <w:rFonts w:ascii="Times New Roman" w:cs="Times New Roman" w:eastAsia="Times New Roman" w:hAnsi="Times New Roman"/>
                <w:sz w:val="14"/>
                <w:szCs w:val="14"/>
                <w:b w:val="1"/>
                <w:bCs w:val="1"/>
                <w:color w:val="auto"/>
                <w:w w:val="96"/>
              </w:rPr>
              <w:t>800 Boylston Street</w:t>
            </w:r>
          </w:p>
        </w:tc>
        <w:tc>
          <w:tcPr>
            <w:tcW w:w="1660" w:type="dxa"/>
            <w:vAlign w:val="bottom"/>
          </w:tcPr>
          <w:p>
            <w:pPr>
              <w:spacing w:after="0"/>
              <w:rPr>
                <w:sz w:val="12"/>
                <w:szCs w:val="12"/>
                <w:color w:val="auto"/>
              </w:rPr>
            </w:pPr>
          </w:p>
        </w:tc>
        <w:tc>
          <w:tcPr>
            <w:tcW w:w="2440" w:type="dxa"/>
            <w:vAlign w:val="bottom"/>
          </w:tcPr>
          <w:p>
            <w:pPr>
              <w:jc w:val="center"/>
              <w:ind w:right="49"/>
              <w:spacing w:after="0" w:line="143" w:lineRule="exact"/>
              <w:rPr>
                <w:sz w:val="20"/>
                <w:szCs w:val="20"/>
                <w:color w:val="auto"/>
              </w:rPr>
            </w:pPr>
            <w:r>
              <w:rPr>
                <w:rFonts w:ascii="Times New Roman" w:cs="Times New Roman" w:eastAsia="Times New Roman" w:hAnsi="Times New Roman"/>
                <w:sz w:val="14"/>
                <w:szCs w:val="14"/>
                <w:b w:val="1"/>
                <w:bCs w:val="1"/>
                <w:color w:val="auto"/>
                <w:w w:val="95"/>
              </w:rPr>
              <w:t>55 Hudson Yards</w:t>
            </w:r>
          </w:p>
        </w:tc>
        <w:tc>
          <w:tcPr>
            <w:tcW w:w="720" w:type="dxa"/>
            <w:vAlign w:val="bottom"/>
          </w:tcPr>
          <w:p>
            <w:pPr>
              <w:spacing w:after="0"/>
              <w:rPr>
                <w:sz w:val="12"/>
                <w:szCs w:val="12"/>
                <w:color w:val="auto"/>
              </w:rPr>
            </w:pPr>
          </w:p>
        </w:tc>
      </w:tr>
      <w:tr>
        <w:trPr>
          <w:trHeight w:val="132"/>
        </w:trPr>
        <w:tc>
          <w:tcPr>
            <w:tcW w:w="620" w:type="dxa"/>
            <w:vAlign w:val="bottom"/>
          </w:tcPr>
          <w:p>
            <w:pPr>
              <w:spacing w:after="0"/>
              <w:rPr>
                <w:sz w:val="11"/>
                <w:szCs w:val="11"/>
                <w:color w:val="auto"/>
              </w:rPr>
            </w:pPr>
          </w:p>
        </w:tc>
        <w:tc>
          <w:tcPr>
            <w:tcW w:w="2520" w:type="dxa"/>
            <w:vAlign w:val="bottom"/>
          </w:tcPr>
          <w:p>
            <w:pPr>
              <w:jc w:val="center"/>
              <w:ind w:left="9"/>
              <w:spacing w:after="0" w:line="132" w:lineRule="exact"/>
              <w:rPr>
                <w:sz w:val="20"/>
                <w:szCs w:val="20"/>
                <w:color w:val="auto"/>
              </w:rPr>
            </w:pPr>
            <w:r>
              <w:rPr>
                <w:rFonts w:ascii="Times New Roman" w:cs="Times New Roman" w:eastAsia="Times New Roman" w:hAnsi="Times New Roman"/>
                <w:sz w:val="14"/>
                <w:szCs w:val="14"/>
                <w:b w:val="1"/>
                <w:bCs w:val="1"/>
                <w:color w:val="auto"/>
                <w:w w:val="98"/>
              </w:rPr>
              <w:t>Boston, MA 02199-3600</w:t>
            </w:r>
          </w:p>
        </w:tc>
        <w:tc>
          <w:tcPr>
            <w:tcW w:w="1660" w:type="dxa"/>
            <w:vAlign w:val="bottom"/>
          </w:tcPr>
          <w:p>
            <w:pPr>
              <w:spacing w:after="0"/>
              <w:rPr>
                <w:sz w:val="11"/>
                <w:szCs w:val="11"/>
                <w:color w:val="auto"/>
              </w:rPr>
            </w:pPr>
          </w:p>
        </w:tc>
        <w:tc>
          <w:tcPr>
            <w:tcW w:w="2440" w:type="dxa"/>
            <w:vAlign w:val="bottom"/>
          </w:tcPr>
          <w:p>
            <w:pPr>
              <w:jc w:val="center"/>
              <w:ind w:right="49"/>
              <w:spacing w:after="0" w:line="132" w:lineRule="exact"/>
              <w:rPr>
                <w:sz w:val="20"/>
                <w:szCs w:val="20"/>
                <w:color w:val="auto"/>
              </w:rPr>
            </w:pPr>
            <w:r>
              <w:rPr>
                <w:rFonts w:ascii="Times New Roman" w:cs="Times New Roman" w:eastAsia="Times New Roman" w:hAnsi="Times New Roman"/>
                <w:sz w:val="14"/>
                <w:szCs w:val="14"/>
                <w:b w:val="1"/>
                <w:bCs w:val="1"/>
                <w:color w:val="auto"/>
                <w:w w:val="97"/>
              </w:rPr>
              <w:t>New York, NY 10001</w:t>
            </w:r>
          </w:p>
        </w:tc>
        <w:tc>
          <w:tcPr>
            <w:tcW w:w="720" w:type="dxa"/>
            <w:vAlign w:val="bottom"/>
          </w:tcPr>
          <w:p>
            <w:pPr>
              <w:spacing w:after="0"/>
              <w:rPr>
                <w:sz w:val="11"/>
                <w:szCs w:val="11"/>
                <w:color w:val="auto"/>
              </w:rPr>
            </w:pPr>
          </w:p>
        </w:tc>
      </w:tr>
      <w:tr>
        <w:trPr>
          <w:trHeight w:val="187"/>
        </w:trPr>
        <w:tc>
          <w:tcPr>
            <w:tcW w:w="620" w:type="dxa"/>
            <w:vAlign w:val="bottom"/>
          </w:tcPr>
          <w:p>
            <w:pPr>
              <w:spacing w:after="0"/>
              <w:rPr>
                <w:sz w:val="16"/>
                <w:szCs w:val="16"/>
                <w:color w:val="auto"/>
              </w:rPr>
            </w:pPr>
          </w:p>
        </w:tc>
        <w:tc>
          <w:tcPr>
            <w:tcW w:w="252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8"/>
              </w:rPr>
              <w:t>(617) 951-7000</w:t>
            </w:r>
          </w:p>
        </w:tc>
        <w:tc>
          <w:tcPr>
            <w:tcW w:w="1660" w:type="dxa"/>
            <w:vAlign w:val="bottom"/>
          </w:tcPr>
          <w:p>
            <w:pPr>
              <w:spacing w:after="0"/>
              <w:rPr>
                <w:sz w:val="16"/>
                <w:szCs w:val="16"/>
                <w:color w:val="auto"/>
              </w:rPr>
            </w:pPr>
          </w:p>
        </w:tc>
        <w:tc>
          <w:tcPr>
            <w:tcW w:w="24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5"/>
              </w:rPr>
              <w:t>(212) 479-6000</w:t>
            </w:r>
          </w:p>
        </w:tc>
        <w:tc>
          <w:tcPr>
            <w:tcW w:w="7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104775</wp:posOffset>
            </wp:positionV>
            <wp:extent cx="8928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soon as practicable after the effective date of this Registration Statement.</w:t>
      </w:r>
    </w:p>
    <w:p>
      <w:pPr>
        <w:spacing w:after="0" w:line="32" w:lineRule="exact"/>
        <w:rPr>
          <w:sz w:val="24"/>
          <w:szCs w:val="24"/>
          <w:color w:val="auto"/>
        </w:rPr>
      </w:pPr>
    </w:p>
    <w:p>
      <w:pPr>
        <w:jc w:val="both"/>
        <w:ind w:left="540" w:right="559"/>
        <w:spacing w:after="0" w:line="180"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4" w:lineRule="exact"/>
        <w:rPr>
          <w:sz w:val="24"/>
          <w:szCs w:val="24"/>
          <w:color w:val="auto"/>
        </w:rPr>
      </w:pPr>
    </w:p>
    <w:p>
      <w:pPr>
        <w:jc w:val="both"/>
        <w:ind w:left="540" w:right="559"/>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53" w:lineRule="exact"/>
        <w:rPr>
          <w:sz w:val="24"/>
          <w:szCs w:val="24"/>
          <w:color w:val="auto"/>
        </w:rPr>
      </w:pPr>
    </w:p>
    <w:p>
      <w:pPr>
        <w:jc w:val="both"/>
        <w:ind w:left="540" w:right="559"/>
        <w:spacing w:after="0" w:line="180"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 w:lineRule="exact"/>
        <w:rPr>
          <w:sz w:val="24"/>
          <w:szCs w:val="24"/>
          <w:color w:val="auto"/>
        </w:rPr>
      </w:pPr>
    </w:p>
    <w:p>
      <w:pPr>
        <w:jc w:val="both"/>
        <w:ind w:left="540" w:right="559"/>
        <w:spacing w:after="0" w:line="180"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jc w:val="both"/>
        <w:ind w:left="540" w:right="559"/>
        <w:spacing w:after="0" w:line="24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540" w:type="dxa"/>
        <w:tblCellMar>
          <w:top w:w="0" w:type="dxa"/>
          <w:left w:w="0" w:type="dxa"/>
          <w:bottom w:w="0" w:type="dxa"/>
          <w:right w:w="0" w:type="dxa"/>
        </w:tblCellMar>
      </w:tblPr>
      <w:tr>
        <w:trPr>
          <w:trHeight w:val="185"/>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40" w:type="dxa"/>
            <w:vAlign w:val="bottom"/>
          </w:tcPr>
          <w:p>
            <w:pPr>
              <w:jc w:val="right"/>
              <w:ind w:right="27"/>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t>
            </w:r>
          </w:p>
        </w:tc>
        <w:tc>
          <w:tcPr>
            <w:tcW w:w="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Accelerated filer</w:t>
            </w:r>
          </w:p>
        </w:tc>
        <w:tc>
          <w:tcPr>
            <w:tcW w:w="340" w:type="dxa"/>
            <w:vAlign w:val="bottom"/>
          </w:tcPr>
          <w:p>
            <w:pPr>
              <w:jc w:val="right"/>
              <w:ind w:right="27"/>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Non-accelerated filer</w:t>
            </w:r>
          </w:p>
        </w:tc>
        <w:tc>
          <w:tcPr>
            <w:tcW w:w="360" w:type="dxa"/>
            <w:vAlign w:val="bottom"/>
          </w:tcPr>
          <w:p>
            <w:pPr>
              <w:jc w:val="right"/>
              <w:ind w:right="7"/>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t>
            </w:r>
          </w:p>
        </w:tc>
        <w:tc>
          <w:tcPr>
            <w:tcW w:w="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00" w:type="dxa"/>
            <w:vAlign w:val="bottom"/>
          </w:tcPr>
          <w:p>
            <w:pPr>
              <w:jc w:val="right"/>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t>
            </w:r>
          </w:p>
        </w:tc>
      </w:tr>
      <w:tr>
        <w:trPr>
          <w:trHeight w:val="386"/>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Emerging growth company</w:t>
            </w:r>
          </w:p>
        </w:tc>
        <w:tc>
          <w:tcPr>
            <w:tcW w:w="300" w:type="dxa"/>
            <w:vAlign w:val="bottom"/>
          </w:tcPr>
          <w:p>
            <w:pPr>
              <w:jc w:val="right"/>
              <w:spacing w:after="0" w:line="334" w:lineRule="exact"/>
              <w:rPr>
                <w:sz w:val="20"/>
                <w:szCs w:val="20"/>
                <w:color w:val="auto"/>
              </w:rPr>
            </w:pPr>
            <w:r>
              <w:rPr>
                <w:rFonts w:ascii="MS PGothic" w:cs="MS PGothic" w:eastAsia="MS PGothic" w:hAnsi="MS PGothic"/>
                <w:sz w:val="15"/>
                <w:szCs w:val="15"/>
                <w:color w:val="auto"/>
              </w:rPr>
              <w:t xml:space="preserve">☒ </w:t>
            </w:r>
            <w:r>
              <w:rPr>
                <w:rFonts w:ascii="Times New Roman" w:cs="Times New Roman" w:eastAsia="Times New Roman" w:hAnsi="Times New Roman"/>
                <w:sz w:val="29"/>
                <w:szCs w:val="29"/>
                <w:color w:val="auto"/>
                <w:vertAlign w:val="superscript"/>
              </w:rPr>
              <w:t>​</w:t>
            </w:r>
          </w:p>
        </w:tc>
      </w:tr>
    </w:tbl>
    <w:p>
      <w:pPr>
        <w:spacing w:after="0" w:line="2" w:lineRule="exact"/>
        <w:rPr>
          <w:sz w:val="24"/>
          <w:szCs w:val="24"/>
          <w:color w:val="auto"/>
        </w:rPr>
      </w:pPr>
    </w:p>
    <w:p>
      <w:pPr>
        <w:jc w:val="both"/>
        <w:ind w:left="540" w:right="55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111125</wp:posOffset>
            </wp:positionV>
            <wp:extent cx="89281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219" w:lineRule="exact"/>
        <w:rPr>
          <w:sz w:val="24"/>
          <w:szCs w:val="24"/>
          <w:color w:val="auto"/>
        </w:rPr>
      </w:pPr>
    </w:p>
    <w:p>
      <w:pPr>
        <w:jc w:val="both"/>
        <w:ind w:left="540" w:right="559"/>
        <w:spacing w:after="0" w:line="242"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14605</wp:posOffset>
            </wp:positionV>
            <wp:extent cx="5036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36820" cy="6985"/>
                    </a:xfrm>
                    <a:prstGeom prst="rect">
                      <a:avLst/>
                    </a:prstGeom>
                    <a:noFill/>
                  </pic:spPr>
                </pic:pic>
              </a:graphicData>
            </a:graphic>
          </wp:anchor>
        </w:drawing>
      </w:r>
    </w:p>
    <w:p>
      <w:pPr>
        <w:spacing w:after="0" w:line="8"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3175</wp:posOffset>
            </wp:positionV>
            <wp:extent cx="5036820"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36820" cy="139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206375</wp:posOffset>
            </wp:positionV>
            <wp:extent cx="556450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86" w:right="1440" w:bottom="1440" w:gutter="0" w:footer="0" w:header="0"/>
        </w:sectPr>
      </w:pPr>
    </w:p>
    <w:bookmarkStart w:id="1" w:name="page2"/>
    <w:bookmarkEnd w:id="1"/>
    <w:p>
      <w:pPr>
        <w:ind w:left="14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5" w:right="1440" w:bottom="1440" w:gutter="0" w:footer="0" w:header="0"/>
        </w:sectPr>
      </w:pPr>
    </w:p>
    <w:p>
      <w:pPr>
        <w:spacing w:after="0" w:line="378" w:lineRule="exact"/>
        <w:rPr>
          <w:sz w:val="20"/>
          <w:szCs w:val="20"/>
          <w:color w:val="auto"/>
        </w:rPr>
      </w:pPr>
    </w:p>
    <w:tbl>
      <w:tblPr>
        <w:tblLayout w:type="fixed"/>
        <w:tblInd w:w="860" w:type="dxa"/>
        <w:tblCellMar>
          <w:top w:w="0" w:type="dxa"/>
          <w:left w:w="0" w:type="dxa"/>
          <w:bottom w:w="0" w:type="dxa"/>
          <w:right w:w="0" w:type="dxa"/>
        </w:tblCellMar>
      </w:tblPr>
      <w:tr>
        <w:trPr>
          <w:trHeight w:val="1489"/>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665B"/>
              </w:rPr>
              <w:t>statement filed with the</w:t>
            </w:r>
          </w:p>
        </w:tc>
        <w:tc>
          <w:tcPr>
            <w:tcW w:w="280" w:type="dxa"/>
            <w:vAlign w:val="bottom"/>
            <w:textDirection w:val="btLr"/>
          </w:tcPr>
          <w:p>
            <w:pPr>
              <w:ind w:left="30"/>
              <w:spacing w:after="0"/>
              <w:rPr>
                <w:sz w:val="20"/>
                <w:szCs w:val="20"/>
                <w:color w:val="auto"/>
              </w:rPr>
            </w:pPr>
            <w:r>
              <w:rPr>
                <w:rFonts w:ascii="Arial" w:cs="Arial" w:eastAsia="Arial" w:hAnsi="Arial"/>
                <w:sz w:val="13"/>
                <w:szCs w:val="13"/>
                <w:b w:val="1"/>
                <w:bCs w:val="1"/>
                <w:color w:val="FF665B"/>
              </w:rPr>
              <w:t>these securities in any</w:t>
            </w:r>
          </w:p>
        </w:tc>
      </w:tr>
      <w:tr>
        <w:trPr>
          <w:trHeight w:val="3036"/>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665B"/>
              </w:rPr>
              <w:t>securities may not be sold until the registration</w:t>
            </w:r>
          </w:p>
        </w:tc>
        <w:tc>
          <w:tcPr>
            <w:tcW w:w="280" w:type="dxa"/>
            <w:vAlign w:val="bottom"/>
            <w:textDirection w:val="btLr"/>
          </w:tcPr>
          <w:p>
            <w:pPr>
              <w:ind w:left="30"/>
              <w:spacing w:after="0"/>
              <w:rPr>
                <w:sz w:val="20"/>
                <w:szCs w:val="20"/>
                <w:color w:val="auto"/>
              </w:rPr>
            </w:pPr>
            <w:r>
              <w:rPr>
                <w:rFonts w:ascii="Arial" w:cs="Arial" w:eastAsia="Arial" w:hAnsi="Arial"/>
                <w:sz w:val="13"/>
                <w:szCs w:val="13"/>
                <w:b w:val="1"/>
                <w:bCs w:val="1"/>
                <w:color w:val="FF665B"/>
              </w:rPr>
              <w:t>offer to sell nor does it seek an offer to buy</w:t>
            </w:r>
          </w:p>
        </w:tc>
      </w:tr>
      <w:tr>
        <w:trPr>
          <w:trHeight w:val="449"/>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665B"/>
              </w:rPr>
              <w:t>These</w:t>
            </w:r>
          </w:p>
        </w:tc>
        <w:tc>
          <w:tcPr>
            <w:tcW w:w="280" w:type="dxa"/>
            <w:vAlign w:val="bottom"/>
            <w:textDirection w:val="btLr"/>
          </w:tcPr>
          <w:p>
            <w:pPr>
              <w:ind w:left="30"/>
              <w:spacing w:after="0"/>
              <w:rPr>
                <w:sz w:val="20"/>
                <w:szCs w:val="20"/>
                <w:color w:val="auto"/>
              </w:rPr>
            </w:pPr>
            <w:r>
              <w:rPr>
                <w:rFonts w:ascii="Arial" w:cs="Arial" w:eastAsia="Arial" w:hAnsi="Arial"/>
                <w:sz w:val="13"/>
                <w:szCs w:val="13"/>
                <w:b w:val="1"/>
                <w:bCs w:val="1"/>
                <w:color w:val="FF665B"/>
              </w:rPr>
              <w:t>not an</w:t>
            </w:r>
          </w:p>
        </w:tc>
      </w:tr>
      <w:tr>
        <w:trPr>
          <w:trHeight w:val="5370"/>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665B"/>
              </w:rPr>
              <w:t>The information in this preliminary prospectus is not complete and may be changed.</w:t>
            </w:r>
          </w:p>
        </w:tc>
        <w:tc>
          <w:tcPr>
            <w:tcW w:w="280" w:type="dxa"/>
            <w:vAlign w:val="bottom"/>
            <w:textDirection w:val="btLr"/>
          </w:tcPr>
          <w:p>
            <w:pPr>
              <w:ind w:left="142"/>
              <w:spacing w:after="0"/>
              <w:rPr>
                <w:sz w:val="20"/>
                <w:szCs w:val="20"/>
                <w:color w:val="auto"/>
              </w:rPr>
            </w:pPr>
            <w:r>
              <w:rPr>
                <w:rFonts w:ascii="Arial" w:cs="Arial" w:eastAsia="Arial" w:hAnsi="Arial"/>
                <w:sz w:val="12"/>
                <w:szCs w:val="12"/>
                <w:b w:val="1"/>
                <w:bCs w:val="1"/>
                <w:color w:val="FF665B"/>
                <w:w w:val="72"/>
              </w:rPr>
              <w:t>Securities and Exchange Commission is effective. This preliminary prospectus isjurisdictionwheretheofferorsaleisnotpermitted.</w:t>
            </w:r>
          </w:p>
        </w:tc>
      </w:tr>
    </w:tbl>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ind w:right="2599"/>
        <w:spacing w:after="0" w:line="232" w:lineRule="auto"/>
        <w:rPr>
          <w:sz w:val="20"/>
          <w:szCs w:val="20"/>
          <w:color w:val="auto"/>
        </w:rPr>
      </w:pPr>
      <w:r>
        <w:rPr>
          <w:rFonts w:ascii="Georgia" w:cs="Georgia" w:eastAsia="Georgia" w:hAnsi="Georgia"/>
          <w:sz w:val="18"/>
          <w:szCs w:val="18"/>
          <w:b w:val="1"/>
          <w:bCs w:val="1"/>
          <w:i w:val="1"/>
          <w:iCs w:val="1"/>
          <w:color w:val="FF665B"/>
        </w:rPr>
        <w:t>PRELIMINARY PROSPECTUS (Subject to Completion), issued August 22, 2024</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26"/>
          <w:szCs w:val="26"/>
          <w:b w:val="1"/>
          <w:bCs w:val="1"/>
          <w:i w:val="1"/>
          <w:i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97155</wp:posOffset>
            </wp:positionV>
            <wp:extent cx="1144270" cy="390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4270"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660"/>
        <w:spacing w:after="0"/>
        <w:rPr>
          <w:sz w:val="20"/>
          <w:szCs w:val="20"/>
          <w:color w:val="auto"/>
        </w:rPr>
      </w:pPr>
      <w:r>
        <w:rPr>
          <w:rFonts w:ascii="Georgia" w:cs="Georgia" w:eastAsia="Georgia" w:hAnsi="Georgia"/>
          <w:sz w:val="18"/>
          <w:szCs w:val="18"/>
          <w:b w:val="1"/>
          <w:bCs w:val="1"/>
          <w:i w:val="1"/>
          <w:iCs w:val="1"/>
          <w:color w:val="auto"/>
        </w:rPr>
        <w:t>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This is an initial public offering of shares of common stock of Zenas BioPharma, Inc.</w:t>
      </w:r>
    </w:p>
    <w:p>
      <w:pPr>
        <w:spacing w:after="0" w:line="11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5"/>
          <w:szCs w:val="15"/>
          <w:b w:val="1"/>
          <w:bCs w:val="1"/>
          <w:i w:val="1"/>
          <w:iCs w:val="1"/>
          <w:color w:val="auto"/>
        </w:rPr>
        <w:t>We are offering</w:t>
      </w:r>
      <w:r>
        <w:rPr>
          <w:sz w:val="20"/>
          <w:szCs w:val="20"/>
          <w:color w:val="auto"/>
        </w:rPr>
        <w:tab/>
      </w:r>
      <w:r>
        <w:rPr>
          <w:rFonts w:ascii="Times New Roman" w:cs="Times New Roman" w:eastAsia="Times New Roman" w:hAnsi="Times New Roman"/>
          <w:sz w:val="14"/>
          <w:szCs w:val="14"/>
          <w:b w:val="1"/>
          <w:bCs w:val="1"/>
          <w:i w:val="1"/>
          <w:iCs w:val="1"/>
          <w:color w:val="auto"/>
        </w:rPr>
        <w:t>shares of our common stock. Prior to this offering, there has been no public market for</w:t>
      </w:r>
    </w:p>
    <w:p>
      <w:pPr>
        <w:spacing w:after="0" w:line="16" w:lineRule="exact"/>
        <w:rPr>
          <w:sz w:val="20"/>
          <w:szCs w:val="20"/>
          <w:color w:val="auto"/>
        </w:rPr>
      </w:pPr>
    </w:p>
    <w:p>
      <w:pPr>
        <w:spacing w:after="0"/>
        <w:tabs>
          <w:tab w:leader="none" w:pos="5700" w:val="left"/>
          <w:tab w:leader="none" w:pos="6460" w:val="left"/>
        </w:tabs>
        <w:rPr>
          <w:sz w:val="20"/>
          <w:szCs w:val="20"/>
          <w:color w:val="auto"/>
        </w:rPr>
      </w:pPr>
      <w:r>
        <w:rPr>
          <w:rFonts w:ascii="Times New Roman" w:cs="Times New Roman" w:eastAsia="Times New Roman" w:hAnsi="Times New Roman"/>
          <w:sz w:val="15"/>
          <w:szCs w:val="15"/>
          <w:b w:val="1"/>
          <w:bCs w:val="1"/>
          <w:i w:val="1"/>
          <w:iCs w:val="1"/>
          <w:color w:val="auto"/>
        </w:rPr>
        <w:t>our common stock. We anticipate that the initial public offering price will be between $</w:t>
      </w:r>
      <w:r>
        <w:rPr>
          <w:sz w:val="20"/>
          <w:szCs w:val="20"/>
          <w:color w:val="auto"/>
        </w:rPr>
        <w:tab/>
      </w:r>
      <w:r>
        <w:rPr>
          <w:rFonts w:ascii="Times New Roman" w:cs="Times New Roman" w:eastAsia="Times New Roman" w:hAnsi="Times New Roman"/>
          <w:sz w:val="15"/>
          <w:szCs w:val="15"/>
          <w:b w:val="1"/>
          <w:bCs w:val="1"/>
          <w:i w:val="1"/>
          <w:iCs w:val="1"/>
          <w:color w:val="auto"/>
        </w:rPr>
        <w:t>and $</w:t>
      </w:r>
      <w:r>
        <w:rPr>
          <w:sz w:val="20"/>
          <w:szCs w:val="20"/>
          <w:color w:val="auto"/>
        </w:rPr>
        <w:tab/>
      </w:r>
      <w:r>
        <w:rPr>
          <w:rFonts w:ascii="Times New Roman" w:cs="Times New Roman" w:eastAsia="Times New Roman" w:hAnsi="Times New Roman"/>
          <w:sz w:val="15"/>
          <w:szCs w:val="15"/>
          <w:b w:val="1"/>
          <w:bCs w:val="1"/>
          <w:i w:val="1"/>
          <w:iCs w:val="1"/>
          <w:color w:val="auto"/>
        </w:rPr>
        <w:t>per</w:t>
      </w:r>
    </w:p>
    <w:p>
      <w:pPr>
        <w:spacing w:after="0"/>
        <w:rPr>
          <w:sz w:val="20"/>
          <w:szCs w:val="20"/>
          <w:color w:val="auto"/>
        </w:rPr>
      </w:pPr>
      <w:r>
        <w:rPr>
          <w:rFonts w:ascii="Times New Roman" w:cs="Times New Roman" w:eastAsia="Times New Roman" w:hAnsi="Times New Roman"/>
          <w:sz w:val="15"/>
          <w:szCs w:val="15"/>
          <w:b w:val="1"/>
          <w:bCs w:val="1"/>
          <w:i w:val="1"/>
          <w:iCs w:val="1"/>
          <w:color w:val="auto"/>
        </w:rPr>
        <w:t>share.</w:t>
      </w:r>
    </w:p>
    <w:p>
      <w:pPr>
        <w:spacing w:after="0" w:line="93" w:lineRule="exact"/>
        <w:rPr>
          <w:sz w:val="20"/>
          <w:szCs w:val="20"/>
          <w:color w:val="auto"/>
        </w:rPr>
      </w:pPr>
    </w:p>
    <w:p>
      <w:pPr>
        <w:jc w:val="both"/>
        <w:ind w:right="91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We have applied to list our common stock on the Nasdaq Global Market (“Nasdaq”) under the symbol “ZBIO.” We believe that upon the completion of this offering, we will meet the standards for listing on Nasdaq, and the completion of this offering is contingent upon such listing.</w:t>
      </w:r>
    </w:p>
    <w:p>
      <w:pPr>
        <w:spacing w:after="0" w:line="83" w:lineRule="exact"/>
        <w:rPr>
          <w:sz w:val="20"/>
          <w:szCs w:val="20"/>
          <w:color w:val="auto"/>
        </w:rPr>
      </w:pPr>
    </w:p>
    <w:p>
      <w:pPr>
        <w:jc w:val="both"/>
        <w:ind w:right="91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 xml:space="preserve">We are an “emerging growth company” and a “smaller reporting company” as defined under the federal securities laws and, as such, have elected to comply with certain reduced reporting requirements in this prospectus and may elect to do so in future filings. Investing in our common stock involves a high degree of risk. See the section titled “Risk Factors” beginning on page </w:t>
      </w:r>
      <w:r>
        <w:rPr>
          <w:rFonts w:ascii="Times New Roman" w:cs="Times New Roman" w:eastAsia="Times New Roman" w:hAnsi="Times New Roman"/>
          <w:sz w:val="15"/>
          <w:szCs w:val="15"/>
          <w:b w:val="1"/>
          <w:bCs w:val="1"/>
          <w:i w:val="1"/>
          <w:iCs w:val="1"/>
          <w:u w:val="single" w:color="auto"/>
          <w:color w:val="0000EE"/>
        </w:rPr>
        <w:t>14</w:t>
      </w:r>
      <w:r>
        <w:rPr>
          <w:rFonts w:ascii="Times New Roman" w:cs="Times New Roman" w:eastAsia="Times New Roman" w:hAnsi="Times New Roman"/>
          <w:sz w:val="15"/>
          <w:szCs w:val="15"/>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292100</wp:posOffset>
            </wp:positionV>
            <wp:extent cx="89281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5"/>
          <w:szCs w:val="15"/>
          <w:i w:val="1"/>
          <w:iCs w:val="1"/>
          <w:color w:val="auto"/>
        </w:rPr>
        <w:t>PRICE $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187325</wp:posOffset>
            </wp:positionV>
            <wp:extent cx="89281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w w:val="95"/>
              </w:rPr>
              <w:t>Underwriting</w:t>
            </w:r>
          </w:p>
        </w:tc>
        <w:tc>
          <w:tcPr>
            <w:tcW w:w="1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w w:val="98"/>
              </w:rPr>
              <w:t>Proceeds</w:t>
            </w:r>
          </w:p>
        </w:tc>
        <w:tc>
          <w:tcPr>
            <w:tcW w:w="40" w:type="dxa"/>
            <w:vAlign w:val="bottom"/>
          </w:tcPr>
          <w:p>
            <w:pPr>
              <w:spacing w:after="0"/>
              <w:rPr>
                <w:sz w:val="12"/>
                <w:szCs w:val="12"/>
                <w:color w:val="auto"/>
              </w:rPr>
            </w:pPr>
          </w:p>
        </w:tc>
      </w:tr>
      <w:tr>
        <w:trPr>
          <w:trHeight w:val="122"/>
        </w:trPr>
        <w:tc>
          <w:tcPr>
            <w:tcW w:w="2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4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b w:val="1"/>
                <w:bCs w:val="1"/>
                <w:i w:val="1"/>
                <w:iCs w:val="1"/>
                <w:color w:val="auto"/>
              </w:rPr>
              <w:t>Price to</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i w:val="1"/>
                <w:iCs w:val="1"/>
                <w:color w:val="auto"/>
                <w:w w:val="98"/>
              </w:rPr>
              <w:t>Discounts and</w:t>
            </w:r>
          </w:p>
        </w:tc>
        <w:tc>
          <w:tcPr>
            <w:tcW w:w="1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i w:val="1"/>
                <w:iCs w:val="1"/>
                <w:color w:val="auto"/>
                <w:w w:val="94"/>
              </w:rPr>
              <w:t>to Zenas</w:t>
            </w:r>
          </w:p>
        </w:tc>
        <w:tc>
          <w:tcPr>
            <w:tcW w:w="40" w:type="dxa"/>
            <w:vAlign w:val="bottom"/>
          </w:tcPr>
          <w:p>
            <w:pPr>
              <w:spacing w:after="0"/>
              <w:rPr>
                <w:sz w:val="10"/>
                <w:szCs w:val="10"/>
                <w:color w:val="auto"/>
              </w:rPr>
            </w:pPr>
          </w:p>
        </w:tc>
      </w:tr>
      <w:tr>
        <w:trPr>
          <w:trHeight w:val="185"/>
        </w:trPr>
        <w:tc>
          <w:tcPr>
            <w:tcW w:w="24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w:t>
            </w:r>
          </w:p>
        </w:tc>
        <w:tc>
          <w:tcPr>
            <w:tcW w:w="1960" w:type="dxa"/>
            <w:vAlign w:val="bottom"/>
          </w:tcPr>
          <w:p>
            <w:pPr>
              <w:ind w:left="1820"/>
              <w:spacing w:after="0"/>
              <w:rPr>
                <w:sz w:val="20"/>
                <w:szCs w:val="20"/>
                <w:color w:val="auto"/>
              </w:rPr>
            </w:pPr>
            <w:r>
              <w:rPr>
                <w:rFonts w:ascii="Times New Roman" w:cs="Times New Roman" w:eastAsia="Times New Roman" w:hAnsi="Times New Roman"/>
                <w:sz w:val="12"/>
                <w:szCs w:val="12"/>
                <w:b w:val="1"/>
                <w:bCs w:val="1"/>
                <w:i w:val="1"/>
                <w:iCs w:val="1"/>
                <w:color w:val="auto"/>
              </w:rPr>
              <w:t>​</w:t>
            </w:r>
          </w:p>
        </w:tc>
        <w:tc>
          <w:tcPr>
            <w:tcW w:w="540" w:type="dxa"/>
            <w:vAlign w:val="bottom"/>
          </w:tcPr>
          <w:p>
            <w:pPr>
              <w:spacing w:after="0" w:line="185" w:lineRule="exact"/>
              <w:rPr>
                <w:sz w:val="20"/>
                <w:szCs w:val="20"/>
                <w:color w:val="auto"/>
              </w:rPr>
            </w:pPr>
            <w:r>
              <w:rPr>
                <w:rFonts w:ascii="Times New Roman" w:cs="Times New Roman" w:eastAsia="Times New Roman" w:hAnsi="Times New Roman"/>
                <w:sz w:val="21"/>
                <w:szCs w:val="21"/>
                <w:b w:val="1"/>
                <w:bCs w:val="1"/>
                <w:i w:val="1"/>
                <w:iCs w:val="1"/>
                <w:color w:val="auto"/>
                <w:vertAlign w:val="subscript"/>
              </w:rPr>
              <w:t>​</w:t>
            </w:r>
            <w:r>
              <w:rPr>
                <w:rFonts w:ascii="Times New Roman" w:cs="Times New Roman" w:eastAsia="Times New Roman" w:hAnsi="Times New Roman"/>
                <w:sz w:val="11"/>
                <w:szCs w:val="11"/>
                <w:b w:val="1"/>
                <w:bCs w:val="1"/>
                <w:i w:val="1"/>
                <w:iCs w:val="1"/>
                <w:color w:val="auto"/>
              </w:rPr>
              <w:t xml:space="preserve">  Public</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w:t>
            </w:r>
          </w:p>
        </w:tc>
        <w:tc>
          <w:tcPr>
            <w:tcW w:w="860" w:type="dxa"/>
            <w:vAlign w:val="bottom"/>
            <w:gridSpan w:val="2"/>
          </w:tcPr>
          <w:p>
            <w:pPr>
              <w:ind w:left="40"/>
              <w:spacing w:after="0" w:line="185" w:lineRule="exact"/>
              <w:rPr>
                <w:sz w:val="20"/>
                <w:szCs w:val="20"/>
                <w:color w:val="auto"/>
              </w:rPr>
            </w:pPr>
            <w:r>
              <w:rPr>
                <w:rFonts w:ascii="Times New Roman" w:cs="Times New Roman" w:eastAsia="Times New Roman" w:hAnsi="Times New Roman"/>
                <w:sz w:val="21"/>
                <w:szCs w:val="21"/>
                <w:b w:val="1"/>
                <w:bCs w:val="1"/>
                <w:i w:val="1"/>
                <w:iCs w:val="1"/>
                <w:color w:val="auto"/>
                <w:vertAlign w:val="subscript"/>
              </w:rPr>
              <w:t>​</w:t>
            </w:r>
            <w:r>
              <w:rPr>
                <w:rFonts w:ascii="Times New Roman" w:cs="Times New Roman" w:eastAsia="Times New Roman" w:hAnsi="Times New Roman"/>
                <w:sz w:val="11"/>
                <w:szCs w:val="11"/>
                <w:b w:val="1"/>
                <w:bCs w:val="1"/>
                <w:i w:val="1"/>
                <w:iCs w:val="1"/>
                <w:color w:val="auto"/>
              </w:rPr>
              <w:t xml:space="preserve"> Commissions</w:t>
            </w:r>
            <w:r>
              <w:rPr>
                <w:rFonts w:ascii="Times New Roman" w:cs="Times New Roman" w:eastAsia="Times New Roman" w:hAnsi="Times New Roman"/>
                <w:sz w:val="13"/>
                <w:szCs w:val="13"/>
                <w:b w:val="1"/>
                <w:bCs w:val="1"/>
                <w:i w:val="1"/>
                <w:iCs w:val="1"/>
                <w:color w:val="auto"/>
                <w:vertAlign w:val="superscript"/>
              </w:rPr>
              <w:t>(1)</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2"/>
                <w:szCs w:val="12"/>
                <w:b w:val="1"/>
                <w:bCs w:val="1"/>
                <w:i w:val="1"/>
                <w:iCs w:val="1"/>
                <w:color w:val="auto"/>
              </w:rPr>
              <w:t>​</w:t>
            </w:r>
          </w:p>
        </w:tc>
        <w:tc>
          <w:tcPr>
            <w:tcW w:w="660" w:type="dxa"/>
            <w:vAlign w:val="bottom"/>
            <w:gridSpan w:val="2"/>
          </w:tcPr>
          <w:p>
            <w:pPr>
              <w:jc w:val="center"/>
              <w:spacing w:after="0" w:line="185" w:lineRule="exact"/>
              <w:rPr>
                <w:sz w:val="20"/>
                <w:szCs w:val="20"/>
                <w:color w:val="auto"/>
              </w:rPr>
            </w:pPr>
            <w:r>
              <w:rPr>
                <w:rFonts w:ascii="Times New Roman" w:cs="Times New Roman" w:eastAsia="Times New Roman" w:hAnsi="Times New Roman"/>
                <w:sz w:val="21"/>
                <w:szCs w:val="21"/>
                <w:b w:val="1"/>
                <w:bCs w:val="1"/>
                <w:i w:val="1"/>
                <w:iCs w:val="1"/>
                <w:color w:val="auto"/>
                <w:vertAlign w:val="subscript"/>
              </w:rPr>
              <w:t>​</w:t>
            </w:r>
            <w:r>
              <w:rPr>
                <w:rFonts w:ascii="Times New Roman" w:cs="Times New Roman" w:eastAsia="Times New Roman" w:hAnsi="Times New Roman"/>
                <w:sz w:val="11"/>
                <w:szCs w:val="11"/>
                <w:b w:val="1"/>
                <w:bCs w:val="1"/>
                <w:i w:val="1"/>
                <w:iCs w:val="1"/>
                <w:color w:val="auto"/>
              </w:rPr>
              <w:t xml:space="preserve"> BioPharma </w:t>
            </w:r>
            <w:r>
              <w:rPr>
                <w:rFonts w:ascii="Times New Roman" w:cs="Times New Roman" w:eastAsia="Times New Roman" w:hAnsi="Times New Roman"/>
                <w:sz w:val="21"/>
                <w:szCs w:val="21"/>
                <w:b w:val="1"/>
                <w:bCs w:val="1"/>
                <w:i w:val="1"/>
                <w:iCs w:val="1"/>
                <w:color w:val="auto"/>
                <w:vertAlign w:val="subscript"/>
              </w:rPr>
              <w:t>​</w:t>
            </w:r>
          </w:p>
        </w:tc>
      </w:tr>
      <w:tr>
        <w:trPr>
          <w:trHeight w:val="20"/>
        </w:trPr>
        <w:tc>
          <w:tcPr>
            <w:tcW w:w="2420" w:type="dxa"/>
            <w:vAlign w:val="bottom"/>
            <w:shd w:val="clear" w:color="auto" w:fill="CCEEFF"/>
          </w:tcPr>
          <w:p>
            <w:pPr>
              <w:spacing w:after="0" w:line="20" w:lineRule="exact"/>
              <w:rPr>
                <w:sz w:val="1"/>
                <w:szCs w:val="1"/>
                <w:color w:val="auto"/>
              </w:rPr>
            </w:pPr>
          </w:p>
        </w:tc>
        <w:tc>
          <w:tcPr>
            <w:tcW w:w="19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Per Share</w:t>
            </w:r>
          </w:p>
        </w:tc>
        <w:tc>
          <w:tcPr>
            <w:tcW w:w="1960" w:type="dxa"/>
            <w:vAlign w:val="bottom"/>
            <w:tcBorders>
              <w:right w:val="single" w:sz="8" w:color="CCEEFF"/>
            </w:tcBorders>
            <w:shd w:val="clear" w:color="auto" w:fill="CCEEFF"/>
          </w:tcPr>
          <w:p>
            <w:pPr>
              <w:ind w:left="1820"/>
              <w:spacing w:after="0"/>
              <w:rPr>
                <w:sz w:val="20"/>
                <w:szCs w:val="20"/>
                <w:color w:val="auto"/>
              </w:rPr>
            </w:pPr>
            <w:r>
              <w:rPr>
                <w:rFonts w:ascii="Times New Roman" w:cs="Times New Roman" w:eastAsia="Times New Roman" w:hAnsi="Times New Roman"/>
                <w:sz w:val="15"/>
                <w:szCs w:val="15"/>
                <w:i w:val="1"/>
                <w:iCs w:val="1"/>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i w:val="1"/>
                <w:iCs w:val="1"/>
                <w:color w:val="auto"/>
              </w:rPr>
              <w:t>​</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i w:val="1"/>
                <w:iCs w:val="1"/>
                <w:color w:val="auto"/>
              </w:rPr>
              <w:t xml:space="preserve">​$                </w:t>
            </w:r>
          </w:p>
        </w:tc>
        <w:tc>
          <w:tcPr>
            <w:tcW w:w="18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5"/>
                <w:szCs w:val="15"/>
                <w:i w:val="1"/>
                <w:iCs w:val="1"/>
                <w:color w:val="auto"/>
              </w:rPr>
              <w:t>​​</w:t>
            </w:r>
          </w:p>
        </w:tc>
        <w:tc>
          <w:tcPr>
            <w:tcW w:w="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 xml:space="preserve">​ ​$            </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w:t>
            </w:r>
          </w:p>
        </w:tc>
      </w:tr>
      <w:tr>
        <w:trPr>
          <w:trHeight w:val="231"/>
        </w:trPr>
        <w:tc>
          <w:tcPr>
            <w:tcW w:w="24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Total</w:t>
            </w:r>
          </w:p>
        </w:tc>
        <w:tc>
          <w:tcPr>
            <w:tcW w:w="1960" w:type="dxa"/>
            <w:vAlign w:val="bottom"/>
          </w:tcPr>
          <w:p>
            <w:pPr>
              <w:ind w:left="1820"/>
              <w:spacing w:after="0"/>
              <w:rPr>
                <w:sz w:val="20"/>
                <w:szCs w:val="20"/>
                <w:color w:val="auto"/>
              </w:rPr>
            </w:pPr>
            <w:r>
              <w:rPr>
                <w:rFonts w:ascii="Times New Roman" w:cs="Times New Roman" w:eastAsia="Times New Roman" w:hAnsi="Times New Roman"/>
                <w:sz w:val="15"/>
                <w:szCs w:val="15"/>
                <w:i w:val="1"/>
                <w:iCs w:val="1"/>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i w:val="1"/>
                <w:iCs w:val="1"/>
                <w:color w:val="auto"/>
              </w:rPr>
              <w:t>​</w:t>
            </w:r>
          </w:p>
        </w:tc>
        <w:tc>
          <w:tcPr>
            <w:tcW w:w="780" w:type="dxa"/>
            <w:vAlign w:val="bottom"/>
          </w:tcPr>
          <w:p>
            <w:pPr>
              <w:ind w:left="40"/>
              <w:spacing w:after="0"/>
              <w:rPr>
                <w:sz w:val="20"/>
                <w:szCs w:val="20"/>
                <w:color w:val="auto"/>
              </w:rPr>
            </w:pPr>
            <w:r>
              <w:rPr>
                <w:rFonts w:ascii="Times New Roman" w:cs="Times New Roman" w:eastAsia="Times New Roman" w:hAnsi="Times New Roman"/>
                <w:sz w:val="15"/>
                <w:szCs w:val="15"/>
                <w:i w:val="1"/>
                <w:iCs w:val="1"/>
                <w:color w:val="auto"/>
              </w:rPr>
              <w:t>​$</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5"/>
                <w:szCs w:val="15"/>
                <w:i w:val="1"/>
                <w:iCs w:val="1"/>
                <w:color w:val="auto"/>
              </w:rPr>
              <w:t>​​</w:t>
            </w:r>
          </w:p>
        </w:tc>
        <w:tc>
          <w:tcPr>
            <w:tcW w:w="6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384429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4429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44640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91" w:lineRule="exact"/>
        <w:rPr>
          <w:sz w:val="20"/>
          <w:szCs w:val="20"/>
          <w:color w:val="auto"/>
        </w:rPr>
      </w:pPr>
    </w:p>
    <w:p>
      <w:pPr>
        <w:ind w:left="300" w:hanging="292"/>
        <w:spacing w:after="0"/>
        <w:tabs>
          <w:tab w:leader="none" w:pos="300" w:val="left"/>
        </w:tabs>
        <w:numPr>
          <w:ilvl w:val="0"/>
          <w:numId w:val="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See the section titled “Underwriters” for a description of the compensation payable to the underwriters.</w:t>
      </w:r>
    </w:p>
    <w:p>
      <w:pPr>
        <w:spacing w:after="0" w:line="172" w:lineRule="exact"/>
        <w:rPr>
          <w:sz w:val="20"/>
          <w:szCs w:val="20"/>
          <w:color w:val="auto"/>
        </w:rPr>
      </w:pPr>
    </w:p>
    <w:p>
      <w:pPr>
        <w:jc w:val="both"/>
        <w:ind w:right="919"/>
        <w:spacing w:after="0" w:line="257" w:lineRule="auto"/>
        <w:rPr>
          <w:sz w:val="20"/>
          <w:szCs w:val="20"/>
          <w:color w:val="auto"/>
        </w:rPr>
      </w:pPr>
      <w:r>
        <w:rPr>
          <w:rFonts w:ascii="Times New Roman" w:cs="Times New Roman" w:eastAsia="Times New Roman" w:hAnsi="Times New Roman"/>
          <w:sz w:val="15"/>
          <w:szCs w:val="15"/>
          <w:i w:val="1"/>
          <w:iCs w:val="1"/>
          <w:color w:val="auto"/>
        </w:rPr>
        <w:t>We have granted the underwriters an option for a period of 30 days to purchase up to an additional                          shares of our common stock solely to cover over-allotments, if any.</w:t>
      </w:r>
    </w:p>
    <w:p>
      <w:pPr>
        <w:spacing w:after="0" w:line="136" w:lineRule="exact"/>
        <w:rPr>
          <w:sz w:val="20"/>
          <w:szCs w:val="20"/>
          <w:color w:val="auto"/>
        </w:rPr>
      </w:pPr>
    </w:p>
    <w:p>
      <w:pPr>
        <w:jc w:val="both"/>
        <w:ind w:right="919"/>
        <w:spacing w:after="0" w:line="250" w:lineRule="auto"/>
        <w:rPr>
          <w:sz w:val="20"/>
          <w:szCs w:val="20"/>
          <w:color w:val="auto"/>
        </w:rPr>
      </w:pPr>
      <w:r>
        <w:rPr>
          <w:rFonts w:ascii="Times New Roman" w:cs="Times New Roman" w:eastAsia="Times New Roman" w:hAnsi="Times New Roman"/>
          <w:sz w:val="15"/>
          <w:szCs w:val="15"/>
          <w:i w:val="1"/>
          <w:i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The underwriters expect to deliver the shares of common stock to purchasers on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312420</wp:posOffset>
            </wp:positionV>
            <wp:extent cx="89281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​MORGAN STANLEY​  ​  JEFFERIES ​  ​  CITIGROUP​  ​  GUGGENHEIM SECURITIES ​</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198755</wp:posOffset>
            </wp:positionV>
            <wp:extent cx="553910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9105" cy="39370"/>
                    </a:xfrm>
                    <a:prstGeom prst="rect">
                      <a:avLst/>
                    </a:prstGeom>
                    <a:noFill/>
                  </pic:spPr>
                </pic:pic>
              </a:graphicData>
            </a:graphic>
          </wp:anchor>
        </w:drawing>
      </w:r>
    </w:p>
    <w:p>
      <w:pPr>
        <w:sectPr>
          <w:pgSz w:w="11900" w:h="16838" w:orient="portrait"/>
          <w:cols w:equalWidth="0" w:num="2">
            <w:col w:w="1280" w:space="140"/>
            <w:col w:w="7599"/>
          </w:cols>
          <w:pgMar w:left="1440" w:top="105" w:right="1440" w:bottom="1440" w:gutter="0" w:footer="0" w:header="0"/>
          <w:type w:val="continuous"/>
        </w:sectPr>
      </w:pPr>
    </w:p>
    <w:bookmarkStart w:id="2" w:name="page3"/>
    <w:bookmarkEnd w:id="2"/>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42" w:lineRule="exact"/>
        <w:rPr>
          <w:sz w:val="20"/>
          <w:szCs w:val="20"/>
          <w:color w:val="auto"/>
        </w:rPr>
      </w:pPr>
    </w:p>
    <w:p>
      <w:pPr>
        <w:jc w:val="both"/>
        <w:ind w:left="1160"/>
        <w:spacing w:after="0"/>
        <w:tabs>
          <w:tab w:leader="none" w:pos="3680" w:val="left"/>
          <w:tab w:leader="none" w:pos="4020" w:val="left"/>
          <w:tab w:leader="none" w:pos="4400" w:val="left"/>
          <w:tab w:leader="none" w:pos="4580" w:val="left"/>
          <w:tab w:leader="none" w:pos="7120" w:val="left"/>
          <w:tab w:leader="none" w:pos="7440" w:val="left"/>
          <w:tab w:leader="none" w:pos="7820" w:val="left"/>
        </w:tabs>
        <w:rPr>
          <w:sz w:val="20"/>
          <w:szCs w:val="20"/>
          <w:color w:val="auto"/>
        </w:rPr>
      </w:pPr>
      <w:r>
        <w:rPr>
          <w:rFonts w:ascii="Times New Roman" w:cs="Times New Roman" w:eastAsia="Times New Roman" w:hAnsi="Times New Roman"/>
          <w:sz w:val="23"/>
          <w:szCs w:val="23"/>
          <w:b w:val="1"/>
          <w:bCs w:val="1"/>
          <w:color w:val="auto"/>
          <w:vertAlign w:val="subscript"/>
        </w:rPr>
        <w:t>​</w:t>
      </w:r>
      <w:r>
        <w:rPr>
          <w:sz w:val="20"/>
          <w:szCs w:val="20"/>
          <w:color w:val="auto"/>
        </w:rPr>
        <w:tab/>
      </w:r>
      <w:r>
        <w:rPr>
          <w:rFonts w:ascii="Times New Roman" w:cs="Times New Roman" w:eastAsia="Times New Roman" w:hAnsi="Times New Roman"/>
          <w:sz w:val="23"/>
          <w:szCs w:val="23"/>
          <w:b w:val="1"/>
          <w:bCs w:val="1"/>
          <w:color w:val="auto"/>
          <w:vertAlign w:val="subscript"/>
        </w:rPr>
        <w:t>​ ​</w:t>
      </w:r>
      <w:r>
        <w:rPr>
          <w:sz w:val="20"/>
          <w:szCs w:val="20"/>
          <w:color w:val="auto"/>
        </w:rPr>
        <w:tab/>
      </w:r>
      <w:r>
        <w:rPr>
          <w:rFonts w:ascii="Times New Roman" w:cs="Times New Roman" w:eastAsia="Times New Roman" w:hAnsi="Times New Roman"/>
          <w:sz w:val="12"/>
          <w:szCs w:val="12"/>
          <w:b w:val="1"/>
          <w:bCs w:val="1"/>
          <w:color w:val="auto"/>
        </w:rPr>
        <w:t>Page</w:t>
      </w:r>
      <w:r>
        <w:rPr>
          <w:sz w:val="20"/>
          <w:szCs w:val="20"/>
          <w:color w:val="auto"/>
        </w:rPr>
        <w:tab/>
      </w: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23"/>
          <w:szCs w:val="23"/>
          <w:b w:val="1"/>
          <w:bCs w:val="1"/>
          <w:color w:val="auto"/>
        </w:rPr>
        <w:tab/>
      </w:r>
      <w:r>
        <w:rPr>
          <w:rFonts w:ascii="Times New Roman" w:cs="Times New Roman" w:eastAsia="Times New Roman" w:hAnsi="Times New Roman"/>
          <w:sz w:val="23"/>
          <w:szCs w:val="23"/>
          <w:b w:val="1"/>
          <w:bCs w:val="1"/>
          <w:color w:val="auto"/>
          <w:vertAlign w:val="subscript"/>
        </w:rPr>
        <w:t>​</w:t>
      </w:r>
      <w:r>
        <w:rPr>
          <w:sz w:val="20"/>
          <w:szCs w:val="20"/>
          <w:color w:val="auto"/>
        </w:rPr>
        <w:tab/>
      </w:r>
      <w:r>
        <w:rPr>
          <w:rFonts w:ascii="Times New Roman" w:cs="Times New Roman" w:eastAsia="Times New Roman" w:hAnsi="Times New Roman"/>
          <w:sz w:val="23"/>
          <w:szCs w:val="23"/>
          <w:b w:val="1"/>
          <w:bCs w:val="1"/>
          <w:color w:val="auto"/>
          <w:vertAlign w:val="subscript"/>
        </w:rPr>
        <w:t>​ ​</w:t>
      </w:r>
      <w:r>
        <w:rPr>
          <w:sz w:val="20"/>
          <w:szCs w:val="20"/>
          <w:color w:val="auto"/>
        </w:rPr>
        <w:tab/>
      </w:r>
      <w:r>
        <w:rPr>
          <w:rFonts w:ascii="Times New Roman" w:cs="Times New Roman" w:eastAsia="Times New Roman" w:hAnsi="Times New Roman"/>
          <w:sz w:val="12"/>
          <w:szCs w:val="12"/>
          <w:b w:val="1"/>
          <w:bCs w:val="1"/>
          <w:color w:val="auto"/>
        </w:rPr>
        <w:t>Page</w:t>
      </w:r>
      <w:r>
        <w:rPr>
          <w:sz w:val="20"/>
          <w:szCs w:val="20"/>
          <w:color w:val="auto"/>
        </w:rPr>
        <w:tab/>
      </w:r>
      <w:r>
        <w:rPr>
          <w:rFonts w:ascii="Times New Roman" w:cs="Times New Roman" w:eastAsia="Times New Roman" w:hAnsi="Times New Roman"/>
          <w:sz w:val="23"/>
          <w:szCs w:val="2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27305</wp:posOffset>
            </wp:positionV>
            <wp:extent cx="4241800" cy="251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41800" cy="25146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43" w:lineRule="exact"/>
        <w:rPr>
          <w:sz w:val="20"/>
          <w:szCs w:val="20"/>
          <w:color w:val="auto"/>
        </w:rPr>
      </w:pPr>
    </w:p>
    <w:tbl>
      <w:tblPr>
        <w:tblLayout w:type="fixed"/>
        <w:tblInd w:w="1160" w:type="dxa"/>
        <w:tblCellMar>
          <w:top w:w="0" w:type="dxa"/>
          <w:left w:w="0" w:type="dxa"/>
          <w:bottom w:w="0" w:type="dxa"/>
          <w:right w:w="0" w:type="dxa"/>
        </w:tblCellMar>
      </w:tblPr>
      <w:tr>
        <w:trPr>
          <w:trHeight w:val="180"/>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740" w:type="dxa"/>
            <w:vAlign w:val="bottom"/>
            <w:tcBorders>
              <w:top w:val="single" w:sz="8" w:color="CCEEFF"/>
              <w:bottom w:val="single" w:sz="8" w:color="0000EE"/>
            </w:tcBorders>
            <w:gridSpan w:val="13"/>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0000EE"/>
                <w:w w:val="98"/>
              </w:rPr>
              <w:t>PROSPECTUS SUMMARY</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Borders>
              <w:top w:val="single" w:sz="8" w:color="auto"/>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0000EE"/>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0000EE"/>
                <w:w w:val="79"/>
              </w:rPr>
              <w:t>1</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060" w:type="dxa"/>
            <w:vAlign w:val="bottom"/>
            <w:tcBorders>
              <w:bottom w:val="single" w:sz="8" w:color="0000EE"/>
            </w:tcBorders>
            <w:gridSpan w:val="5"/>
          </w:tcPr>
          <w:p>
            <w:pPr>
              <w:spacing w:after="0" w:line="156" w:lineRule="exact"/>
              <w:rPr>
                <w:sz w:val="20"/>
                <w:szCs w:val="20"/>
                <w:color w:val="auto"/>
              </w:rPr>
            </w:pPr>
            <w:r>
              <w:rPr>
                <w:rFonts w:ascii="Times New Roman" w:cs="Times New Roman" w:eastAsia="Times New Roman" w:hAnsi="Times New Roman"/>
                <w:sz w:val="15"/>
                <w:szCs w:val="15"/>
                <w:color w:val="0000EE"/>
                <w:w w:val="97"/>
              </w:rPr>
              <w:t>THE OFFERING</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ind w:left="60"/>
              <w:spacing w:after="0" w:line="167"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16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0000EE"/>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0000EE"/>
                <w:w w:val="79"/>
              </w:rPr>
              <w:t>10</w:t>
            </w:r>
          </w:p>
        </w:tc>
        <w:tc>
          <w:tcPr>
            <w:tcW w:w="160" w:type="dxa"/>
            <w:vAlign w:val="bottom"/>
          </w:tcPr>
          <w:p>
            <w:pPr>
              <w:spacing w:after="0"/>
              <w:rPr>
                <w:sz w:val="15"/>
                <w:szCs w:val="15"/>
                <w:color w:val="auto"/>
              </w:rPr>
            </w:pPr>
          </w:p>
        </w:tc>
      </w:tr>
      <w:tr>
        <w:trPr>
          <w:trHeight w:val="171"/>
        </w:trPr>
        <w:tc>
          <w:tcPr>
            <w:tcW w:w="2520" w:type="dxa"/>
            <w:vAlign w:val="bottom"/>
            <w:gridSpan w:val="20"/>
            <w:shd w:val="clear" w:color="auto" w:fill="CCEEFF"/>
          </w:tcPr>
          <w:p>
            <w:pPr>
              <w:spacing w:after="0" w:line="172" w:lineRule="exact"/>
              <w:rPr>
                <w:sz w:val="20"/>
                <w:szCs w:val="20"/>
                <w:color w:val="auto"/>
              </w:rPr>
            </w:pPr>
            <w:r>
              <w:rPr>
                <w:rFonts w:ascii="Times New Roman" w:cs="Times New Roman" w:eastAsia="Times New Roman" w:hAnsi="Times New Roman"/>
                <w:sz w:val="15"/>
                <w:szCs w:val="15"/>
                <w:color w:val="0000EE"/>
              </w:rPr>
              <w:t>SUMMARY CONSOLIDATED</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80"/>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0000EE"/>
              <w:bottom w:val="single" w:sz="8" w:color="CCEEFF"/>
            </w:tcBorders>
            <w:shd w:val="clear" w:color="auto" w:fill="CCEEFF"/>
          </w:tcPr>
          <w:p>
            <w:pPr>
              <w:spacing w:after="0"/>
              <w:rPr>
                <w:sz w:val="15"/>
                <w:szCs w:val="15"/>
                <w:color w:val="auto"/>
              </w:rPr>
            </w:pPr>
          </w:p>
        </w:tc>
        <w:tc>
          <w:tcPr>
            <w:tcW w:w="1240" w:type="dxa"/>
            <w:vAlign w:val="bottom"/>
            <w:tcBorders>
              <w:top w:val="single" w:sz="8" w:color="0000EE"/>
              <w:bottom w:val="single" w:sz="8" w:color="0000EE"/>
            </w:tcBorders>
            <w:gridSpan w:val="10"/>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0000EE"/>
                <w:w w:val="96"/>
              </w:rPr>
              <w:t>FINANCIAL DATA</w:t>
            </w:r>
          </w:p>
        </w:tc>
        <w:tc>
          <w:tcPr>
            <w:tcW w:w="560" w:type="dxa"/>
            <w:vAlign w:val="bottom"/>
            <w:tcBorders>
              <w:top w:val="single" w:sz="8" w:color="0000EE"/>
              <w:bottom w:val="single" w:sz="8" w:color="CCEEFF"/>
            </w:tcBorders>
            <w:gridSpan w:val="3"/>
            <w:shd w:val="clear" w:color="auto" w:fill="CCEEFF"/>
          </w:tcPr>
          <w:p>
            <w:pPr>
              <w:spacing w:after="0"/>
              <w:rPr>
                <w:sz w:val="15"/>
                <w:szCs w:val="15"/>
                <w:color w:val="auto"/>
              </w:rPr>
            </w:pPr>
          </w:p>
        </w:tc>
        <w:tc>
          <w:tcPr>
            <w:tcW w:w="56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ind w:left="60"/>
              <w:spacing w:after="0" w:line="145"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tcBorders>
              <w:top w:val="single" w:sz="8" w:color="CCEEFF"/>
              <w:bottom w:val="single" w:sz="8" w:color="CCEEFF"/>
            </w:tcBorders>
            <w:gridSpan w:val="2"/>
            <w:shd w:val="clear" w:color="auto" w:fill="CCEEFF"/>
          </w:tcPr>
          <w:p>
            <w:pPr>
              <w:ind w:left="160"/>
              <w:spacing w:after="0" w:line="145"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top w:val="single" w:sz="8" w:color="CCEEFF"/>
              <w:bottom w:val="single" w:sz="8" w:color="0000EE"/>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0000EE"/>
                <w:w w:val="79"/>
              </w:rPr>
              <w:t>12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040" w:type="dxa"/>
            <w:vAlign w:val="bottom"/>
            <w:tcBorders>
              <w:bottom w:val="single" w:sz="8" w:color="0000EE"/>
            </w:tcBorders>
            <w:gridSpan w:val="4"/>
          </w:tcPr>
          <w:p>
            <w:pPr>
              <w:spacing w:after="0" w:line="156" w:lineRule="exact"/>
              <w:rPr>
                <w:sz w:val="20"/>
                <w:szCs w:val="20"/>
                <w:color w:val="auto"/>
              </w:rPr>
            </w:pPr>
            <w:r>
              <w:rPr>
                <w:rFonts w:ascii="Times New Roman" w:cs="Times New Roman" w:eastAsia="Times New Roman" w:hAnsi="Times New Roman"/>
                <w:sz w:val="15"/>
                <w:szCs w:val="15"/>
                <w:color w:val="0000EE"/>
                <w:w w:val="96"/>
              </w:rPr>
              <w:t>RISK FACTORS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3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ind w:left="60"/>
              <w:spacing w:after="0" w:line="167"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16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0000EE"/>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0000EE"/>
                <w:w w:val="79"/>
              </w:rPr>
              <w:t>14</w:t>
            </w:r>
          </w:p>
        </w:tc>
        <w:tc>
          <w:tcPr>
            <w:tcW w:w="160" w:type="dxa"/>
            <w:vAlign w:val="bottom"/>
          </w:tcPr>
          <w:p>
            <w:pPr>
              <w:spacing w:after="0"/>
              <w:rPr>
                <w:sz w:val="15"/>
                <w:szCs w:val="15"/>
                <w:color w:val="auto"/>
              </w:rPr>
            </w:pPr>
          </w:p>
        </w:tc>
      </w:tr>
      <w:tr>
        <w:trPr>
          <w:trHeight w:val="171"/>
        </w:trPr>
        <w:tc>
          <w:tcPr>
            <w:tcW w:w="2520" w:type="dxa"/>
            <w:vAlign w:val="bottom"/>
            <w:gridSpan w:val="20"/>
            <w:shd w:val="clear" w:color="auto" w:fill="CCEEFF"/>
          </w:tcPr>
          <w:p>
            <w:pPr>
              <w:spacing w:after="0" w:line="172" w:lineRule="exact"/>
              <w:rPr>
                <w:sz w:val="20"/>
                <w:szCs w:val="20"/>
                <w:color w:val="auto"/>
              </w:rPr>
            </w:pPr>
            <w:r>
              <w:rPr>
                <w:rFonts w:ascii="Times New Roman" w:cs="Times New Roman" w:eastAsia="Times New Roman" w:hAnsi="Times New Roman"/>
                <w:sz w:val="15"/>
                <w:szCs w:val="15"/>
                <w:color w:val="0000EE"/>
              </w:rPr>
              <w:t>SPECIAL NOTE REGARDING</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6"/>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0000EE"/>
              <w:bottom w:val="single" w:sz="8" w:color="CCEEFF"/>
            </w:tcBorders>
            <w:shd w:val="clear" w:color="auto" w:fill="CCEEFF"/>
          </w:tcPr>
          <w:p>
            <w:pPr>
              <w:spacing w:after="0"/>
              <w:rPr>
                <w:sz w:val="13"/>
                <w:szCs w:val="13"/>
                <w:color w:val="auto"/>
              </w:rPr>
            </w:pPr>
          </w:p>
        </w:tc>
        <w:tc>
          <w:tcPr>
            <w:tcW w:w="1460" w:type="dxa"/>
            <w:vAlign w:val="bottom"/>
            <w:tcBorders>
              <w:top w:val="single" w:sz="8" w:color="0000EE"/>
              <w:bottom w:val="single" w:sz="8" w:color="0000EE"/>
            </w:tcBorders>
            <w:gridSpan w:val="11"/>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7"/>
              </w:rPr>
              <w:t>FORWARD-LOOKING</w:t>
            </w:r>
          </w:p>
        </w:tc>
        <w:tc>
          <w:tcPr>
            <w:tcW w:w="380" w:type="dxa"/>
            <w:vAlign w:val="bottom"/>
            <w:tcBorders>
              <w:top w:val="single" w:sz="8" w:color="0000EE"/>
              <w:bottom w:val="single" w:sz="8" w:color="CCEEFF"/>
            </w:tcBorders>
            <w:gridSpan w:val="4"/>
            <w:shd w:val="clear" w:color="auto" w:fill="CCEEFF"/>
          </w:tcPr>
          <w:p>
            <w:pPr>
              <w:spacing w:after="0"/>
              <w:rPr>
                <w:sz w:val="13"/>
                <w:szCs w:val="13"/>
                <w:color w:val="auto"/>
              </w:rPr>
            </w:pPr>
          </w:p>
        </w:tc>
        <w:tc>
          <w:tcPr>
            <w:tcW w:w="52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0"/>
        </w:trPr>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0000EE"/>
            </w:tcBorders>
            <w:gridSpan w:val="6"/>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0000EE"/>
                <w:w w:val="96"/>
              </w:rPr>
              <w:t>STATEMENTS</w:t>
            </w:r>
          </w:p>
        </w:tc>
        <w:tc>
          <w:tcPr>
            <w:tcW w:w="1400" w:type="dxa"/>
            <w:vAlign w:val="bottom"/>
            <w:tcBorders>
              <w:bottom w:val="single" w:sz="8" w:color="CCEEFF"/>
            </w:tcBorders>
            <w:gridSpan w:val="12"/>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ind w:left="60"/>
              <w:spacing w:after="0" w:line="145"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tcBorders>
              <w:bottom w:val="single" w:sz="8" w:color="CCEEFF"/>
            </w:tcBorders>
            <w:gridSpan w:val="2"/>
            <w:shd w:val="clear" w:color="auto" w:fill="CCEEFF"/>
          </w:tcPr>
          <w:p>
            <w:pPr>
              <w:ind w:left="160"/>
              <w:spacing w:after="0" w:line="145"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0000EE"/>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0000EE"/>
                <w:w w:val="79"/>
              </w:rPr>
              <w:t>72</w:t>
            </w:r>
          </w:p>
        </w:tc>
        <w:tc>
          <w:tcPr>
            <w:tcW w:w="160" w:type="dxa"/>
            <w:vAlign w:val="bottom"/>
            <w:tcBorders>
              <w:bottom w:val="single" w:sz="8" w:color="CCEEFF"/>
            </w:tcBorders>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2220" w:type="dxa"/>
            <w:vAlign w:val="bottom"/>
            <w:tcBorders>
              <w:bottom w:val="single" w:sz="8" w:color="0000EE"/>
            </w:tcBorders>
            <w:gridSpan w:val="17"/>
          </w:tcPr>
          <w:p>
            <w:pPr>
              <w:spacing w:after="0" w:line="156" w:lineRule="exact"/>
              <w:rPr>
                <w:sz w:val="20"/>
                <w:szCs w:val="20"/>
                <w:color w:val="auto"/>
              </w:rPr>
            </w:pPr>
            <w:r>
              <w:rPr>
                <w:rFonts w:ascii="Times New Roman" w:cs="Times New Roman" w:eastAsia="Times New Roman" w:hAnsi="Times New Roman"/>
                <w:sz w:val="15"/>
                <w:szCs w:val="15"/>
                <w:color w:val="0000EE"/>
                <w:w w:val="97"/>
              </w:rPr>
              <w:t>MARKET AND INDUSTRY DATA</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ind w:left="60"/>
              <w:spacing w:after="0" w:line="167"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16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0000EE"/>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0000EE"/>
                <w:w w:val="79"/>
              </w:rPr>
              <w:t>74</w:t>
            </w:r>
          </w:p>
        </w:tc>
        <w:tc>
          <w:tcPr>
            <w:tcW w:w="160" w:type="dxa"/>
            <w:vAlign w:val="bottom"/>
          </w:tcPr>
          <w:p>
            <w:pPr>
              <w:spacing w:after="0"/>
              <w:rPr>
                <w:sz w:val="15"/>
                <w:szCs w:val="15"/>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0000EE"/>
            </w:tcBorders>
            <w:gridSpan w:val="10"/>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w w:val="98"/>
              </w:rPr>
              <w:t>USE OF PROCEEDS</w:t>
            </w:r>
          </w:p>
        </w:tc>
        <w:tc>
          <w:tcPr>
            <w:tcW w:w="640" w:type="dxa"/>
            <w:vAlign w:val="bottom"/>
            <w:tcBorders>
              <w:bottom w:val="single" w:sz="8" w:color="CCEEFF"/>
            </w:tcBorders>
            <w:gridSpan w:val="5"/>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0000EE"/>
            </w:tcBorders>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0000EE"/>
                <w:w w:val="79"/>
              </w:rPr>
              <w:t>75</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1300" w:type="dxa"/>
            <w:vAlign w:val="bottom"/>
            <w:tcBorders>
              <w:bottom w:val="single" w:sz="8" w:color="0000EE"/>
            </w:tcBorders>
            <w:gridSpan w:val="9"/>
          </w:tcPr>
          <w:p>
            <w:pPr>
              <w:spacing w:after="0" w:line="156" w:lineRule="exact"/>
              <w:rPr>
                <w:sz w:val="20"/>
                <w:szCs w:val="20"/>
                <w:color w:val="auto"/>
              </w:rPr>
            </w:pPr>
            <w:r>
              <w:rPr>
                <w:rFonts w:ascii="Times New Roman" w:cs="Times New Roman" w:eastAsia="Times New Roman" w:hAnsi="Times New Roman"/>
                <w:sz w:val="15"/>
                <w:szCs w:val="15"/>
                <w:color w:val="0000EE"/>
                <w:w w:val="97"/>
              </w:rPr>
              <w:t>DIVIDEND POLICY</w:t>
            </w:r>
          </w:p>
        </w:tc>
        <w:tc>
          <w:tcPr>
            <w:tcW w:w="66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ind w:left="60"/>
              <w:spacing w:after="0" w:line="167"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16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0000EE"/>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0000EE"/>
                <w:w w:val="79"/>
              </w:rPr>
              <w:t>76</w:t>
            </w:r>
          </w:p>
        </w:tc>
        <w:tc>
          <w:tcPr>
            <w:tcW w:w="160" w:type="dxa"/>
            <w:vAlign w:val="bottom"/>
          </w:tcPr>
          <w:p>
            <w:pPr>
              <w:spacing w:after="0"/>
              <w:rPr>
                <w:sz w:val="15"/>
                <w:szCs w:val="15"/>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0000EE"/>
            </w:tcBorders>
            <w:gridSpan w:val="8"/>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w w:val="95"/>
              </w:rPr>
              <w:t>CAPITALIZATION</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6"/>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0000EE"/>
            </w:tcBorders>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0000EE"/>
                <w:w w:val="79"/>
              </w:rPr>
              <w:t>77</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720" w:type="dxa"/>
            <w:vAlign w:val="bottom"/>
            <w:tcBorders>
              <w:bottom w:val="single" w:sz="8" w:color="0000EE"/>
            </w:tcBorders>
            <w:gridSpan w:val="3"/>
          </w:tcPr>
          <w:p>
            <w:pPr>
              <w:spacing w:after="0" w:line="156" w:lineRule="exact"/>
              <w:rPr>
                <w:sz w:val="20"/>
                <w:szCs w:val="20"/>
                <w:color w:val="auto"/>
              </w:rPr>
            </w:pPr>
            <w:r>
              <w:rPr>
                <w:rFonts w:ascii="Times New Roman" w:cs="Times New Roman" w:eastAsia="Times New Roman" w:hAnsi="Times New Roman"/>
                <w:sz w:val="15"/>
                <w:szCs w:val="15"/>
                <w:color w:val="0000EE"/>
                <w:w w:val="97"/>
              </w:rPr>
              <w:t>DILUTION</w:t>
            </w:r>
          </w:p>
        </w:tc>
        <w:tc>
          <w:tcPr>
            <w:tcW w:w="3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66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ind w:left="60"/>
              <w:spacing w:after="0" w:line="167"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16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0000EE"/>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0000EE"/>
                <w:w w:val="79"/>
              </w:rPr>
              <w:t>79</w:t>
            </w:r>
          </w:p>
        </w:tc>
        <w:tc>
          <w:tcPr>
            <w:tcW w:w="160" w:type="dxa"/>
            <w:vAlign w:val="bottom"/>
          </w:tcPr>
          <w:p>
            <w:pPr>
              <w:spacing w:after="0"/>
              <w:rPr>
                <w:sz w:val="15"/>
                <w:szCs w:val="15"/>
                <w:color w:val="auto"/>
              </w:rPr>
            </w:pPr>
          </w:p>
        </w:tc>
      </w:tr>
      <w:tr>
        <w:trPr>
          <w:trHeight w:val="171"/>
        </w:trPr>
        <w:tc>
          <w:tcPr>
            <w:tcW w:w="2520" w:type="dxa"/>
            <w:vAlign w:val="bottom"/>
            <w:gridSpan w:val="20"/>
            <w:shd w:val="clear" w:color="auto" w:fill="CCEEFF"/>
          </w:tcPr>
          <w:p>
            <w:pPr>
              <w:spacing w:after="0" w:line="172" w:lineRule="exact"/>
              <w:rPr>
                <w:sz w:val="20"/>
                <w:szCs w:val="20"/>
                <w:color w:val="auto"/>
              </w:rPr>
            </w:pPr>
            <w:r>
              <w:rPr>
                <w:rFonts w:ascii="Times New Roman" w:cs="Times New Roman" w:eastAsia="Times New Roman" w:hAnsi="Times New Roman"/>
                <w:sz w:val="15"/>
                <w:szCs w:val="15"/>
                <w:color w:val="0000EE"/>
                <w:w w:val="99"/>
              </w:rPr>
              <w:t>MANAGEMENT’S DISCUSSION AND</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6"/>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0000EE"/>
              <w:bottom w:val="single" w:sz="8" w:color="CCEEFF"/>
            </w:tcBorders>
            <w:shd w:val="clear" w:color="auto" w:fill="CCEEFF"/>
          </w:tcPr>
          <w:p>
            <w:pPr>
              <w:spacing w:after="0"/>
              <w:rPr>
                <w:sz w:val="13"/>
                <w:szCs w:val="13"/>
                <w:color w:val="auto"/>
              </w:rPr>
            </w:pPr>
          </w:p>
        </w:tc>
        <w:tc>
          <w:tcPr>
            <w:tcW w:w="1820" w:type="dxa"/>
            <w:vAlign w:val="bottom"/>
            <w:tcBorders>
              <w:top w:val="single" w:sz="8" w:color="0000EE"/>
              <w:bottom w:val="single" w:sz="8" w:color="0000EE"/>
            </w:tcBorders>
            <w:gridSpan w:val="14"/>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9"/>
              </w:rPr>
              <w:t>ANALYSIS OF FINANCIAL</w:t>
            </w:r>
          </w:p>
        </w:tc>
        <w:tc>
          <w:tcPr>
            <w:tcW w:w="540" w:type="dxa"/>
            <w:vAlign w:val="bottom"/>
            <w:tcBorders>
              <w:top w:val="single" w:sz="8" w:color="0000EE"/>
              <w:bottom w:val="single" w:sz="8" w:color="CCEEFF"/>
            </w:tcBorders>
            <w:gridSpan w:val="4"/>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6"/>
        </w:trPr>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360" w:type="dxa"/>
            <w:vAlign w:val="bottom"/>
            <w:gridSpan w:val="18"/>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CONDITION AND RESULTS OF</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80"/>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0000EE"/>
              <w:bottom w:val="single" w:sz="8" w:color="0000EE"/>
            </w:tcBorders>
            <w:gridSpan w:val="4"/>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0000EE"/>
                <w:w w:val="96"/>
              </w:rPr>
              <w:t>OPERATIONS</w:t>
            </w:r>
          </w:p>
        </w:tc>
        <w:tc>
          <w:tcPr>
            <w:tcW w:w="1180" w:type="dxa"/>
            <w:vAlign w:val="bottom"/>
            <w:tcBorders>
              <w:top w:val="single" w:sz="8" w:color="0000EE"/>
              <w:bottom w:val="single" w:sz="8" w:color="CCEEFF"/>
            </w:tcBorders>
            <w:gridSpan w:val="13"/>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ind w:left="60"/>
              <w:spacing w:after="0" w:line="145"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tcBorders>
              <w:top w:val="single" w:sz="8" w:color="CCEEFF"/>
              <w:bottom w:val="single" w:sz="8" w:color="CCEEFF"/>
            </w:tcBorders>
            <w:gridSpan w:val="2"/>
            <w:shd w:val="clear" w:color="auto" w:fill="CCEEFF"/>
          </w:tcPr>
          <w:p>
            <w:pPr>
              <w:ind w:left="160"/>
              <w:spacing w:after="0" w:line="145"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top w:val="single" w:sz="8" w:color="CCEEFF"/>
              <w:bottom w:val="single" w:sz="8" w:color="0000EE"/>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0000EE"/>
                <w:w w:val="79"/>
              </w:rPr>
              <w:t>82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700" w:type="dxa"/>
            <w:vAlign w:val="bottom"/>
            <w:tcBorders>
              <w:bottom w:val="single" w:sz="8" w:color="0000EE"/>
            </w:tcBorders>
            <w:gridSpan w:val="2"/>
          </w:tcPr>
          <w:p>
            <w:pPr>
              <w:spacing w:after="0" w:line="156" w:lineRule="exact"/>
              <w:rPr>
                <w:sz w:val="20"/>
                <w:szCs w:val="20"/>
                <w:color w:val="auto"/>
              </w:rPr>
            </w:pPr>
            <w:r>
              <w:rPr>
                <w:rFonts w:ascii="Times New Roman" w:cs="Times New Roman" w:eastAsia="Times New Roman" w:hAnsi="Times New Roman"/>
                <w:sz w:val="15"/>
                <w:szCs w:val="15"/>
                <w:color w:val="0000EE"/>
                <w:w w:val="95"/>
              </w:rPr>
              <w:t>BUSINESS</w:t>
            </w:r>
          </w:p>
        </w:tc>
        <w:tc>
          <w:tcPr>
            <w:tcW w:w="380" w:type="dxa"/>
            <w:vAlign w:val="bottom"/>
            <w:gridSpan w:val="4"/>
          </w:tcPr>
          <w:p>
            <w:pPr>
              <w:spacing w:after="0"/>
              <w:rPr>
                <w:sz w:val="15"/>
                <w:szCs w:val="15"/>
                <w:color w:val="auto"/>
              </w:rPr>
            </w:pPr>
          </w:p>
        </w:tc>
        <w:tc>
          <w:tcPr>
            <w:tcW w:w="220" w:type="dxa"/>
            <w:vAlign w:val="bottom"/>
            <w:gridSpan w:val="3"/>
          </w:tcPr>
          <w:p>
            <w:pPr>
              <w:spacing w:after="0"/>
              <w:rPr>
                <w:sz w:val="15"/>
                <w:szCs w:val="15"/>
                <w:color w:val="auto"/>
              </w:rPr>
            </w:pPr>
          </w:p>
        </w:tc>
        <w:tc>
          <w:tcPr>
            <w:tcW w:w="680" w:type="dxa"/>
            <w:vAlign w:val="bottom"/>
            <w:gridSpan w:val="7"/>
          </w:tcPr>
          <w:p>
            <w:pPr>
              <w:spacing w:after="0"/>
              <w:rPr>
                <w:sz w:val="15"/>
                <w:szCs w:val="15"/>
                <w:color w:val="auto"/>
              </w:rPr>
            </w:pPr>
          </w:p>
        </w:tc>
        <w:tc>
          <w:tcPr>
            <w:tcW w:w="520" w:type="dxa"/>
            <w:vAlign w:val="bottom"/>
            <w:gridSpan w:val="3"/>
          </w:tcPr>
          <w:p>
            <w:pPr>
              <w:spacing w:after="0"/>
              <w:rPr>
                <w:sz w:val="15"/>
                <w:szCs w:val="15"/>
                <w:color w:val="auto"/>
              </w:rPr>
            </w:pPr>
          </w:p>
        </w:tc>
        <w:tc>
          <w:tcPr>
            <w:tcW w:w="200" w:type="dxa"/>
            <w:vAlign w:val="bottom"/>
          </w:tcPr>
          <w:p>
            <w:pPr>
              <w:ind w:left="60"/>
              <w:spacing w:after="0" w:line="167" w:lineRule="exact"/>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5"/>
                <w:szCs w:val="15"/>
                <w:color w:val="auto"/>
              </w:rPr>
            </w:pPr>
          </w:p>
        </w:tc>
        <w:tc>
          <w:tcPr>
            <w:tcW w:w="220" w:type="dxa"/>
            <w:vAlign w:val="bottom"/>
            <w:tcBorders>
              <w:bottom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88"/>
              </w:rPr>
              <w:t>​</w:t>
            </w:r>
            <w:r>
              <w:rPr>
                <w:rFonts w:ascii="Times New Roman" w:cs="Times New Roman" w:eastAsia="Times New Roman" w:hAnsi="Times New Roman"/>
                <w:sz w:val="15"/>
                <w:szCs w:val="15"/>
                <w:color w:val="0000EE"/>
                <w:w w:val="88"/>
              </w:rPr>
              <w:t>102</w:t>
            </w:r>
          </w:p>
        </w:tc>
        <w:tc>
          <w:tcPr>
            <w:tcW w:w="160" w:type="dxa"/>
            <w:vAlign w:val="bottom"/>
          </w:tcPr>
          <w:p>
            <w:pPr>
              <w:spacing w:after="0"/>
              <w:rPr>
                <w:sz w:val="15"/>
                <w:szCs w:val="15"/>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0000EE"/>
            </w:tcBorders>
            <w:gridSpan w:val="6"/>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w w:val="97"/>
              </w:rPr>
              <w:t>MANAGEMENT</w:t>
            </w:r>
          </w:p>
        </w:tc>
        <w:tc>
          <w:tcPr>
            <w:tcW w:w="220" w:type="dxa"/>
            <w:vAlign w:val="bottom"/>
            <w:tcBorders>
              <w:bottom w:val="single" w:sz="8" w:color="CCEEFF"/>
            </w:tcBorders>
            <w:gridSpan w:val="3"/>
            <w:shd w:val="clear" w:color="auto" w:fill="CCEEFF"/>
          </w:tcPr>
          <w:p>
            <w:pPr>
              <w:spacing w:after="0"/>
              <w:rPr>
                <w:sz w:val="16"/>
                <w:szCs w:val="16"/>
                <w:color w:val="auto"/>
              </w:rPr>
            </w:pPr>
          </w:p>
        </w:tc>
        <w:tc>
          <w:tcPr>
            <w:tcW w:w="680" w:type="dxa"/>
            <w:vAlign w:val="bottom"/>
            <w:tcBorders>
              <w:bottom w:val="single" w:sz="8" w:color="CCEEFF"/>
            </w:tcBorders>
            <w:gridSpan w:val="7"/>
            <w:shd w:val="clear" w:color="auto" w:fill="CCEEFF"/>
          </w:tcPr>
          <w:p>
            <w:pPr>
              <w:spacing w:after="0"/>
              <w:rPr>
                <w:sz w:val="16"/>
                <w:szCs w:val="16"/>
                <w:color w:val="auto"/>
              </w:rPr>
            </w:pPr>
          </w:p>
        </w:tc>
        <w:tc>
          <w:tcPr>
            <w:tcW w:w="520" w:type="dxa"/>
            <w:vAlign w:val="bottom"/>
            <w:tcBorders>
              <w:bottom w:val="single" w:sz="8" w:color="CCEEFF"/>
            </w:tcBorders>
            <w:gridSpan w:val="3"/>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0000EE"/>
            </w:tcBorders>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88"/>
              </w:rPr>
              <w:t>​</w:t>
            </w:r>
            <w:r>
              <w:rPr>
                <w:rFonts w:ascii="Times New Roman" w:cs="Times New Roman" w:eastAsia="Times New Roman" w:hAnsi="Times New Roman"/>
                <w:sz w:val="15"/>
                <w:szCs w:val="15"/>
                <w:color w:val="0000EE"/>
                <w:w w:val="88"/>
              </w:rPr>
              <w:t>158</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65"/>
        </w:trPr>
        <w:tc>
          <w:tcPr>
            <w:tcW w:w="2520" w:type="dxa"/>
            <w:vAlign w:val="bottom"/>
            <w:gridSpan w:val="20"/>
          </w:tcPr>
          <w:p>
            <w:pPr>
              <w:spacing w:after="0" w:line="165" w:lineRule="exact"/>
              <w:rPr>
                <w:sz w:val="20"/>
                <w:szCs w:val="20"/>
                <w:color w:val="auto"/>
              </w:rPr>
            </w:pPr>
            <w:r>
              <w:rPr>
                <w:rFonts w:ascii="Times New Roman" w:cs="Times New Roman" w:eastAsia="Times New Roman" w:hAnsi="Times New Roman"/>
                <w:sz w:val="15"/>
                <w:szCs w:val="15"/>
                <w:color w:val="0000EE"/>
              </w:rPr>
              <w:t>EXECUTIVE AND DIRECTOR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160" w:type="dxa"/>
            <w:vAlign w:val="bottom"/>
            <w:tcBorders>
              <w:top w:val="single" w:sz="8" w:color="0000EE"/>
            </w:tcBorders>
            <w:gridSpan w:val="8"/>
          </w:tcPr>
          <w:p>
            <w:pPr>
              <w:spacing w:after="0" w:line="156" w:lineRule="exact"/>
              <w:rPr>
                <w:sz w:val="20"/>
                <w:szCs w:val="20"/>
                <w:color w:val="auto"/>
              </w:rPr>
            </w:pPr>
            <w:r>
              <w:rPr>
                <w:rFonts w:ascii="Times New Roman" w:cs="Times New Roman" w:eastAsia="Times New Roman" w:hAnsi="Times New Roman"/>
                <w:sz w:val="15"/>
                <w:szCs w:val="15"/>
                <w:color w:val="0000EE"/>
                <w:w w:val="96"/>
              </w:rPr>
              <w:t>COMPENSATION</w:t>
            </w:r>
          </w:p>
        </w:tc>
        <w:tc>
          <w:tcPr>
            <w:tcW w:w="680" w:type="dxa"/>
            <w:vAlign w:val="bottom"/>
            <w:tcBorders>
              <w:top w:val="single" w:sz="8" w:color="0000EE"/>
            </w:tcBorders>
            <w:gridSpan w:val="7"/>
          </w:tcPr>
          <w:p>
            <w:pPr>
              <w:spacing w:after="0"/>
              <w:rPr>
                <w:sz w:val="13"/>
                <w:szCs w:val="13"/>
                <w:color w:val="auto"/>
              </w:rPr>
            </w:pPr>
          </w:p>
        </w:tc>
        <w:tc>
          <w:tcPr>
            <w:tcW w:w="520" w:type="dxa"/>
            <w:vAlign w:val="bottom"/>
            <w:gridSpan w:val="3"/>
          </w:tcPr>
          <w:p>
            <w:pPr>
              <w:spacing w:after="0"/>
              <w:rPr>
                <w:sz w:val="13"/>
                <w:szCs w:val="13"/>
                <w:color w:val="auto"/>
              </w:rPr>
            </w:pPr>
          </w:p>
        </w:tc>
        <w:tc>
          <w:tcPr>
            <w:tcW w:w="200" w:type="dxa"/>
            <w:vAlign w:val="bottom"/>
          </w:tcPr>
          <w:p>
            <w:pPr>
              <w:ind w:left="60"/>
              <w:spacing w:after="0" w:line="156" w:lineRule="exact"/>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5"/>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color w:val="0000EE"/>
              </w:rPr>
              <w:t>167</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84" w:hanging="184"/>
        <w:spacing w:after="0" w:line="181" w:lineRule="auto"/>
        <w:tabs>
          <w:tab w:leader="none" w:pos="184" w:val="left"/>
        </w:tabs>
        <w:numPr>
          <w:ilvl w:val="0"/>
          <w:numId w:val="2"/>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5"/>
          <w:szCs w:val="15"/>
          <w:u w:val="single" w:color="auto"/>
          <w:color w:val="0000EE"/>
        </w:rPr>
        <w:t>CERTAIN RELATIONSHIPS AND</w:t>
      </w:r>
    </w:p>
    <w:tbl>
      <w:tblPr>
        <w:tblLayout w:type="fixed"/>
        <w:tblInd w:w="4" w:type="dxa"/>
        <w:tblCellMar>
          <w:top w:w="0" w:type="dxa"/>
          <w:left w:w="0" w:type="dxa"/>
          <w:bottom w:w="0" w:type="dxa"/>
          <w:right w:w="0" w:type="dxa"/>
        </w:tblCellMar>
      </w:tblPr>
      <w:tr>
        <w:trPr>
          <w:trHeight w:val="143"/>
        </w:trPr>
        <w:tc>
          <w:tcPr>
            <w:tcW w:w="2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2760" w:type="dxa"/>
            <w:vAlign w:val="bottom"/>
            <w:gridSpan w:val="5"/>
          </w:tcPr>
          <w:p>
            <w:pPr>
              <w:jc w:val="right"/>
              <w:ind w:right="7"/>
              <w:spacing w:after="0" w:line="144" w:lineRule="exact"/>
              <w:rPr>
                <w:sz w:val="20"/>
                <w:szCs w:val="20"/>
                <w:color w:val="auto"/>
              </w:rPr>
            </w:pPr>
            <w:r>
              <w:rPr>
                <w:rFonts w:ascii="Times New Roman" w:cs="Times New Roman" w:eastAsia="Times New Roman" w:hAnsi="Times New Roman"/>
                <w:sz w:val="15"/>
                <w:szCs w:val="15"/>
                <w:color w:val="0000EE"/>
              </w:rPr>
              <w:t xml:space="preserve">RELATED PARTY TRANSACTIONS </w:t>
            </w:r>
            <w:r>
              <w:rPr>
                <w:rFonts w:ascii="Times New Roman" w:cs="Times New Roman" w:eastAsia="Times New Roman" w:hAnsi="Times New Roman"/>
                <w:sz w:val="15"/>
                <w:szCs w:val="15"/>
                <w:color w:val="000000"/>
              </w:rPr>
              <w:t>​ ​</w:t>
            </w:r>
          </w:p>
        </w:tc>
        <w:tc>
          <w:tcPr>
            <w:tcW w:w="46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182</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0" w:type="dxa"/>
            <w:vAlign w:val="bottom"/>
            <w:vMerge w:val="continue"/>
          </w:tcPr>
          <w:p>
            <w:pPr>
              <w:spacing w:after="0"/>
              <w:rPr>
                <w:sz w:val="6"/>
                <w:szCs w:val="6"/>
                <w:color w:val="auto"/>
              </w:rPr>
            </w:pP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EE"/>
                <w:w w:val="97"/>
              </w:rPr>
              <w:t>PRINCIPAL STOCKHOLDERS</w:t>
            </w: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6"/>
                <w:szCs w:val="6"/>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0000EE"/>
                <w:w w:val="97"/>
              </w:rPr>
              <w:t>187</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tcPr>
          <w:p>
            <w:pPr>
              <w:spacing w:after="0"/>
              <w:rPr>
                <w:sz w:val="11"/>
                <w:szCs w:val="11"/>
                <w:color w:val="auto"/>
              </w:rPr>
            </w:pPr>
          </w:p>
        </w:tc>
        <w:tc>
          <w:tcPr>
            <w:tcW w:w="1960" w:type="dxa"/>
            <w:vAlign w:val="bottom"/>
            <w:tcBorders>
              <w:bottom w:val="single" w:sz="8" w:color="0000EE"/>
            </w:tcBorders>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0000EE"/>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0" w:type="dxa"/>
            <w:vAlign w:val="bottom"/>
            <w:tcBorders>
              <w:right w:val="single" w:sz="8" w:color="CCEEFF"/>
            </w:tcBorders>
          </w:tcPr>
          <w:p>
            <w:pPr>
              <w:spacing w:after="0" w:line="151" w:lineRule="exact"/>
              <w:rPr>
                <w:sz w:val="20"/>
                <w:szCs w:val="20"/>
                <w:color w:val="auto"/>
              </w:rPr>
            </w:pPr>
            <w:r>
              <w:rPr>
                <w:rFonts w:ascii="Times New Roman" w:cs="Times New Roman" w:eastAsia="Times New Roman" w:hAnsi="Times New Roman"/>
                <w:sz w:val="15"/>
                <w:szCs w:val="15"/>
                <w:color w:val="auto"/>
              </w:rPr>
              <w:t>​</w:t>
            </w:r>
          </w:p>
        </w:tc>
        <w:tc>
          <w:tcPr>
            <w:tcW w:w="2500" w:type="dxa"/>
            <w:vAlign w:val="bottom"/>
            <w:gridSpan w:val="4"/>
            <w:shd w:val="clear" w:color="auto" w:fill="CCEEFF"/>
          </w:tcPr>
          <w:p>
            <w:pPr>
              <w:spacing w:after="0" w:line="151" w:lineRule="exact"/>
              <w:rPr>
                <w:sz w:val="20"/>
                <w:szCs w:val="20"/>
                <w:color w:val="auto"/>
              </w:rPr>
            </w:pPr>
            <w:r>
              <w:rPr>
                <w:rFonts w:ascii="Times New Roman" w:cs="Times New Roman" w:eastAsia="Times New Roman" w:hAnsi="Times New Roman"/>
                <w:sz w:val="15"/>
                <w:szCs w:val="15"/>
                <w:color w:val="0000EE"/>
              </w:rPr>
              <w:t>DESCRIPTION OF CAPITAL STOCK</w:t>
            </w:r>
          </w:p>
        </w:tc>
        <w:tc>
          <w:tcPr>
            <w:tcW w:w="260" w:type="dxa"/>
            <w:vAlign w:val="bottom"/>
            <w:shd w:val="clear" w:color="auto" w:fill="CCEEFF"/>
          </w:tcPr>
          <w:p>
            <w:pPr>
              <w:jc w:val="right"/>
              <w:ind w:right="7"/>
              <w:spacing w:after="0" w:line="151" w:lineRule="exact"/>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3"/>
            <w:shd w:val="clear" w:color="auto" w:fill="CCEEFF"/>
          </w:tcPr>
          <w:p>
            <w:pPr>
              <w:ind w:left="80"/>
              <w:spacing w:after="0" w:line="151"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190</w:t>
            </w:r>
          </w:p>
        </w:tc>
        <w:tc>
          <w:tcPr>
            <w:tcW w:w="0" w:type="dxa"/>
            <w:vAlign w:val="bottom"/>
          </w:tcPr>
          <w:p>
            <w:pPr>
              <w:spacing w:after="0"/>
              <w:rPr>
                <w:sz w:val="1"/>
                <w:szCs w:val="1"/>
                <w:color w:val="auto"/>
              </w:rPr>
            </w:pPr>
          </w:p>
        </w:tc>
      </w:tr>
      <w:tr>
        <w:trPr>
          <w:trHeight w:val="24"/>
        </w:trPr>
        <w:tc>
          <w:tcPr>
            <w:tcW w:w="200" w:type="dxa"/>
            <w:vAlign w:val="bottom"/>
            <w:tcBorders>
              <w:right w:val="single" w:sz="8" w:color="CCEEFF"/>
            </w:tcBorders>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4" w:hanging="184"/>
        <w:spacing w:after="0" w:line="187" w:lineRule="auto"/>
        <w:tabs>
          <w:tab w:leader="none" w:pos="184" w:val="left"/>
        </w:tabs>
        <w:numPr>
          <w:ilvl w:val="0"/>
          <w:numId w:val="3"/>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2"/>
          <w:szCs w:val="12"/>
          <w:u w:val="single" w:color="auto"/>
          <w:color w:val="0000EE"/>
        </w:rPr>
        <w:t>SHARES ELIGIBLE FOR FUTURE</w:t>
      </w:r>
    </w:p>
    <w:tbl>
      <w:tblPr>
        <w:tblLayout w:type="fixed"/>
        <w:tblInd w:w="4" w:type="dxa"/>
        <w:tblCellMar>
          <w:top w:w="0" w:type="dxa"/>
          <w:left w:w="0" w:type="dxa"/>
          <w:bottom w:w="0" w:type="dxa"/>
          <w:right w:w="0" w:type="dxa"/>
        </w:tblCellMar>
      </w:tblPr>
      <w:tr>
        <w:trPr>
          <w:trHeight w:val="143"/>
        </w:trPr>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gridSpan w:val="12"/>
          </w:tcPr>
          <w:p>
            <w:pPr>
              <w:spacing w:after="0" w:line="124" w:lineRule="exact"/>
              <w:rPr>
                <w:sz w:val="20"/>
                <w:szCs w:val="20"/>
                <w:color w:val="auto"/>
              </w:rPr>
            </w:pPr>
            <w:r>
              <w:rPr>
                <w:rFonts w:ascii="Times New Roman" w:cs="Times New Roman" w:eastAsia="Times New Roman" w:hAnsi="Times New Roman"/>
                <w:sz w:val="14"/>
                <w:szCs w:val="14"/>
                <w:color w:val="0000EE"/>
              </w:rPr>
              <w:t>SALE</w:t>
            </w:r>
          </w:p>
        </w:tc>
        <w:tc>
          <w:tcPr>
            <w:tcW w:w="380" w:type="dxa"/>
            <w:vAlign w:val="bottom"/>
          </w:tcPr>
          <w:p>
            <w:pPr>
              <w:ind w:left="180"/>
              <w:spacing w:after="0" w:line="124"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4"/>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195</w:t>
            </w:r>
          </w:p>
        </w:tc>
        <w:tc>
          <w:tcPr>
            <w:tcW w:w="0" w:type="dxa"/>
            <w:vAlign w:val="bottom"/>
          </w:tcPr>
          <w:p>
            <w:pPr>
              <w:spacing w:after="0"/>
              <w:rPr>
                <w:sz w:val="1"/>
                <w:szCs w:val="1"/>
                <w:color w:val="auto"/>
              </w:rPr>
            </w:pPr>
          </w:p>
        </w:tc>
      </w:tr>
      <w:tr>
        <w:trPr>
          <w:trHeight w:val="24"/>
        </w:trPr>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80" w:type="dxa"/>
            <w:vAlign w:val="bottom"/>
          </w:tcPr>
          <w:p>
            <w:pPr>
              <w:spacing w:after="0"/>
              <w:rPr>
                <w:sz w:val="14"/>
                <w:szCs w:val="14"/>
                <w:color w:val="auto"/>
              </w:rPr>
            </w:pPr>
          </w:p>
        </w:tc>
        <w:tc>
          <w:tcPr>
            <w:tcW w:w="1820" w:type="dxa"/>
            <w:vAlign w:val="bottom"/>
            <w:tcBorders>
              <w:bottom w:val="single" w:sz="8" w:color="0000EE"/>
            </w:tcBorders>
            <w:gridSpan w:val="8"/>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0000EE"/>
              </w:rPr>
              <w:t>MATERIAL U.S. FEDERAL</w:t>
            </w:r>
          </w:p>
        </w:tc>
        <w:tc>
          <w:tcPr>
            <w:tcW w:w="580" w:type="dxa"/>
            <w:vAlign w:val="bottom"/>
            <w:tcBorders>
              <w:bottom w:val="single" w:sz="8" w:color="CCEEFF"/>
            </w:tcBorders>
            <w:gridSpan w:val="5"/>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2200" w:type="dxa"/>
            <w:vAlign w:val="bottom"/>
            <w:tcBorders>
              <w:bottom w:val="single" w:sz="8" w:color="0000EE"/>
            </w:tcBorders>
            <w:gridSpan w:val="11"/>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0000EE"/>
              </w:rPr>
              <w:t>INCOME TAX CONSEQUENCES</w:t>
            </w:r>
          </w:p>
        </w:tc>
        <w:tc>
          <w:tcPr>
            <w:tcW w:w="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2260" w:type="dxa"/>
            <w:vAlign w:val="bottom"/>
            <w:tcBorders>
              <w:bottom w:val="single" w:sz="8" w:color="0000EE"/>
            </w:tcBorders>
            <w:gridSpan w:val="1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TO NON-U.S. HOLDERS OF OUR</w:t>
            </w:r>
          </w:p>
        </w:tc>
        <w:tc>
          <w:tcPr>
            <w:tcW w:w="3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80" w:type="dxa"/>
            <w:vAlign w:val="bottom"/>
            <w:vMerge w:val="continue"/>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5"/>
            <w:vMerge w:val="restart"/>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8"/>
              </w:rPr>
              <w:t>COMMON STOCK</w:t>
            </w:r>
          </w:p>
        </w:tc>
        <w:tc>
          <w:tcPr>
            <w:tcW w:w="1040" w:type="dxa"/>
            <w:vAlign w:val="bottom"/>
            <w:gridSpan w:val="7"/>
            <w:vMerge w:val="restart"/>
            <w:shd w:val="clear" w:color="auto" w:fill="CCEEFF"/>
          </w:tcPr>
          <w:p>
            <w:pPr>
              <w:spacing w:after="0"/>
              <w:rPr>
                <w:sz w:val="6"/>
                <w:szCs w:val="6"/>
                <w:color w:val="auto"/>
              </w:rPr>
            </w:pPr>
          </w:p>
        </w:tc>
        <w:tc>
          <w:tcPr>
            <w:tcW w:w="380" w:type="dxa"/>
            <w:vAlign w:val="bottom"/>
            <w:vMerge w:val="restart"/>
            <w:shd w:val="clear" w:color="auto" w:fill="CCEEFF"/>
          </w:tcPr>
          <w:p>
            <w:pPr>
              <w:ind w:left="180"/>
              <w:spacing w:after="0" w:line="156" w:lineRule="exact"/>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4"/>
            <w:vMerge w:val="restart"/>
            <w:shd w:val="clear" w:color="auto" w:fill="CCEEFF"/>
          </w:tcPr>
          <w:p>
            <w:pPr>
              <w:ind w:left="80"/>
              <w:spacing w:after="0" w:line="156"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198</w:t>
            </w:r>
          </w:p>
        </w:tc>
        <w:tc>
          <w:tcPr>
            <w:tcW w:w="0" w:type="dxa"/>
            <w:vAlign w:val="bottom"/>
          </w:tcPr>
          <w:p>
            <w:pPr>
              <w:spacing w:after="0"/>
              <w:rPr>
                <w:sz w:val="1"/>
                <w:szCs w:val="1"/>
                <w:color w:val="auto"/>
              </w:rPr>
            </w:pPr>
          </w:p>
        </w:tc>
      </w:tr>
      <w:tr>
        <w:trPr>
          <w:trHeight w:val="77"/>
        </w:trPr>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6"/>
                <w:szCs w:val="6"/>
                <w:color w:val="auto"/>
              </w:rPr>
            </w:pPr>
          </w:p>
        </w:tc>
        <w:tc>
          <w:tcPr>
            <w:tcW w:w="1220" w:type="dxa"/>
            <w:vAlign w:val="bottom"/>
            <w:gridSpan w:val="5"/>
            <w:vMerge w:val="continue"/>
            <w:shd w:val="clear" w:color="auto" w:fill="CCEEFF"/>
          </w:tcPr>
          <w:p>
            <w:pPr>
              <w:spacing w:after="0"/>
              <w:rPr>
                <w:sz w:val="6"/>
                <w:szCs w:val="6"/>
                <w:color w:val="auto"/>
              </w:rPr>
            </w:pPr>
          </w:p>
        </w:tc>
        <w:tc>
          <w:tcPr>
            <w:tcW w:w="1040" w:type="dxa"/>
            <w:vAlign w:val="bottom"/>
            <w:gridSpan w:val="7"/>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460" w:type="dxa"/>
            <w:vAlign w:val="bottom"/>
            <w:gridSpan w:val="4"/>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180" w:type="dxa"/>
            <w:vAlign w:val="bottom"/>
            <w:vMerge w:val="continue"/>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80" w:type="dxa"/>
            <w:vAlign w:val="bottom"/>
            <w:vMerge w:val="continue"/>
          </w:tcPr>
          <w:p>
            <w:pPr>
              <w:spacing w:after="0"/>
              <w:rPr>
                <w:sz w:val="14"/>
                <w:szCs w:val="14"/>
                <w:color w:val="auto"/>
              </w:rPr>
            </w:pPr>
          </w:p>
        </w:tc>
        <w:tc>
          <w:tcPr>
            <w:tcW w:w="2400" w:type="dxa"/>
            <w:vAlign w:val="bottom"/>
            <w:gridSpan w:val="13"/>
          </w:tcPr>
          <w:p>
            <w:pPr>
              <w:spacing w:after="0" w:line="165" w:lineRule="exact"/>
              <w:rPr>
                <w:sz w:val="20"/>
                <w:szCs w:val="20"/>
                <w:color w:val="auto"/>
              </w:rPr>
            </w:pPr>
            <w:r>
              <w:rPr>
                <w:rFonts w:ascii="Times New Roman" w:cs="Times New Roman" w:eastAsia="Times New Roman" w:hAnsi="Times New Roman"/>
                <w:sz w:val="15"/>
                <w:szCs w:val="15"/>
                <w:color w:val="0000EE"/>
              </w:rPr>
              <w:t>UNDERWRITERS</w:t>
            </w:r>
          </w:p>
        </w:tc>
        <w:tc>
          <w:tcPr>
            <w:tcW w:w="380" w:type="dxa"/>
            <w:vAlign w:val="bottom"/>
          </w:tcPr>
          <w:p>
            <w:pPr>
              <w:ind w:left="180"/>
              <w:spacing w:after="0" w:line="165" w:lineRule="exact"/>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4"/>
          </w:tcPr>
          <w:p>
            <w:pPr>
              <w:ind w:left="80"/>
              <w:spacing w:after="0" w:line="165"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202</w:t>
            </w:r>
          </w:p>
        </w:tc>
        <w:tc>
          <w:tcPr>
            <w:tcW w:w="0" w:type="dxa"/>
            <w:vAlign w:val="bottom"/>
          </w:tcPr>
          <w:p>
            <w:pPr>
              <w:spacing w:after="0"/>
              <w:rPr>
                <w:sz w:val="1"/>
                <w:szCs w:val="1"/>
                <w:color w:val="auto"/>
              </w:rPr>
            </w:pPr>
          </w:p>
        </w:tc>
      </w:tr>
      <w:tr>
        <w:trPr>
          <w:trHeight w:val="22"/>
        </w:trPr>
        <w:tc>
          <w:tcPr>
            <w:tcW w:w="180" w:type="dxa"/>
            <w:vAlign w:val="bottom"/>
            <w:vMerge w:val="restart"/>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80" w:type="dxa"/>
            <w:vAlign w:val="bottom"/>
            <w:vMerge w:val="continue"/>
          </w:tcPr>
          <w:p>
            <w:pPr>
              <w:spacing w:after="0"/>
              <w:rPr>
                <w:sz w:val="14"/>
                <w:szCs w:val="14"/>
                <w:color w:val="auto"/>
              </w:rPr>
            </w:pPr>
          </w:p>
        </w:tc>
        <w:tc>
          <w:tcPr>
            <w:tcW w:w="1220" w:type="dxa"/>
            <w:vAlign w:val="bottom"/>
            <w:gridSpan w:val="5"/>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0000EE"/>
                <w:w w:val="97"/>
              </w:rPr>
              <w:t>LEGAL MATTERS</w:t>
            </w:r>
          </w:p>
        </w:tc>
        <w:tc>
          <w:tcPr>
            <w:tcW w:w="1180" w:type="dxa"/>
            <w:vAlign w:val="bottom"/>
            <w:gridSpan w:val="8"/>
            <w:shd w:val="clear" w:color="auto" w:fill="CCEEFF"/>
          </w:tcPr>
          <w:p>
            <w:pPr>
              <w:spacing w:after="0"/>
              <w:rPr>
                <w:sz w:val="14"/>
                <w:szCs w:val="14"/>
                <w:color w:val="auto"/>
              </w:rPr>
            </w:pPr>
          </w:p>
        </w:tc>
        <w:tc>
          <w:tcPr>
            <w:tcW w:w="3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4"/>
            <w:shd w:val="clear" w:color="auto" w:fill="CCEEFF"/>
          </w:tcPr>
          <w:p>
            <w:pPr>
              <w:ind w:left="80"/>
              <w:spacing w:after="0" w:line="165"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211</w:t>
            </w:r>
          </w:p>
        </w:tc>
        <w:tc>
          <w:tcPr>
            <w:tcW w:w="0" w:type="dxa"/>
            <w:vAlign w:val="bottom"/>
          </w:tcPr>
          <w:p>
            <w:pPr>
              <w:spacing w:after="0"/>
              <w:rPr>
                <w:sz w:val="1"/>
                <w:szCs w:val="1"/>
                <w:color w:val="auto"/>
              </w:rPr>
            </w:pPr>
          </w:p>
        </w:tc>
      </w:tr>
      <w:tr>
        <w:trPr>
          <w:trHeight w:val="22"/>
        </w:trPr>
        <w:tc>
          <w:tcPr>
            <w:tcW w:w="180" w:type="dxa"/>
            <w:vAlign w:val="bottom"/>
            <w:vMerge w:val="restart"/>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80" w:type="dxa"/>
            <w:vAlign w:val="bottom"/>
            <w:vMerge w:val="continue"/>
          </w:tcPr>
          <w:p>
            <w:pPr>
              <w:spacing w:after="0"/>
              <w:rPr>
                <w:sz w:val="14"/>
                <w:szCs w:val="14"/>
                <w:color w:val="auto"/>
              </w:rPr>
            </w:pPr>
          </w:p>
        </w:tc>
        <w:tc>
          <w:tcPr>
            <w:tcW w:w="1220" w:type="dxa"/>
            <w:vAlign w:val="bottom"/>
            <w:gridSpan w:val="5"/>
          </w:tcPr>
          <w:p>
            <w:pPr>
              <w:spacing w:after="0" w:line="165" w:lineRule="exact"/>
              <w:rPr>
                <w:sz w:val="20"/>
                <w:szCs w:val="20"/>
                <w:color w:val="auto"/>
              </w:rPr>
            </w:pPr>
            <w:r>
              <w:rPr>
                <w:rFonts w:ascii="Times New Roman" w:cs="Times New Roman" w:eastAsia="Times New Roman" w:hAnsi="Times New Roman"/>
                <w:sz w:val="15"/>
                <w:szCs w:val="15"/>
                <w:color w:val="0000EE"/>
              </w:rPr>
              <w:t>EXPERTS</w:t>
            </w:r>
          </w:p>
        </w:tc>
        <w:tc>
          <w:tcPr>
            <w:tcW w:w="1180" w:type="dxa"/>
            <w:vAlign w:val="bottom"/>
            <w:gridSpan w:val="8"/>
          </w:tcPr>
          <w:p>
            <w:pPr>
              <w:spacing w:after="0"/>
              <w:rPr>
                <w:sz w:val="14"/>
                <w:szCs w:val="14"/>
                <w:color w:val="auto"/>
              </w:rPr>
            </w:pPr>
          </w:p>
        </w:tc>
        <w:tc>
          <w:tcPr>
            <w:tcW w:w="380" w:type="dxa"/>
            <w:vAlign w:val="bottom"/>
          </w:tcPr>
          <w:p>
            <w:pPr>
              <w:ind w:left="180"/>
              <w:spacing w:after="0" w:line="165" w:lineRule="exact"/>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4"/>
          </w:tcPr>
          <w:p>
            <w:pPr>
              <w:ind w:left="80"/>
              <w:spacing w:after="0" w:line="165"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211</w:t>
            </w:r>
          </w:p>
        </w:tc>
        <w:tc>
          <w:tcPr>
            <w:tcW w:w="0" w:type="dxa"/>
            <w:vAlign w:val="bottom"/>
          </w:tcPr>
          <w:p>
            <w:pPr>
              <w:spacing w:after="0"/>
              <w:rPr>
                <w:sz w:val="1"/>
                <w:szCs w:val="1"/>
                <w:color w:val="auto"/>
              </w:rPr>
            </w:pPr>
          </w:p>
        </w:tc>
      </w:tr>
      <w:tr>
        <w:trPr>
          <w:trHeight w:val="22"/>
        </w:trPr>
        <w:tc>
          <w:tcPr>
            <w:tcW w:w="180" w:type="dxa"/>
            <w:vAlign w:val="bottom"/>
            <w:vMerge w:val="restart"/>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80" w:type="dxa"/>
            <w:vAlign w:val="bottom"/>
            <w:vMerge w:val="continue"/>
          </w:tcPr>
          <w:p>
            <w:pPr>
              <w:spacing w:after="0"/>
              <w:rPr>
                <w:sz w:val="14"/>
                <w:szCs w:val="14"/>
                <w:color w:val="auto"/>
              </w:rPr>
            </w:pPr>
          </w:p>
        </w:tc>
        <w:tc>
          <w:tcPr>
            <w:tcW w:w="2400" w:type="dxa"/>
            <w:vAlign w:val="bottom"/>
            <w:gridSpan w:val="13"/>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0000EE"/>
              </w:rPr>
              <w:t>WHERE YOU CAN FIND</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20" w:type="dxa"/>
            <w:vAlign w:val="bottom"/>
            <w:gridSpan w:val="10"/>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0000EE"/>
                <w:w w:val="98"/>
              </w:rPr>
              <w:t>ADDITIONAL INFORMATION</w:t>
            </w:r>
          </w:p>
        </w:tc>
        <w:tc>
          <w:tcPr>
            <w:tcW w:w="240" w:type="dxa"/>
            <w:vAlign w:val="bottom"/>
            <w:gridSpan w:val="2"/>
            <w:shd w:val="clear" w:color="auto" w:fill="CCEEFF"/>
          </w:tcPr>
          <w:p>
            <w:pPr>
              <w:spacing w:after="0"/>
              <w:rPr>
                <w:sz w:val="13"/>
                <w:szCs w:val="13"/>
                <w:color w:val="auto"/>
              </w:rPr>
            </w:pPr>
          </w:p>
        </w:tc>
        <w:tc>
          <w:tcPr>
            <w:tcW w:w="3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4"/>
            <w:shd w:val="clear" w:color="auto" w:fill="CCEEFF"/>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211</w:t>
            </w:r>
          </w:p>
        </w:tc>
        <w:tc>
          <w:tcPr>
            <w:tcW w:w="0" w:type="dxa"/>
            <w:vAlign w:val="bottom"/>
          </w:tcPr>
          <w:p>
            <w:pPr>
              <w:spacing w:after="0"/>
              <w:rPr>
                <w:sz w:val="1"/>
                <w:szCs w:val="1"/>
                <w:color w:val="auto"/>
              </w:rPr>
            </w:pPr>
          </w:p>
        </w:tc>
      </w:tr>
      <w:tr>
        <w:trPr>
          <w:trHeight w:val="24"/>
        </w:trPr>
        <w:tc>
          <w:tcPr>
            <w:tcW w:w="180" w:type="dxa"/>
            <w:vAlign w:val="bottom"/>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80" w:type="dxa"/>
            <w:vAlign w:val="bottom"/>
          </w:tcPr>
          <w:p>
            <w:pPr>
              <w:spacing w:after="0"/>
              <w:rPr>
                <w:sz w:val="14"/>
                <w:szCs w:val="14"/>
                <w:color w:val="auto"/>
              </w:rPr>
            </w:pPr>
          </w:p>
        </w:tc>
        <w:tc>
          <w:tcPr>
            <w:tcW w:w="2400" w:type="dxa"/>
            <w:vAlign w:val="bottom"/>
            <w:gridSpan w:val="13"/>
          </w:tcPr>
          <w:p>
            <w:pPr>
              <w:spacing w:after="0" w:line="165" w:lineRule="exact"/>
              <w:rPr>
                <w:sz w:val="20"/>
                <w:szCs w:val="20"/>
                <w:color w:val="auto"/>
              </w:rPr>
            </w:pPr>
            <w:r>
              <w:rPr>
                <w:rFonts w:ascii="Times New Roman" w:cs="Times New Roman" w:eastAsia="Times New Roman" w:hAnsi="Times New Roman"/>
                <w:sz w:val="15"/>
                <w:szCs w:val="15"/>
                <w:color w:val="0000EE"/>
              </w:rPr>
              <w:t>INDEX TO CONSOLIDATED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4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1800" w:type="dxa"/>
            <w:vAlign w:val="bottom"/>
            <w:gridSpan w:val="9"/>
          </w:tcPr>
          <w:p>
            <w:pPr>
              <w:spacing w:after="0" w:line="145" w:lineRule="exact"/>
              <w:rPr>
                <w:sz w:val="20"/>
                <w:szCs w:val="20"/>
                <w:color w:val="auto"/>
              </w:rPr>
            </w:pPr>
            <w:r>
              <w:rPr>
                <w:rFonts w:ascii="Times New Roman" w:cs="Times New Roman" w:eastAsia="Times New Roman" w:hAnsi="Times New Roman"/>
                <w:sz w:val="15"/>
                <w:szCs w:val="15"/>
                <w:color w:val="0000EE"/>
                <w:w w:val="97"/>
              </w:rPr>
              <w:t>FINANCIAL STATEMENTS</w:t>
            </w:r>
          </w:p>
        </w:tc>
        <w:tc>
          <w:tcPr>
            <w:tcW w:w="460" w:type="dxa"/>
            <w:vAlign w:val="bottom"/>
            <w:gridSpan w:val="3"/>
            <w:vMerge w:val="restart"/>
          </w:tcPr>
          <w:p>
            <w:pPr>
              <w:spacing w:after="0"/>
              <w:rPr>
                <w:sz w:val="13"/>
                <w:szCs w:val="13"/>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color w:val="0000EE"/>
              </w:rPr>
              <w:t>F-1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800" w:type="dxa"/>
            <w:vAlign w:val="bottom"/>
            <w:tcBorders>
              <w:top w:val="single" w:sz="8" w:color="0000EE"/>
            </w:tcBorders>
            <w:gridSpan w:val="9"/>
          </w:tcPr>
          <w:p>
            <w:pPr>
              <w:spacing w:after="0"/>
              <w:rPr>
                <w:sz w:val="4"/>
                <w:szCs w:val="4"/>
                <w:color w:val="auto"/>
              </w:rPr>
            </w:pPr>
          </w:p>
        </w:tc>
        <w:tc>
          <w:tcPr>
            <w:tcW w:w="460" w:type="dxa"/>
            <w:vAlign w:val="bottom"/>
            <w:gridSpan w:val="3"/>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100" w:type="dxa"/>
            <w:vAlign w:val="bottom"/>
            <w:gridSpan w:val="2"/>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w:t>
      </w:r>
    </w:p>
    <w:p>
      <w:pPr>
        <w:spacing w:after="0" w:line="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220980</wp:posOffset>
            </wp:positionV>
            <wp:extent cx="89281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034" w:lineRule="exact"/>
        <w:rPr>
          <w:sz w:val="20"/>
          <w:szCs w:val="20"/>
          <w:color w:val="auto"/>
        </w:rPr>
      </w:pPr>
    </w:p>
    <w:p>
      <w:pPr>
        <w:sectPr>
          <w:pgSz w:w="11900" w:h="16838" w:orient="portrait"/>
          <w:cols w:equalWidth="0" w:num="3">
            <w:col w:w="4420" w:space="4294967293"/>
            <w:col w:w="3424" w:space="0"/>
            <w:col w:w="1179"/>
          </w:cols>
          <w:pgMar w:left="1440" w:top="98" w:right="1440" w:bottom="1440" w:gutter="0" w:footer="0" w:header="0"/>
          <w:type w:val="continuous"/>
        </w:sectPr>
      </w:pPr>
    </w:p>
    <w:p>
      <w:pPr>
        <w:spacing w:after="0" w:line="320"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Neither we nor the underwriters have authorized anyone to provide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regardless of the time of delivery of this prospectus or any sale of our common stock. Our business, financial condition, results of operations and prospects may have changed since that date.</w:t>
      </w:r>
    </w:p>
    <w:p>
      <w:pPr>
        <w:spacing w:after="0" w:line="10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For investors outside of the United States: Neither we nor any of the underwriters have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3" w:name="page4"/>
    <w:bookmarkEnd w:id="3"/>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703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91355" cy="670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PROSPECTUS SUMMARY</w:t>
      </w:r>
    </w:p>
    <w:p>
      <w:pPr>
        <w:spacing w:after="0" w:line="124" w:lineRule="exact"/>
        <w:rPr>
          <w:sz w:val="20"/>
          <w:szCs w:val="20"/>
          <w:color w:val="auto"/>
        </w:rPr>
      </w:pPr>
    </w:p>
    <w:p>
      <w:pPr>
        <w:jc w:val="both"/>
        <w:ind w:left="1180" w:right="1159" w:firstLine="293"/>
        <w:spacing w:after="0" w:line="237" w:lineRule="auto"/>
        <w:rPr>
          <w:sz w:val="20"/>
          <w:szCs w:val="20"/>
          <w:color w:val="auto"/>
        </w:rPr>
      </w:pPr>
      <w:r>
        <w:rPr>
          <w:rFonts w:ascii="Times New Roman" w:cs="Times New Roman" w:eastAsia="Times New Roman" w:hAnsi="Times New Roman"/>
          <w:sz w:val="15"/>
          <w:szCs w:val="15"/>
          <w:i w:val="1"/>
          <w:iCs w:val="1"/>
          <w:color w:val="auto"/>
        </w:rPr>
        <w:t>This summary highlights information included elsewhere in this prospectus. This summary does not contain all the information you should consider before investing in our common stock. You should read and consider this entire prospectus carefully, including the sections titled “Risk Factors,” “Special Note Regarding Forward-Looking Statements” and “Management’s Discussion and Analysis of Financial Condition and Results of Operations” and our financial statements and the related notes included elsewhere in the prospectus, before making any investment decision. Except where the context otherwise requires or where otherwise indicated, the terms “Zenas,” “Zenas BioPharma,” “we,” “us,” “our,” “our company,” “the company” and “our business” refer to Zenas BioPharma, Inc. and its consolidated subsidiaries.</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15" w:lineRule="exact"/>
        <w:rPr>
          <w:sz w:val="20"/>
          <w:szCs w:val="20"/>
          <w:color w:val="auto"/>
        </w:rPr>
      </w:pPr>
    </w:p>
    <w:p>
      <w:pPr>
        <w:jc w:val="both"/>
        <w:ind w:left="1180" w:right="1159" w:firstLine="293"/>
        <w:spacing w:after="0" w:line="238" w:lineRule="auto"/>
        <w:rPr>
          <w:sz w:val="20"/>
          <w:szCs w:val="20"/>
          <w:color w:val="auto"/>
        </w:rPr>
      </w:pPr>
      <w:r>
        <w:rPr>
          <w:rFonts w:ascii="Times New Roman" w:cs="Times New Roman" w:eastAsia="Times New Roman" w:hAnsi="Times New Roman"/>
          <w:sz w:val="15"/>
          <w:szCs w:val="15"/>
          <w:color w:val="auto"/>
        </w:rPr>
        <w:t>We are a clinical-stage global biopharmaceutical company committed to being a leader in the development and commercialization of transformative immunology-based therapies for patients in need. With the evolving understanding of the pathogenesis of autoimmune diseases, along with the expansion of promising immunology-based pharmacologic targets, we are building an immunology and inflammation (“I&amp;I”) focused biopharmaceutical company. Our core business strategy combines disciplined product candidate acquisition with strategic deployment of internal expertise and effective use of external resources. We leverage our experienced executive management team and our established networks throughout the biopharmaceutical industry to identify, acquire and develop product candidates that we believe can provide superior clinical benefits to patients living with autoimmune diseases.</w:t>
      </w:r>
    </w:p>
    <w:p>
      <w:pPr>
        <w:spacing w:after="0" w:line="98" w:lineRule="exact"/>
        <w:rPr>
          <w:sz w:val="20"/>
          <w:szCs w:val="20"/>
          <w:color w:val="auto"/>
        </w:rPr>
      </w:pPr>
    </w:p>
    <w:p>
      <w:pPr>
        <w:jc w:val="both"/>
        <w:ind w:left="1180" w:right="1159" w:firstLine="293"/>
        <w:spacing w:after="0" w:line="245" w:lineRule="auto"/>
        <w:rPr>
          <w:sz w:val="20"/>
          <w:szCs w:val="20"/>
          <w:color w:val="auto"/>
        </w:rPr>
      </w:pPr>
      <w:r>
        <w:rPr>
          <w:rFonts w:ascii="Times New Roman" w:cs="Times New Roman" w:eastAsia="Times New Roman" w:hAnsi="Times New Roman"/>
          <w:sz w:val="15"/>
          <w:szCs w:val="15"/>
          <w:color w:val="auto"/>
        </w:rPr>
        <w:t>Our lead I&amp;I product candidate, obexelimab, is a bifunctional monoclonal antibody designed to bind both CD19 and Fcγ receptor IIb (“FcγRIIb”), which are broadly present across B cell lineage, in order to inhibit the activity of cells that are implicated in many autoimmune diseases without depleting them. Based on existing clinical data generated to date, we believe that targeting B cell lineage via CD19 and FcγRIIb can inhibit B cells and has been shown to be well-tolerated. While anti-CD20 or other anti-CD19 targeting agents effectively deplete B cells in systemic circulation, these agents do not fully impact B cells in relevant tissue, and the intermittent dosing regimens of these agents may not provide optimal benefits for all patients. In addition, anti-CD20 and other anti-CD19 targeting agents may cause prolonged depletion of circulating B cells for six months or longer, placing patients at higher risk of opportunistic infections and potentially reducing their ability to respond to, and receive full benefit from, vaccines. We believe obexelimab’s mechanism of action and chronic dosing regimen may broadly and effectively address the pathogenic role of B cell lineage in chronic autoimmune disease. Across five clinical trials, in which 198 subjects were dosed, obexelimab was well-tolerated and demonstrated clinical activity that we believe provides proof-of-concept (“POC”) for obexelimab as a B cell inhibitor for the treatment of patients living with certain autoimmune diseases and, together with its mechanism of action, positions obexelimab to be a potentially differentiated B cell therapy for the treatment of such patients. We are developing obexelimab as a potential I&amp;I franchise for patients in several autoimmune diseases, representing substantial commercial opportunities individually and in the aggregate. The first four indications we are pursuing include immunoglobulin G4-related disease (“IgG4-RD”) through an ongoing registration-directed Phase 3 trial; multiple sclerosis (“MS”) and systemic lupus erythematosus (“SLE”) through planned Phase 2, double-blind, randomized, placebo-controlled trials each of which we plan to commence in the third quarter of 2024; and warm autoimmune hemolytic anemia (“wAIHA”) through an ongoing Phase 2/3 trial, currently in the Phase 2 open label portion.</w:t>
      </w:r>
    </w:p>
    <w:p>
      <w:pPr>
        <w:spacing w:after="0" w:line="290" w:lineRule="exact"/>
        <w:rPr>
          <w:sz w:val="20"/>
          <w:szCs w:val="20"/>
          <w:color w:val="auto"/>
        </w:rPr>
      </w:pPr>
    </w:p>
    <w:p>
      <w:pPr>
        <w:jc w:val="both"/>
        <w:ind w:left="1180" w:right="1159" w:firstLine="293"/>
        <w:spacing w:after="0" w:line="246" w:lineRule="auto"/>
        <w:rPr>
          <w:sz w:val="20"/>
          <w:szCs w:val="20"/>
          <w:color w:val="auto"/>
        </w:rPr>
      </w:pPr>
      <w:r>
        <w:rPr>
          <w:rFonts w:ascii="Times New Roman" w:cs="Times New Roman" w:eastAsia="Times New Roman" w:hAnsi="Times New Roman"/>
          <w:sz w:val="15"/>
          <w:szCs w:val="15"/>
          <w:color w:val="auto"/>
        </w:rPr>
        <w:t>IgG4-RD is a chronic fibro-inflammatory condition that can affect virtually all organ systems, including the pancreas, biliary tract, salivary and lacrimal glands, lungs and kidneys. IgG4-RD is a relatively recently described disease that incorporates groups of manifestations that were diagnosed as separate disease entities prior to 2003. We estimate that the currently diagnosed population of IgG4-RD patients in the United States is approximately 20,000, with comparable prevalence rates globally. MS is the most common immune- mediated, chronic inflammatory demyelinating disease of the central nervous system (“CNS”), affecting over two million people worldwide including as many as 1,000,000 in the United States. We estimate a diagnosed prevalence of approximately 650,000 patients in the United States with MS. SLE, the most common form of lupus, is a complex, chronic autoimmune disease characterized most notably by unpredictable flares in joints, skin, kidneys and other vital organs that cause progressive organ damage. According to the Lupus Foundation of America, at least 1.5 million Americans are afflicted by lupus and more than 16,000 new cases are reported</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 w:name="page5"/>
    <w:bookmarkEnd w:id="4"/>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6681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91355" cy="666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180" w:right="1159"/>
        <w:spacing w:after="0" w:line="259" w:lineRule="auto"/>
        <w:rPr>
          <w:sz w:val="20"/>
          <w:szCs w:val="20"/>
          <w:color w:val="auto"/>
        </w:rPr>
      </w:pPr>
      <w:r>
        <w:rPr>
          <w:rFonts w:ascii="Times New Roman" w:cs="Times New Roman" w:eastAsia="Times New Roman" w:hAnsi="Times New Roman"/>
          <w:sz w:val="15"/>
          <w:szCs w:val="15"/>
          <w:color w:val="auto"/>
        </w:rPr>
        <w:t>annually. It is estimated that five million people throughout the world suffer from some form of lupus, of which 70% suffer from the most common form, SLE. We estimate a diagnosed prevalence of approximately 245,000 patients in the United States having lupus, with approximately 172,000 having SLE. Autoimmune hemolytic anemia (“AIHA”) is an acquired disorder in which autoantibodies directed against a patient’s own red blood cell (“RBC”) membrane antigens lead to their accelerated destruction, and the rate of production of new cells in the bone marrow can no longer compensate for their loss. We estimate that the currently diagnosed population of wAIHA patients in the United States is approximately 40,000, with similar prevalence rates in other countries. We estimate that the commercial opportunity across these four indications is approximately $50 billion in the aggregate in the U.S. alone.</w:t>
      </w:r>
    </w:p>
    <w:p>
      <w:pPr>
        <w:spacing w:after="0" w:line="94" w:lineRule="exact"/>
        <w:rPr>
          <w:sz w:val="20"/>
          <w:szCs w:val="20"/>
          <w:color w:val="auto"/>
        </w:rPr>
      </w:pPr>
    </w:p>
    <w:p>
      <w:pPr>
        <w:jc w:val="both"/>
        <w:ind w:left="1180" w:right="1179" w:firstLine="293"/>
        <w:spacing w:after="0" w:line="284" w:lineRule="auto"/>
        <w:rPr>
          <w:sz w:val="20"/>
          <w:szCs w:val="20"/>
          <w:color w:val="auto"/>
        </w:rPr>
      </w:pPr>
      <w:r>
        <w:rPr>
          <w:rFonts w:ascii="Times New Roman" w:cs="Times New Roman" w:eastAsia="Times New Roman" w:hAnsi="Times New Roman"/>
          <w:sz w:val="15"/>
          <w:szCs w:val="15"/>
          <w:color w:val="auto"/>
        </w:rPr>
        <w:t>To date, we have no product candidates approved for commercial sale in any country and have not generated any revenue from product sales.</w:t>
      </w:r>
    </w:p>
    <w:p>
      <w:pPr>
        <w:spacing w:after="0" w:line="1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Our Pipeline</w:t>
      </w:r>
    </w:p>
    <w:p>
      <w:pPr>
        <w:spacing w:after="0" w:line="128" w:lineRule="exact"/>
        <w:rPr>
          <w:sz w:val="20"/>
          <w:szCs w:val="20"/>
          <w:color w:val="auto"/>
        </w:rPr>
      </w:pPr>
    </w:p>
    <w:p>
      <w:pPr>
        <w:jc w:val="both"/>
        <w:ind w:left="1180" w:right="1159" w:firstLine="293"/>
        <w:spacing w:after="0" w:line="284" w:lineRule="auto"/>
        <w:rPr>
          <w:sz w:val="20"/>
          <w:szCs w:val="20"/>
          <w:color w:val="auto"/>
        </w:rPr>
      </w:pPr>
      <w:r>
        <w:rPr>
          <w:rFonts w:ascii="Times New Roman" w:cs="Times New Roman" w:eastAsia="Times New Roman" w:hAnsi="Times New Roman"/>
          <w:sz w:val="15"/>
          <w:szCs w:val="15"/>
          <w:color w:val="auto"/>
        </w:rPr>
        <w:t>We are developing obexelimab for the treatment of several I&amp;I diseases summarized in the pipeline figure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Other Pipeline Programs</w:t>
      </w:r>
    </w:p>
    <w:p>
      <w:pPr>
        <w:spacing w:after="0" w:line="128" w:lineRule="exact"/>
        <w:rPr>
          <w:sz w:val="20"/>
          <w:szCs w:val="20"/>
          <w:color w:val="auto"/>
        </w:rPr>
      </w:pPr>
    </w:p>
    <w:p>
      <w:pPr>
        <w:jc w:val="both"/>
        <w:ind w:left="1180" w:right="1159" w:firstLine="293"/>
        <w:spacing w:after="0" w:line="256" w:lineRule="auto"/>
        <w:rPr>
          <w:sz w:val="20"/>
          <w:szCs w:val="20"/>
          <w:color w:val="auto"/>
        </w:rPr>
      </w:pPr>
      <w:r>
        <w:rPr>
          <w:rFonts w:ascii="Times New Roman" w:cs="Times New Roman" w:eastAsia="Times New Roman" w:hAnsi="Times New Roman"/>
          <w:sz w:val="15"/>
          <w:szCs w:val="15"/>
          <w:color w:val="auto"/>
        </w:rPr>
        <w:t>Beyond our lead product candidate, obexelimab, we are advancing a pipeline of clinical programs for the potential treatment of other I&amp;I indications that we may continue to develop and ultimately commercialize with partners. Our pipeline includes two global programs, ZB002 (an anti-TNFα monoclonal antibody) and ZB004 (a Cytotoxic T-Lymphocyte-Associated Antigen 4-Immunoglobulin (“CTLA-4-Ig fusion”)), and two regional programs, ZB001 (also known as VRDN-001, an anti-insulin-like growth factor-1 receptor (“IGF-1R”) monoclonal antibody) and related programs, and ZB005 (also known as DNTH103, an anti-active complement component 1s (“C1s”) monoclonal antibody), both of which we hold the development and commercialization rights for in China, Hong Kong, Macau and Taiwan (collectively, “greater China”). Based on the ongoing clinical studies and clinical data generated to date, we intend to determine future potential indications in which to pursue further clinical development of these programs and ultimately, if approved, commercialization with one or more partners.</w:t>
      </w:r>
    </w:p>
    <w:p>
      <w:pPr>
        <w:spacing w:after="0" w:line="15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Our Obexelimab Program</w:t>
      </w:r>
    </w:p>
    <w:p>
      <w:pPr>
        <w:spacing w:after="0" w:line="128" w:lineRule="exact"/>
        <w:rPr>
          <w:sz w:val="20"/>
          <w:szCs w:val="20"/>
          <w:color w:val="auto"/>
        </w:rPr>
      </w:pPr>
    </w:p>
    <w:p>
      <w:pPr>
        <w:jc w:val="both"/>
        <w:ind w:left="1180" w:right="1159" w:firstLine="293"/>
        <w:spacing w:after="0" w:line="257" w:lineRule="auto"/>
        <w:rPr>
          <w:sz w:val="20"/>
          <w:szCs w:val="20"/>
          <w:color w:val="auto"/>
        </w:rPr>
      </w:pPr>
      <w:r>
        <w:rPr>
          <w:rFonts w:ascii="Times New Roman" w:cs="Times New Roman" w:eastAsia="Times New Roman" w:hAnsi="Times New Roman"/>
          <w:sz w:val="15"/>
          <w:szCs w:val="15"/>
          <w:color w:val="auto"/>
        </w:rPr>
        <w:t>Our lead product candidate, obexelimab, was engineered to mimic the natural antigen-antibody complex for the inhibition of B cells. By targeting CD19, obexelimab is designed to inhibit a broad B cell population, including plasmablasts and the subpopulation of CD19 expressing plasma cells, each of which produces high amounts of auto-antibodies. Co-engagement of CD19 and FcγRIIb by obexelimab has been shown to inhibit B cell activity, including antibody production, proliferation, cytokine secretion, B cell differentiation and antigen presentation to T cells. In addition, obexelimab is designed to inhibit rather than destroy or deplete B cell lineage. Accordingly, we believe that obexelimab’s mechanism of action and chronic dosing regimen may broadly and effectively address the pathogenic role of B cell lineage in chronic autoimmune disease and has the potential to show greater clinical benefits, including over a longer course of maintenance treatment.</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 w:name="page6"/>
    <w:bookmarkEnd w:id="5"/>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654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91355" cy="665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i w:val="1"/>
          <w:iCs w:val="1"/>
          <w:color w:val="auto"/>
        </w:rPr>
        <w:t>Mechanism of Action of Obexelimab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1180" w:right="1159" w:firstLine="293"/>
        <w:spacing w:after="0" w:line="248" w:lineRule="auto"/>
        <w:rPr>
          <w:sz w:val="20"/>
          <w:szCs w:val="20"/>
          <w:color w:val="auto"/>
        </w:rPr>
      </w:pPr>
      <w:r>
        <w:rPr>
          <w:rFonts w:ascii="Times New Roman" w:cs="Times New Roman" w:eastAsia="Times New Roman" w:hAnsi="Times New Roman"/>
          <w:sz w:val="15"/>
          <w:szCs w:val="15"/>
          <w:color w:val="auto"/>
        </w:rPr>
        <w:t>The inhibitory mechanism of obexelimab is believed to reduce the number of B cells in systemic circulation through margination of B cells to other tissues such as the lymph nodes and the spleen, rather than through depletion. We believe the rapid return in B cell activity following the cessation or pause in obexelimab dosing could allow the patient’s immune system to more quickly return to baseline to protect against infections and allow a patient to receive vaccinations within as few as six weeks of his or her last dose, rather than potentially waiting six months or longer following treatment with an anti-CD19 or anti-CD20 targeted depleting therapy.</w:t>
      </w:r>
    </w:p>
    <w:p>
      <w:pPr>
        <w:spacing w:after="0" w:line="104" w:lineRule="exact"/>
        <w:rPr>
          <w:sz w:val="20"/>
          <w:szCs w:val="20"/>
          <w:color w:val="auto"/>
        </w:rPr>
      </w:pPr>
    </w:p>
    <w:p>
      <w:pPr>
        <w:jc w:val="both"/>
        <w:ind w:left="1180" w:right="1159" w:firstLine="293"/>
        <w:spacing w:after="0" w:line="247" w:lineRule="auto"/>
        <w:rPr>
          <w:sz w:val="20"/>
          <w:szCs w:val="20"/>
          <w:color w:val="auto"/>
        </w:rPr>
      </w:pPr>
      <w:r>
        <w:rPr>
          <w:rFonts w:ascii="Times New Roman" w:cs="Times New Roman" w:eastAsia="Times New Roman" w:hAnsi="Times New Roman"/>
          <w:sz w:val="15"/>
          <w:szCs w:val="15"/>
          <w:color w:val="auto"/>
        </w:rPr>
        <w:t>Obexelimab has been evaluated in five completed clinical trials in which a total of 198 subjects have received obexelimab either as an intravenous (“IV”) infusion at doses of up to 10 mg/kg (n=158) or as a subcutaneous (“SC”) injection at doses up to 375 mg (n=40). Across these five trials obexelimab was well-tolerated and demonstrated clinical activity that we believe provides POC for obexelimab as a B cell inhibitor for the treatment of patients living with certain autoimmune diseases. The only serious adverse events (“SAEs”) considered by the investigator to be related to obexelimab across the five clinical studies completed to date were two IV infusion related reactions, one in each of two obexelimab treated patients. Our current ongoing and planned future trials of obexelimab utilize a fixed 250 mg, dosed weekly as a self-administered SC injection, rather than an IV infusion.</w:t>
      </w:r>
    </w:p>
    <w:p>
      <w:pPr>
        <w:spacing w:after="0" w:line="105" w:lineRule="exact"/>
        <w:rPr>
          <w:sz w:val="20"/>
          <w:szCs w:val="20"/>
          <w:color w:val="auto"/>
        </w:rPr>
      </w:pPr>
    </w:p>
    <w:p>
      <w:pPr>
        <w:jc w:val="both"/>
        <w:ind w:left="1180" w:right="1159" w:firstLine="293"/>
        <w:spacing w:after="0" w:line="250" w:lineRule="auto"/>
        <w:rPr>
          <w:sz w:val="20"/>
          <w:szCs w:val="20"/>
          <w:color w:val="auto"/>
        </w:rPr>
      </w:pPr>
      <w:r>
        <w:rPr>
          <w:rFonts w:ascii="Times New Roman" w:cs="Times New Roman" w:eastAsia="Times New Roman" w:hAnsi="Times New Roman"/>
          <w:sz w:val="15"/>
          <w:szCs w:val="15"/>
          <w:color w:val="auto"/>
        </w:rPr>
        <w:t>We believe obexelimab holds the potential to provide meaningful clinical benefit for patients in multiple I&amp;I indications. We are currently pursuing a registration-directed trial in patients with IgG4-RD, planning Phase 2, double-blind, randomized, placebo-controlled, clinical trials of obexelimab in patients with MS and SLE, each of which we plan to commence in the third quarter of 2024, and an ongoing Phase 2/3 trial, currently in the Phase 2 open label portion, in patients with wAIHA.</w:t>
      </w:r>
    </w:p>
    <w:p>
      <w:pPr>
        <w:spacing w:after="0" w:line="1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i w:val="1"/>
          <w:iCs w:val="1"/>
          <w:color w:val="auto"/>
        </w:rPr>
        <w:t>Obexelimab for the Treatment of IgG4-RD</w:t>
      </w:r>
    </w:p>
    <w:p>
      <w:pPr>
        <w:spacing w:after="0" w:line="115" w:lineRule="exact"/>
        <w:rPr>
          <w:sz w:val="20"/>
          <w:szCs w:val="20"/>
          <w:color w:val="auto"/>
        </w:rPr>
      </w:pPr>
    </w:p>
    <w:p>
      <w:pPr>
        <w:jc w:val="both"/>
        <w:ind w:left="1180" w:right="1159" w:firstLine="293"/>
        <w:spacing w:after="0" w:line="250" w:lineRule="auto"/>
        <w:rPr>
          <w:sz w:val="20"/>
          <w:szCs w:val="20"/>
          <w:color w:val="auto"/>
        </w:rPr>
      </w:pPr>
      <w:r>
        <w:rPr>
          <w:rFonts w:ascii="Times New Roman" w:cs="Times New Roman" w:eastAsia="Times New Roman" w:hAnsi="Times New Roman"/>
          <w:sz w:val="15"/>
          <w:szCs w:val="15"/>
          <w:color w:val="auto"/>
        </w:rPr>
        <w:t>We believe obexelimab’s differentiated mechanism of action as an inhibitor of B cell lineage supports its potential to play an important role in the treatment of IgG4-RD. The reported evidence for the role of B cells in the pathogenesis of IgG4-RD, the observed effects of B cell targeting agents in previous trials in IgG4-RD, and the data from our Phase 2 IgG4-RD trials with obexelimab support the continued development of obexelimab in patients with IgG4-RD.</w:t>
      </w:r>
    </w:p>
    <w:p>
      <w:pPr>
        <w:spacing w:after="0" w:line="101" w:lineRule="exact"/>
        <w:rPr>
          <w:sz w:val="20"/>
          <w:szCs w:val="20"/>
          <w:color w:val="auto"/>
        </w:rPr>
      </w:pPr>
    </w:p>
    <w:p>
      <w:pPr>
        <w:jc w:val="both"/>
        <w:ind w:left="1180" w:right="1159" w:firstLine="293"/>
        <w:spacing w:after="0" w:line="249" w:lineRule="auto"/>
        <w:rPr>
          <w:sz w:val="20"/>
          <w:szCs w:val="20"/>
          <w:color w:val="auto"/>
        </w:rPr>
      </w:pPr>
      <w:r>
        <w:rPr>
          <w:rFonts w:ascii="Times New Roman" w:cs="Times New Roman" w:eastAsia="Times New Roman" w:hAnsi="Times New Roman"/>
          <w:sz w:val="15"/>
          <w:szCs w:val="15"/>
          <w:color w:val="auto"/>
        </w:rPr>
        <w:t>In August 2023, the results of the Phase 2, open-label, single-arm trial of obexelimab for the treatment of patients with IgG4-RD were published in The Lancet Rheumatology. In the primary efficacy analysis, as shown below, the median decrease in the IgG4-RD responder index (“RI”) score was 11.5 points (interquartile range (“IQR”) 7.5-14.5). The IgG4-RD RI score at day 169 had decreased by two or more points from baseline in 12 (80%) patients, eight (67%) of whom had a score of zero (complete remission). These patients included four (80%) of five patients who had achieved remission on previous therapies. Fourteen (93%) patients</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 w:name="page7"/>
    <w:bookmarkEnd w:id="6"/>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598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91355" cy="659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180" w:right="1159"/>
        <w:spacing w:after="0" w:line="243" w:lineRule="auto"/>
        <w:rPr>
          <w:sz w:val="20"/>
          <w:szCs w:val="20"/>
          <w:color w:val="auto"/>
        </w:rPr>
      </w:pPr>
      <w:r>
        <w:rPr>
          <w:rFonts w:ascii="Times New Roman" w:cs="Times New Roman" w:eastAsia="Times New Roman" w:hAnsi="Times New Roman"/>
          <w:sz w:val="15"/>
          <w:szCs w:val="15"/>
          <w:color w:val="auto"/>
        </w:rPr>
        <w:t>achieved an improvement on the RI of two or more points, and further evaluation found that the one patient who failed to achieve that reduction had atypical disease activity in only the larynx. Twelve (80%) patients achieved a combined (secondary) endpoint of a decrease on the RI of two or more points at day 169, with no steroid use after day 57, and no disease flares. All primary responders had sustained responses through the end of the trial.</w:t>
      </w:r>
    </w:p>
    <w:p>
      <w:pPr>
        <w:spacing w:after="0" w:line="1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i w:val="1"/>
          <w:iCs w:val="1"/>
          <w:color w:val="auto"/>
        </w:rPr>
        <w:t>Rapid and Sustained IgG4-RD RI Responses from Phase 2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1180" w:right="1159" w:firstLine="293"/>
        <w:spacing w:after="0" w:line="239" w:lineRule="auto"/>
        <w:rPr>
          <w:sz w:val="20"/>
          <w:szCs w:val="20"/>
          <w:color w:val="auto"/>
        </w:rPr>
      </w:pPr>
      <w:r>
        <w:rPr>
          <w:rFonts w:ascii="Times New Roman" w:cs="Times New Roman" w:eastAsia="Times New Roman" w:hAnsi="Times New Roman"/>
          <w:sz w:val="15"/>
          <w:szCs w:val="15"/>
          <w:color w:val="auto"/>
        </w:rPr>
        <w:t>The one (7%) patient who did not meet clinical response criteria had a RI score of two at baseline and a score of one before withdrawing from the trial after the Day 71 dose due to lack of efficacy (an IgG4-RD RI score reduction of less than two). Two responders also did not complete the trial: one discontinued after experiencing a disease relapse and one discontinued after an infusion-related hypersensitivity reaction during the fifth infusion.</w:t>
      </w:r>
    </w:p>
    <w:p>
      <w:pPr>
        <w:spacing w:after="0" w:line="97" w:lineRule="exact"/>
        <w:rPr>
          <w:sz w:val="20"/>
          <w:szCs w:val="20"/>
          <w:color w:val="auto"/>
        </w:rPr>
      </w:pPr>
    </w:p>
    <w:p>
      <w:pPr>
        <w:jc w:val="both"/>
        <w:ind w:left="1180" w:right="1159" w:firstLine="293"/>
        <w:spacing w:after="0" w:line="237" w:lineRule="auto"/>
        <w:rPr>
          <w:sz w:val="20"/>
          <w:szCs w:val="20"/>
          <w:color w:val="auto"/>
        </w:rPr>
      </w:pPr>
      <w:r>
        <w:rPr>
          <w:rFonts w:ascii="Times New Roman" w:cs="Times New Roman" w:eastAsia="Times New Roman" w:hAnsi="Times New Roman"/>
          <w:sz w:val="15"/>
          <w:szCs w:val="15"/>
          <w:color w:val="auto"/>
        </w:rPr>
        <w:t>Furthermore, circulating B cell counts decreased by approximately 60% throughout the treatment period. However, among seven patients with post-treatment follow-up data, four (57%) demonstrated recovery of circulating B cells to at least 75% of baseline within 42 days of the final obexelimab dose. Circulating plasmablasts also decreased quickly, by approximately 70 to 80%, and began returning following cessation of obexelimab. Obexelimab inhibited B cell receptor (“BCR”) linked signaling pathways but did not induce B cell depletion. Both reductions in circulating B cells without evidence of depletion during obexelimab treatment and their rapid rebound after treatment discontinuation suggest that obexelimab might lead to B cell sequestration (margination) in lymphoid organs or the bone marrow.</w:t>
      </w:r>
    </w:p>
    <w:p>
      <w:pPr>
        <w:spacing w:after="0" w:line="99" w:lineRule="exact"/>
        <w:rPr>
          <w:sz w:val="20"/>
          <w:szCs w:val="20"/>
          <w:color w:val="auto"/>
        </w:rPr>
      </w:pPr>
    </w:p>
    <w:p>
      <w:pPr>
        <w:jc w:val="both"/>
        <w:ind w:left="1180" w:right="1159" w:firstLine="293"/>
        <w:spacing w:after="0" w:line="236" w:lineRule="auto"/>
        <w:rPr>
          <w:sz w:val="20"/>
          <w:szCs w:val="20"/>
          <w:color w:val="auto"/>
        </w:rPr>
      </w:pPr>
      <w:r>
        <w:rPr>
          <w:rFonts w:ascii="Times New Roman" w:cs="Times New Roman" w:eastAsia="Times New Roman" w:hAnsi="Times New Roman"/>
          <w:sz w:val="15"/>
          <w:szCs w:val="15"/>
          <w:color w:val="auto"/>
        </w:rPr>
        <w:t>We believe these results are promising and support the continued development of obexelimab for the treatment of IgG4-RD and potentially other B cell-mediated I&amp;I conditions. We are enrolling patients in our INDIGO Trial, a global Phase 3 registration-directed, double-blind, placebo-controlled trial to evaluate the safety and efficacy of obexelimab in patients with active IgG4 -RD in a randomized controlled period (“RCP”) followed by an optional open-label extension period. We expect to enroll up to approximately 200 patients in the RCP and all patients from the RCP will be eligible for the open-label extension (“OLE”) period. We expect to conduct the trial at approximately 100 sites in 20 countries and to complete enrollment in 2024. The RCP consists of a screening period (Day -28 to Day -1) and a 52-week treatment period, during which 250 mg of obexelimab or placebo will be administered as an SC injection every seven days. Following the 52-week RCP, eligible patients will have the opportunity to continue in an OLE period where all patients will receive obexelimab. We expect to report topline data from our INDIGO Trial by the end of 2025 and, subject to the data, submit a Biologics License Application (“BLA”) in 2026.</w:t>
      </w:r>
    </w:p>
    <w:p>
      <w:pPr>
        <w:spacing w:after="0" w:line="13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i w:val="1"/>
          <w:iCs w:val="1"/>
          <w:color w:val="auto"/>
        </w:rPr>
        <w:t>Obexelimab for the Treatment of MS</w:t>
      </w:r>
    </w:p>
    <w:p>
      <w:pPr>
        <w:spacing w:after="0" w:line="115" w:lineRule="exact"/>
        <w:rPr>
          <w:sz w:val="20"/>
          <w:szCs w:val="20"/>
          <w:color w:val="auto"/>
        </w:rPr>
      </w:pPr>
    </w:p>
    <w:p>
      <w:pPr>
        <w:jc w:val="both"/>
        <w:ind w:left="1180" w:right="1159" w:firstLine="293"/>
        <w:spacing w:after="0" w:line="269" w:lineRule="auto"/>
        <w:rPr>
          <w:sz w:val="20"/>
          <w:szCs w:val="20"/>
          <w:color w:val="auto"/>
        </w:rPr>
      </w:pPr>
      <w:r>
        <w:rPr>
          <w:rFonts w:ascii="Times New Roman" w:cs="Times New Roman" w:eastAsia="Times New Roman" w:hAnsi="Times New Roman"/>
          <w:sz w:val="15"/>
          <w:szCs w:val="15"/>
          <w:color w:val="auto"/>
        </w:rPr>
        <w:t>We believe obexelimab’s differentiated mechanism of action as an inhibitor of B cell lineage supports its potential for the treatment of MS. The role of B cells in the pathogenesis of MS has been demonstrated</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 w:name="page8"/>
    <w:bookmarkEnd w:id="7"/>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612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91355" cy="661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180" w:right="1159"/>
        <w:spacing w:after="0" w:line="237" w:lineRule="auto"/>
        <w:rPr>
          <w:sz w:val="20"/>
          <w:szCs w:val="20"/>
          <w:color w:val="auto"/>
        </w:rPr>
      </w:pPr>
      <w:r>
        <w:rPr>
          <w:rFonts w:ascii="Times New Roman" w:cs="Times New Roman" w:eastAsia="Times New Roman" w:hAnsi="Times New Roman"/>
          <w:sz w:val="15"/>
          <w:szCs w:val="15"/>
          <w:color w:val="auto"/>
        </w:rPr>
        <w:t>through the successful clinical development, approval and clinical use of anti-CD20 B cell targeting therapies of other companies, including OCREVUS (ocrelizumab) and KESIMPTA (ofatumumab), which selectively deplete peripheral CD20-expressing B cells. B cells are thought to play a central role in MS pathology and its concomitant neurodegeneration via multiple mechanisms. In addition to antibody secretion by plasmablasts and plasma cells, B cell functions implicated in MS pathogenesis include antigen presentation to T cells and production of pro-inflammation cytokines. We believe this activity observed from B cells may contribute to both MS relapses as well as the underlying disease progression. Given the clinical activity observed with B cell depleting agents, we intend to commence the MoonStone Trial, a Phase 2, multicenter, randomized, double-blind, placebo- controlled trial, to evaluate the efficacy and safety of obexelimab in patients with relapsing MS (“RMS”), in the third quarter of 2024.</w:t>
      </w:r>
    </w:p>
    <w:p>
      <w:pPr>
        <w:spacing w:after="0" w:line="98" w:lineRule="exact"/>
        <w:rPr>
          <w:sz w:val="20"/>
          <w:szCs w:val="20"/>
          <w:color w:val="auto"/>
        </w:rPr>
      </w:pPr>
    </w:p>
    <w:p>
      <w:pPr>
        <w:jc w:val="both"/>
        <w:ind w:left="1180" w:right="1159" w:firstLine="293"/>
        <w:spacing w:after="0" w:line="238" w:lineRule="auto"/>
        <w:rPr>
          <w:sz w:val="20"/>
          <w:szCs w:val="20"/>
          <w:color w:val="auto"/>
        </w:rPr>
      </w:pPr>
      <w:r>
        <w:rPr>
          <w:rFonts w:ascii="Times New Roman" w:cs="Times New Roman" w:eastAsia="Times New Roman" w:hAnsi="Times New Roman"/>
          <w:sz w:val="15"/>
          <w:szCs w:val="15"/>
          <w:color w:val="auto"/>
        </w:rPr>
        <w:t>The MoonStone Trial will be a randomized, placebo-controlled trial in patients with relapsing active forms of MS in order to assess the safety and efficacy of a 250 mg weekly SC dose of obexelimab, utilizing various MRI detection techniques and biomarkers to assess its impact in both the active and chronic aspects of the disease. The primary objective of this trial will be to assess the change from baseline in the cumulative number of gadolinium (“Gd”) enhancing lesions identified on T1-weighted MRI over the course of three months. Upon completion of the three-month period, patients on placebo will receive obexelimab treatment for at least three months, and patients initially randomized to obexelimab will continue on treatment. Important secondary endpoints will include changes in various other MRI assessments. We expect to report initial data from the MoonStone Trial in 2025.</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i w:val="1"/>
          <w:iCs w:val="1"/>
          <w:color w:val="auto"/>
        </w:rPr>
        <w:t>Obexelimab for the Treatment of SLE</w:t>
      </w:r>
    </w:p>
    <w:p>
      <w:pPr>
        <w:spacing w:after="0" w:line="126" w:lineRule="exact"/>
        <w:rPr>
          <w:sz w:val="20"/>
          <w:szCs w:val="20"/>
          <w:color w:val="auto"/>
        </w:rPr>
      </w:pPr>
    </w:p>
    <w:p>
      <w:pPr>
        <w:jc w:val="both"/>
        <w:ind w:left="1180" w:right="1159" w:firstLine="293"/>
        <w:spacing w:after="0" w:line="236" w:lineRule="auto"/>
        <w:rPr>
          <w:sz w:val="20"/>
          <w:szCs w:val="20"/>
          <w:color w:val="auto"/>
        </w:rPr>
      </w:pPr>
      <w:r>
        <w:rPr>
          <w:rFonts w:ascii="Times New Roman" w:cs="Times New Roman" w:eastAsia="Times New Roman" w:hAnsi="Times New Roman"/>
          <w:sz w:val="15"/>
          <w:szCs w:val="15"/>
          <w:color w:val="auto"/>
        </w:rPr>
        <w:t>The crucial role of B cells in SLE pathogenesis is well recognized, from producing autoantibodies to abnormal regulation of immune responses. Moreover, SLE is an autoimmune disease characterized by B cell dysfunction, the production of autoantibodies toward cellular and nuclear components, and multiorgan damage caused by immune complex deposition and inflammation within affected tissues. Current treatments are limited in number and are modestly effective with improvement over placebo in clinical trials of nine to seventeen percentage points. Obexelimab has demonstrated clinical activity as a B cell-directed agent due to its inhibitory effect on B cell lineage via its binding to CD19 and FcγRIIb. We believe a prior Phase 2 double-blind, randomized trial demonstrated POC in the overall trial population and increased response in patients who maintain higher systemic exposure to obexelimab in biomarker-defined subpopulations, and coupled with the safety data obtained to date, provide support for further clinical trials and the use of a SC obexelimab formulation in patients with SLE.</w:t>
      </w:r>
    </w:p>
    <w:p>
      <w:pPr>
        <w:spacing w:after="0" w:line="101" w:lineRule="exact"/>
        <w:rPr>
          <w:sz w:val="20"/>
          <w:szCs w:val="20"/>
          <w:color w:val="auto"/>
        </w:rPr>
      </w:pPr>
    </w:p>
    <w:p>
      <w:pPr>
        <w:jc w:val="both"/>
        <w:ind w:left="1180" w:right="1159" w:firstLine="293"/>
        <w:spacing w:after="0"/>
        <w:rPr>
          <w:sz w:val="20"/>
          <w:szCs w:val="20"/>
          <w:color w:val="auto"/>
        </w:rPr>
      </w:pPr>
      <w:r>
        <w:rPr>
          <w:rFonts w:ascii="Times New Roman" w:cs="Times New Roman" w:eastAsia="Times New Roman" w:hAnsi="Times New Roman"/>
          <w:sz w:val="15"/>
          <w:szCs w:val="15"/>
          <w:color w:val="auto"/>
        </w:rPr>
        <w:t>In the completed Phase 2 double-blind, randomized trial of obexelimab in SLE, the primary endpoint (the proportion of patients without loss of improvement in SLE disease activity) in the Efficacy Evaluable (“EE”) population did not achieve statistical significance. However, analysis of the intent -to-treat (“ITT”) population revealed a larger absolute treatment difference of 17.3% (40.4% versus 23.1%) in the obexelimab-treated group versus the placebo-treated group. Based on that observed clinical activity, strong signals of activity in patients who had higher blood levels of obexelimab and biomarker-defined subpopulations and safety data to date, we plan to advance obexelimab in the SunStone Trial, a Phase 2, multicenter, randomized, double -blind, placebo-controlled trial, to evaluate the efficacy and safety of obexelimab when used to reduce disease activity in patients with SLE. We expect to commence the trial in the third quarter of 2024, enroll approximately 190 patients and to conduct the trial at multiple sites worldwide. Patients will be randomized 1:1 to obexelimab 250 mg or placebo SC injection every seven days over 24 weeks. The primary endpoint will be the percentage of responders, defined by BILAG-based Composite Lupus Assessment, with a reduction of SLE disease activity at week 24. We expect to complete enrollment of the SunStone Trial in 2025.</w:t>
      </w:r>
    </w:p>
    <w:p>
      <w:pPr>
        <w:spacing w:after="0" w:line="29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i w:val="1"/>
          <w:iCs w:val="1"/>
          <w:color w:val="auto"/>
        </w:rPr>
        <w:t>Obexelimab for the Treatment of wAIHA</w:t>
      </w:r>
    </w:p>
    <w:p>
      <w:pPr>
        <w:spacing w:after="0" w:line="126" w:lineRule="exact"/>
        <w:rPr>
          <w:sz w:val="20"/>
          <w:szCs w:val="20"/>
          <w:color w:val="auto"/>
        </w:rPr>
      </w:pPr>
    </w:p>
    <w:p>
      <w:pPr>
        <w:jc w:val="both"/>
        <w:ind w:left="1180" w:right="1159" w:firstLine="293"/>
        <w:spacing w:after="0" w:line="238" w:lineRule="auto"/>
        <w:rPr>
          <w:sz w:val="20"/>
          <w:szCs w:val="20"/>
          <w:color w:val="auto"/>
        </w:rPr>
      </w:pPr>
      <w:r>
        <w:rPr>
          <w:rFonts w:ascii="Times New Roman" w:cs="Times New Roman" w:eastAsia="Times New Roman" w:hAnsi="Times New Roman"/>
          <w:sz w:val="15"/>
          <w:szCs w:val="15"/>
          <w:color w:val="auto"/>
        </w:rPr>
        <w:t>Immunoglobulin G (“IgG”) autoantibodies are the key pathogenic factors involved in most forms of wAIHA. Accordingly, we believe that obexelimab’s ability to inhibit or down-regulate B cell activity and its clinical activity and tolerability profile observed in previous clinical studies provide a strong rationale for its development in wAIHA.</w:t>
      </w:r>
    </w:p>
    <w:p>
      <w:pPr>
        <w:spacing w:after="0" w:line="96" w:lineRule="exact"/>
        <w:rPr>
          <w:sz w:val="20"/>
          <w:szCs w:val="20"/>
          <w:color w:val="auto"/>
        </w:rPr>
      </w:pPr>
    </w:p>
    <w:p>
      <w:pPr>
        <w:jc w:val="both"/>
        <w:ind w:left="1180" w:right="1159" w:firstLine="293"/>
        <w:spacing w:after="0" w:line="252" w:lineRule="auto"/>
        <w:rPr>
          <w:sz w:val="20"/>
          <w:szCs w:val="20"/>
          <w:color w:val="auto"/>
        </w:rPr>
      </w:pPr>
      <w:r>
        <w:rPr>
          <w:rFonts w:ascii="Times New Roman" w:cs="Times New Roman" w:eastAsia="Times New Roman" w:hAnsi="Times New Roman"/>
          <w:sz w:val="15"/>
          <w:szCs w:val="15"/>
          <w:color w:val="auto"/>
        </w:rPr>
        <w:t>In late 2023, we initiated our SApHiAre Trial, a global Phase 2/3, multicenter, randomized, double-blind, placebo-controlled trial, with an open-label safety and dose confirmation run-in period (“SRP”) to evaluate</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 w:name="page9"/>
    <w:bookmarkEnd w:id="8"/>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654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91355" cy="665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180" w:right="1159"/>
        <w:spacing w:after="0" w:line="239" w:lineRule="auto"/>
        <w:rPr>
          <w:sz w:val="20"/>
          <w:szCs w:val="20"/>
          <w:color w:val="auto"/>
        </w:rPr>
      </w:pPr>
      <w:r>
        <w:rPr>
          <w:rFonts w:ascii="Times New Roman" w:cs="Times New Roman" w:eastAsia="Times New Roman" w:hAnsi="Times New Roman"/>
          <w:sz w:val="15"/>
          <w:szCs w:val="15"/>
          <w:color w:val="auto"/>
        </w:rPr>
        <w:t>the efficacy and safety of obexelimab in patients with wAIHA. We expect initial data from the SRP will be available in the fourth quarter of 2024 for patients enrolled prior to such date. After considering a number of factors, including whether the results of the SRP portion of the SApHiAre Trial are favorable, we may meet with the FDA to finalize the design, including the proposed endpoints, of the RCP. If we continue with the Phase 3 RCP of this trial, we expect that a total of approximately 134 patients would be enrolled in the trial, including the patients enrolled in the SRP, at approximately 90 sites in 18 countries. If we continue with the Phase 3 RCP portion of the SApHiAre Trial and if the results of the RCP portion are then favorable, we would intend to seek regulatory approval for the treatment of wAIHA.</w:t>
      </w:r>
    </w:p>
    <w:p>
      <w:pPr>
        <w:spacing w:after="0" w:line="15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Our Team and Investors</w:t>
      </w:r>
    </w:p>
    <w:p>
      <w:pPr>
        <w:spacing w:after="0" w:line="126" w:lineRule="exact"/>
        <w:rPr>
          <w:sz w:val="20"/>
          <w:szCs w:val="20"/>
          <w:color w:val="auto"/>
        </w:rPr>
      </w:pPr>
    </w:p>
    <w:p>
      <w:pPr>
        <w:jc w:val="both"/>
        <w:ind w:left="1180" w:right="1159" w:firstLine="293"/>
        <w:spacing w:after="0" w:line="235" w:lineRule="auto"/>
        <w:rPr>
          <w:sz w:val="20"/>
          <w:szCs w:val="20"/>
          <w:color w:val="auto"/>
        </w:rPr>
      </w:pPr>
      <w:r>
        <w:rPr>
          <w:rFonts w:ascii="Times New Roman" w:cs="Times New Roman" w:eastAsia="Times New Roman" w:hAnsi="Times New Roman"/>
          <w:sz w:val="15"/>
          <w:szCs w:val="15"/>
          <w:color w:val="auto"/>
        </w:rPr>
        <w:t>Our executive management team is comprised of seasoned executives and scientists with extensive experience in the biopharmaceutical industry leading drug development and commercialization and executing successful business development strategies. Our company is led by Leon (Lonnie) O. Moulder, Jr., our Founder, Chief Executive Officer and Chairman, and the Managing Member of Tellus BioVentures, LLC, an early-stage life sciences investment fund. Prior to founding Zenas, Mr. Moulder co-founded TESARO, an oncology-focused biopharmaceutical company, serving as Chief Executive Officer and Director until its acquisition by GlaxoSmithKline. He previously served as President and Chief Executive Officer of Abraxis BioScience and as Vice Chairman of Eisai Corporation of North America following Eisai’s acquisition of MGI PHARMA, where he served as President and Chief Executive Officer. Mr. Moulder is joined by our team of veteran biopharmaceutical executives, including Joseph Farmer, Jennifer Fox and Orlando Oliveira, who together with the rest of the leadership team, bring exceptional track records and experiences across the biopharmaceutical industry at companies such as TESARO, GlaxoSmithKline, Amgen, Nuvation, Mirati and Cubist. Our leadership team has collectively been responsible for Investigational New Drug Application (“INDs”), New Drug Applications, BLAs and the associated commercial product launches of multiple successful pharmaceutical products.</w:t>
      </w:r>
    </w:p>
    <w:p>
      <w:pPr>
        <w:spacing w:after="0" w:line="103" w:lineRule="exact"/>
        <w:rPr>
          <w:sz w:val="20"/>
          <w:szCs w:val="20"/>
          <w:color w:val="auto"/>
        </w:rPr>
      </w:pPr>
    </w:p>
    <w:p>
      <w:pPr>
        <w:jc w:val="both"/>
        <w:ind w:left="1180" w:right="1159" w:firstLine="293"/>
        <w:spacing w:after="0"/>
        <w:rPr>
          <w:sz w:val="20"/>
          <w:szCs w:val="20"/>
          <w:color w:val="auto"/>
        </w:rPr>
      </w:pPr>
      <w:r>
        <w:rPr>
          <w:rFonts w:ascii="Times New Roman" w:cs="Times New Roman" w:eastAsia="Times New Roman" w:hAnsi="Times New Roman"/>
          <w:sz w:val="15"/>
          <w:szCs w:val="15"/>
          <w:color w:val="auto"/>
        </w:rPr>
        <w:t>Since our inception, we have raised $358.3 million from investors, including Enavate Sciences, SR One, Longitude Capital, Tellus BioVentures, Fairmount, New Enterprise Associates, Norwest Venture Partners and Bristol-Myers Squibb (“BMS”). Potential investors should not consider investments made by our existing investors as a factor when making a decision to purchase shares in this offering since our existing investors may have had different risk tolerances and paid less per share than the price at which the shares are being offered in this offering.</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Our Strategy</w:t>
      </w:r>
    </w:p>
    <w:p>
      <w:pPr>
        <w:spacing w:after="0" w:line="126" w:lineRule="exact"/>
        <w:rPr>
          <w:sz w:val="20"/>
          <w:szCs w:val="20"/>
          <w:color w:val="auto"/>
        </w:rPr>
      </w:pPr>
    </w:p>
    <w:p>
      <w:pPr>
        <w:jc w:val="both"/>
        <w:ind w:left="1180" w:right="1159" w:firstLine="293"/>
        <w:spacing w:after="0"/>
        <w:rPr>
          <w:sz w:val="20"/>
          <w:szCs w:val="20"/>
          <w:color w:val="auto"/>
        </w:rPr>
      </w:pPr>
      <w:r>
        <w:rPr>
          <w:rFonts w:ascii="Times New Roman" w:cs="Times New Roman" w:eastAsia="Times New Roman" w:hAnsi="Times New Roman"/>
          <w:sz w:val="15"/>
          <w:szCs w:val="15"/>
          <w:color w:val="auto"/>
        </w:rPr>
        <w:t>Our vision is to become a global leader in delivering transformative I&amp;I therapeutics to patients in need by leveraging the experience and capabilities of our executive management team and our established networks throughout the biopharmaceutical industry to identify, acquire, develop and, if approved, commercialize product candidates that we believe can offer enhanced efficacy, safety and/or convenience over existing therapies and thereby provide superior clinical benefits to patients. We intend to achieve our goals by implementing the following strategies:</w:t>
      </w:r>
    </w:p>
    <w:p>
      <w:pPr>
        <w:spacing w:after="0" w:line="53" w:lineRule="exact"/>
        <w:rPr>
          <w:sz w:val="20"/>
          <w:szCs w:val="20"/>
          <w:color w:val="auto"/>
        </w:rPr>
      </w:pPr>
    </w:p>
    <w:p>
      <w:pPr>
        <w:ind w:left="1620" w:hanging="148"/>
        <w:spacing w:after="0"/>
        <w:tabs>
          <w:tab w:leader="none" w:pos="16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 and commercialize our obexelimab franchise across multiple I&amp;I indications.</w:t>
      </w:r>
    </w:p>
    <w:p>
      <w:pPr>
        <w:spacing w:after="0" w:line="80"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Build our operational capabilities to develop and potentially commercialize our products in key regions.</w:t>
      </w:r>
    </w:p>
    <w:p>
      <w:pPr>
        <w:spacing w:after="0" w:line="30" w:lineRule="exact"/>
        <w:rPr>
          <w:rFonts w:ascii="Times New Roman" w:cs="Times New Roman" w:eastAsia="Times New Roman" w:hAnsi="Times New Roman"/>
          <w:sz w:val="15"/>
          <w:szCs w:val="15"/>
          <w:color w:val="auto"/>
        </w:rPr>
      </w:pPr>
    </w:p>
    <w:p>
      <w:pPr>
        <w:ind w:left="1620" w:right="1179" w:hanging="148"/>
        <w:spacing w:after="0" w:line="269" w:lineRule="auto"/>
        <w:tabs>
          <w:tab w:leader="none" w:pos="16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Advance the clinical development and ultimately, if approved, commercialization of, our pipeline programs, ZB002, ZB004, ZB001 and ZB005, with partners.</w:t>
      </w:r>
    </w:p>
    <w:p>
      <w:pPr>
        <w:spacing w:after="0" w:line="41"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Utilize our business development experience and expertise to continue to build a deep and balanced portfolio of products and product candidates.</w:t>
      </w:r>
    </w:p>
    <w:p>
      <w:pPr>
        <w:spacing w:after="0" w:line="30" w:lineRule="exact"/>
        <w:rPr>
          <w:rFonts w:ascii="Times New Roman" w:cs="Times New Roman" w:eastAsia="Times New Roman" w:hAnsi="Times New Roman"/>
          <w:sz w:val="15"/>
          <w:szCs w:val="15"/>
          <w:color w:val="auto"/>
        </w:rPr>
      </w:pPr>
    </w:p>
    <w:p>
      <w:pPr>
        <w:ind w:left="1620" w:hanging="148"/>
        <w:spacing w:after="0"/>
        <w:tabs>
          <w:tab w:leader="none" w:pos="16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Leverage success in initial indications to expand into broader I&amp;I opportunities.</w:t>
      </w:r>
    </w:p>
    <w:p>
      <w:pPr>
        <w:spacing w:after="0" w:line="80" w:lineRule="exact"/>
        <w:rPr>
          <w:rFonts w:ascii="Times New Roman" w:cs="Times New Roman" w:eastAsia="Times New Roman" w:hAnsi="Times New Roman"/>
          <w:sz w:val="15"/>
          <w:szCs w:val="15"/>
          <w:color w:val="auto"/>
        </w:rPr>
      </w:pPr>
    </w:p>
    <w:p>
      <w:pPr>
        <w:ind w:left="1620" w:hanging="148"/>
        <w:spacing w:after="0"/>
        <w:tabs>
          <w:tab w:leader="none" w:pos="16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 other strategic collaborations as appropriate.</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Risk Factors Summary</w:t>
      </w:r>
    </w:p>
    <w:p>
      <w:pPr>
        <w:spacing w:after="0" w:line="115" w:lineRule="exact"/>
        <w:rPr>
          <w:sz w:val="20"/>
          <w:szCs w:val="20"/>
          <w:color w:val="auto"/>
        </w:rPr>
      </w:pPr>
    </w:p>
    <w:p>
      <w:pPr>
        <w:jc w:val="both"/>
        <w:ind w:left="1180" w:right="1159" w:firstLine="293"/>
        <w:spacing w:after="0" w:line="249" w:lineRule="auto"/>
        <w:rPr>
          <w:sz w:val="20"/>
          <w:szCs w:val="20"/>
          <w:color w:val="auto"/>
        </w:rPr>
      </w:pPr>
      <w:r>
        <w:rPr>
          <w:rFonts w:ascii="Times New Roman" w:cs="Times New Roman" w:eastAsia="Times New Roman" w:hAnsi="Times New Roman"/>
          <w:sz w:val="15"/>
          <w:szCs w:val="15"/>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 w:name="page10"/>
    <w:bookmarkEnd w:id="9"/>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68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91355" cy="668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620" w:right="1179" w:hanging="148"/>
        <w:spacing w:after="0" w:line="257" w:lineRule="auto"/>
        <w:tabs>
          <w:tab w:leader="none" w:pos="1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a clinical-stage biopharma company with a limited operating history and no products approved for commercial sale; we have incurred substantial losses since our inception, and we anticipate incurring substantial and increasing losses for the foreseeable future;</w:t>
      </w:r>
    </w:p>
    <w:p>
      <w:pPr>
        <w:spacing w:after="0" w:line="61" w:lineRule="exact"/>
        <w:rPr>
          <w:rFonts w:ascii="Times New Roman" w:cs="Times New Roman" w:eastAsia="Times New Roman" w:hAnsi="Times New Roman"/>
          <w:sz w:val="15"/>
          <w:szCs w:val="15"/>
          <w:color w:val="auto"/>
        </w:rPr>
      </w:pPr>
    </w:p>
    <w:p>
      <w:pPr>
        <w:jc w:val="both"/>
        <w:ind w:left="1620" w:right="1179" w:hanging="148"/>
        <w:spacing w:after="0" w:line="257" w:lineRule="auto"/>
        <w:tabs>
          <w:tab w:leader="none" w:pos="1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Even if this offering is successful, we will require substantial additional financing to achieve our goals, and failure to obtain additional capital when needed, or on acceptable terms, would cause us to delay, limit, reduce or terminate our product development efforts;</w:t>
      </w:r>
    </w:p>
    <w:p>
      <w:pPr>
        <w:spacing w:after="0" w:line="61" w:lineRule="exact"/>
        <w:rPr>
          <w:rFonts w:ascii="Times New Roman" w:cs="Times New Roman" w:eastAsia="Times New Roman" w:hAnsi="Times New Roman"/>
          <w:sz w:val="15"/>
          <w:szCs w:val="15"/>
          <w:color w:val="auto"/>
        </w:rPr>
      </w:pPr>
    </w:p>
    <w:p>
      <w:pPr>
        <w:jc w:val="both"/>
        <w:ind w:left="1620" w:right="1179" w:hanging="148"/>
        <w:spacing w:after="0" w:line="257" w:lineRule="auto"/>
        <w:tabs>
          <w:tab w:leader="none" w:pos="1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Raising additional capital may cause dilution to our stockholders, including purchasers of common stock in this offering, imposing restrictions on our operations or require us to relinquish rights to our product candidates;</w:t>
      </w:r>
    </w:p>
    <w:p>
      <w:pPr>
        <w:spacing w:after="0" w:line="61" w:lineRule="exact"/>
        <w:rPr>
          <w:rFonts w:ascii="Times New Roman" w:cs="Times New Roman" w:eastAsia="Times New Roman" w:hAnsi="Times New Roman"/>
          <w:sz w:val="15"/>
          <w:szCs w:val="15"/>
          <w:color w:val="auto"/>
        </w:rPr>
      </w:pPr>
    </w:p>
    <w:p>
      <w:pPr>
        <w:jc w:val="both"/>
        <w:ind w:left="1620" w:right="1159" w:hanging="148"/>
        <w:spacing w:after="0" w:line="250" w:lineRule="auto"/>
        <w:tabs>
          <w:tab w:leader="none" w:pos="1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Clinical development is lengthy and expensive, characterized by uncertain outcomes, with results of earlier studies and trials often failing to predict future trial results or results in other indications of a product candidate. We may incur additional costs or experience delays in completing, or fail to complete, the development and commercialization of our current product candidates or any future product candidates;</w:t>
      </w:r>
    </w:p>
    <w:p>
      <w:pPr>
        <w:spacing w:after="0" w:line="57"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or difficulties in the enrollment and dosing of patients in clinical trials delay or prevent receipt of necessary regulatory approvals;</w:t>
      </w:r>
    </w:p>
    <w:p>
      <w:pPr>
        <w:spacing w:after="0" w:line="52"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significant adverse events or undesirable side effects caused by our product candidates may delay or prevent regulatory approval or market acceptance of our product candidates, or result in significant negative consequences following marketing approval, if any;</w:t>
      </w:r>
    </w:p>
    <w:p>
      <w:pPr>
        <w:spacing w:after="0" w:line="61" w:lineRule="exact"/>
        <w:rPr>
          <w:rFonts w:ascii="Times New Roman" w:cs="Times New Roman" w:eastAsia="Times New Roman" w:hAnsi="Times New Roman"/>
          <w:sz w:val="15"/>
          <w:szCs w:val="15"/>
          <w:color w:val="auto"/>
        </w:rPr>
      </w:pPr>
    </w:p>
    <w:p>
      <w:pPr>
        <w:jc w:val="both"/>
        <w:ind w:left="1620" w:right="1159" w:hanging="148"/>
        <w:spacing w:after="0" w:line="252" w:lineRule="auto"/>
        <w:tabs>
          <w:tab w:leader="none" w:pos="1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face potential competition from different sources that have made substantial investments into the rapid development of novel treatments for immunological indications, including large and specialty pharmaceutical and biotechnology companies, many of which already have approved therapies in our current indications;</w:t>
      </w:r>
    </w:p>
    <w:p>
      <w:pPr>
        <w:spacing w:after="0" w:line="66"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realize the benefits of our current or future collaborations or licensing arrangements and may be unsuccessful in consummating future partnerships;</w:t>
      </w:r>
    </w:p>
    <w:p>
      <w:pPr>
        <w:spacing w:after="0" w:line="52"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Even if we complete the necessary clinical trials, we cannot predict when, or if, we will obtain regulatory approval to commercialize any product candidate in the United States or any other jurisdiction, and any such approval may be for a more narrow indication than we seek;</w:t>
      </w:r>
    </w:p>
    <w:p>
      <w:pPr>
        <w:spacing w:after="0" w:line="50" w:lineRule="exact"/>
        <w:rPr>
          <w:rFonts w:ascii="Times New Roman" w:cs="Times New Roman" w:eastAsia="Times New Roman" w:hAnsi="Times New Roman"/>
          <w:sz w:val="15"/>
          <w:szCs w:val="15"/>
          <w:color w:val="auto"/>
        </w:rPr>
      </w:pPr>
    </w:p>
    <w:p>
      <w:pPr>
        <w:jc w:val="both"/>
        <w:ind w:left="1620" w:right="1179" w:hanging="148"/>
        <w:spacing w:after="0" w:line="257" w:lineRule="auto"/>
        <w:tabs>
          <w:tab w:leader="none" w:pos="1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dependent on the services of our senior management and other clinical and scientific personnel, and if we are not able to retain these individuals or recruit additional management or clinical and scientific personnel, our business will suffer;</w:t>
      </w:r>
    </w:p>
    <w:p>
      <w:pPr>
        <w:spacing w:after="0" w:line="61"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need to grow our organization, and we may experience difficulties in managing our growth and expanding our operations, which could adversely affect our business;</w:t>
      </w:r>
    </w:p>
    <w:p>
      <w:pPr>
        <w:spacing w:after="0" w:line="52" w:lineRule="exact"/>
        <w:rPr>
          <w:rFonts w:ascii="Times New Roman" w:cs="Times New Roman" w:eastAsia="Times New Roman" w:hAnsi="Times New Roman"/>
          <w:sz w:val="15"/>
          <w:szCs w:val="15"/>
          <w:color w:val="auto"/>
        </w:rPr>
      </w:pPr>
    </w:p>
    <w:p>
      <w:pPr>
        <w:jc w:val="both"/>
        <w:ind w:left="1620" w:right="1159" w:hanging="148"/>
        <w:spacing w:after="0" w:line="252" w:lineRule="auto"/>
        <w:tabs>
          <w:tab w:leader="none" w:pos="1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manufacturing of our product candidates is complex, and our third-party manufacturers may encounter difficulties in production. If our third-party manufacturers encounter such difficulties, our ability to provide supply of our product candidates for clinical trials, our ability to obtain marketing approval, or provide commercial supply of our products, if approved, could be delayed or halted;</w:t>
      </w:r>
    </w:p>
    <w:p>
      <w:pPr>
        <w:spacing w:after="0" w:line="66" w:lineRule="exact"/>
        <w:rPr>
          <w:rFonts w:ascii="Times New Roman" w:cs="Times New Roman" w:eastAsia="Times New Roman" w:hAnsi="Times New Roman"/>
          <w:sz w:val="15"/>
          <w:szCs w:val="15"/>
          <w:color w:val="auto"/>
        </w:rPr>
      </w:pPr>
    </w:p>
    <w:p>
      <w:pPr>
        <w:jc w:val="both"/>
        <w:ind w:left="1620" w:right="1159" w:hanging="148"/>
        <w:spacing w:after="0" w:line="250" w:lineRule="auto"/>
        <w:tabs>
          <w:tab w:leader="none" w:pos="1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are unable to obtain and maintain sufficient intellectual property protection for our product candidates or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impacted;</w:t>
      </w:r>
    </w:p>
    <w:p>
      <w:pPr>
        <w:spacing w:after="0" w:line="68" w:lineRule="exact"/>
        <w:rPr>
          <w:rFonts w:ascii="Times New Roman" w:cs="Times New Roman" w:eastAsia="Times New Roman" w:hAnsi="Times New Roman"/>
          <w:sz w:val="15"/>
          <w:szCs w:val="15"/>
          <w:color w:val="auto"/>
        </w:rPr>
      </w:pPr>
    </w:p>
    <w:p>
      <w:pPr>
        <w:jc w:val="both"/>
        <w:ind w:left="1620" w:right="1159" w:hanging="148"/>
        <w:spacing w:after="0" w:line="250" w:lineRule="auto"/>
        <w:tabs>
          <w:tab w:leader="none" w:pos="1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relied and expect to continue to rely on third parties to conduct our preclinical studies and clinical trials. If those third parties do not perform as contractually required, fail to satisfy legal or regulatory requirements, miss deadlines or terminate the relationship, our development programs could be delayed, more costly or unsuccessful, and we may never be able to seek or obtain regulatory approval for or commercialize our product candidates;</w:t>
      </w:r>
    </w:p>
    <w:p>
      <w:pPr>
        <w:spacing w:after="0" w:line="68" w:lineRule="exact"/>
        <w:rPr>
          <w:rFonts w:ascii="Times New Roman" w:cs="Times New Roman" w:eastAsia="Times New Roman" w:hAnsi="Times New Roman"/>
          <w:sz w:val="15"/>
          <w:szCs w:val="15"/>
          <w:color w:val="auto"/>
        </w:rPr>
      </w:pPr>
    </w:p>
    <w:p>
      <w:pPr>
        <w:jc w:val="both"/>
        <w:ind w:left="1620" w:right="1159" w:hanging="148"/>
        <w:spacing w:after="0" w:line="262" w:lineRule="auto"/>
        <w:tabs>
          <w:tab w:leader="none" w:pos="1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rights to develop and commercialize our product candidates are subject, in large part, to the terms and conditions of licenses granted to us by others, such as Xencor. If we fail to comply with our</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 w:name="page11"/>
    <w:bookmarkEnd w:id="10"/>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480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620" w:right="1179"/>
        <w:spacing w:after="0" w:line="249" w:lineRule="auto"/>
        <w:rPr>
          <w:sz w:val="20"/>
          <w:szCs w:val="20"/>
          <w:color w:val="auto"/>
        </w:rPr>
      </w:pPr>
      <w:r>
        <w:rPr>
          <w:rFonts w:ascii="Times New Roman" w:cs="Times New Roman" w:eastAsia="Times New Roman" w:hAnsi="Times New Roman"/>
          <w:sz w:val="15"/>
          <w:szCs w:val="15"/>
          <w:color w:val="auto"/>
        </w:rPr>
        <w:t>obligations in the agreements under which we in-license or acquire development or commercialization rights to product candidates, or data from third parties, we could lose such rights that are important to our business;</w:t>
      </w:r>
    </w:p>
    <w:p>
      <w:pPr>
        <w:spacing w:after="0" w:line="56" w:lineRule="exact"/>
        <w:rPr>
          <w:sz w:val="20"/>
          <w:szCs w:val="20"/>
          <w:color w:val="auto"/>
        </w:rPr>
      </w:pPr>
    </w:p>
    <w:p>
      <w:pPr>
        <w:jc w:val="both"/>
        <w:ind w:left="1620" w:right="1159" w:hanging="148"/>
        <w:spacing w:after="0" w:line="250" w:lineRule="auto"/>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operations of our suppliers, many of which are located outside of the United States, including our current sole contract manufacturing organization (‘‘CMO’’) for drug substance and drug product, WuXi Biologics (Hong Kong) Limited (“WuXi Biologics”), which is located in China, are subject to additional risks that are beyond our control and that could harm our business, financial condition, results of operations and prospects.</w:t>
      </w:r>
    </w:p>
    <w:p>
      <w:pPr>
        <w:spacing w:after="0" w:line="68"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active and liquid trading market for our common stock may not develop, and you may not be able to resell your shares of common stock at or above the public offering price, if at all; and</w:t>
      </w:r>
    </w:p>
    <w:p>
      <w:pPr>
        <w:spacing w:after="0" w:line="41"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market price of our common stock may be volatile, which could result in substantial losses for investors purchasing shares in this offering.</w:t>
      </w:r>
    </w:p>
    <w:p>
      <w:pPr>
        <w:spacing w:after="0" w:line="86" w:lineRule="exact"/>
        <w:rPr>
          <w:sz w:val="20"/>
          <w:szCs w:val="20"/>
          <w:color w:val="auto"/>
        </w:rPr>
      </w:pPr>
    </w:p>
    <w:p>
      <w:pPr>
        <w:jc w:val="both"/>
        <w:ind w:left="1180" w:right="1179" w:firstLine="293"/>
        <w:spacing w:after="0" w:line="254" w:lineRule="auto"/>
        <w:rPr>
          <w:sz w:val="20"/>
          <w:szCs w:val="20"/>
          <w:color w:val="auto"/>
        </w:rPr>
      </w:pPr>
      <w:r>
        <w:rPr>
          <w:rFonts w:ascii="Times New Roman" w:cs="Times New Roman" w:eastAsia="Times New Roman" w:hAnsi="Times New Roman"/>
          <w:sz w:val="15"/>
          <w:szCs w:val="15"/>
          <w:color w:val="auto"/>
        </w:rPr>
        <w:t>If we are unable to adequately address these and other risks we face, our business, results of operations, financial condition and prospects may be harmed.</w:t>
      </w:r>
    </w:p>
    <w:p>
      <w:pPr>
        <w:spacing w:after="0" w:line="14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Corporate and Other Information</w:t>
      </w:r>
    </w:p>
    <w:p>
      <w:pPr>
        <w:spacing w:after="0" w:line="115" w:lineRule="exact"/>
        <w:rPr>
          <w:sz w:val="20"/>
          <w:szCs w:val="20"/>
          <w:color w:val="auto"/>
        </w:rPr>
      </w:pPr>
    </w:p>
    <w:p>
      <w:pPr>
        <w:jc w:val="both"/>
        <w:ind w:left="1180" w:right="1159" w:firstLine="293"/>
        <w:spacing w:after="0" w:line="237" w:lineRule="auto"/>
        <w:rPr>
          <w:sz w:val="20"/>
          <w:szCs w:val="20"/>
          <w:color w:val="auto"/>
        </w:rPr>
      </w:pPr>
      <w:r>
        <w:rPr>
          <w:rFonts w:ascii="Times New Roman" w:cs="Times New Roman" w:eastAsia="Times New Roman" w:hAnsi="Times New Roman"/>
          <w:sz w:val="15"/>
          <w:szCs w:val="15"/>
          <w:color w:val="auto"/>
        </w:rPr>
        <w:t>Zenas BioPharma, Inc. was originally incorporated on November 12, 2019, as Zenas BioPharma (Cayman) Limited as an exempted company organized under the laws of the Cayman Islands. On August 2, 2023, the Company was domesticated as a Delaware corporation and, concurrent therewith, we changed our name from Zenas BioPharma (Cayman) Limited to Zenas BioPharma, Inc. Our principal executive offices are located at 1000 Winter Street, Suite 1200, Waltham, MA 02451, and our telephone number is (857) 271-2954. Our corporate website address is https://www.zenasbio.com. Information contained on or accessible through our website is not a part of this prospectus, and the inclusion of our website address in this prospectus is an inactive textual reference only.</w:t>
      </w:r>
    </w:p>
    <w:p>
      <w:pPr>
        <w:spacing w:after="0" w:line="99" w:lineRule="exact"/>
        <w:rPr>
          <w:sz w:val="20"/>
          <w:szCs w:val="20"/>
          <w:color w:val="auto"/>
        </w:rPr>
      </w:pPr>
    </w:p>
    <w:p>
      <w:pPr>
        <w:jc w:val="both"/>
        <w:ind w:left="1180" w:right="1159" w:firstLine="293"/>
        <w:spacing w:after="0" w:line="223" w:lineRule="auto"/>
        <w:rPr>
          <w:sz w:val="20"/>
          <w:szCs w:val="20"/>
          <w:color w:val="auto"/>
        </w:rPr>
      </w:pPr>
      <w:r>
        <w:rPr>
          <w:rFonts w:ascii="Times New Roman" w:cs="Times New Roman" w:eastAsia="Times New Roman" w:hAnsi="Times New Roman"/>
          <w:sz w:val="15"/>
          <w:szCs w:val="15"/>
          <w:color w:val="auto"/>
        </w:rPr>
        <w:t xml:space="preserve">This prospectus contains references to our trademarks and trademarks belonging to other entities. “Zenas BioPharma” is registered as a trademark in the United States and other countries. Solely for convenience, trademarks and trade names referred to in this prospectus, including logos, artwork and other visual displays, may appear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5"/>
          <w:szCs w:val="15"/>
          <w:color w:val="auto"/>
        </w:rPr>
        <w:t xml:space="preserve"> or ™ symbols, but such references are not intended to indicate in</w:t>
      </w:r>
    </w:p>
    <w:p>
      <w:pPr>
        <w:spacing w:after="0" w:line="3" w:lineRule="exact"/>
        <w:rPr>
          <w:sz w:val="20"/>
          <w:szCs w:val="20"/>
          <w:color w:val="auto"/>
        </w:rPr>
      </w:pPr>
    </w:p>
    <w:p>
      <w:pPr>
        <w:jc w:val="both"/>
        <w:ind w:left="1180" w:right="1159"/>
        <w:spacing w:after="0" w:line="236" w:lineRule="auto"/>
        <w:rPr>
          <w:sz w:val="20"/>
          <w:szCs w:val="20"/>
          <w:color w:val="auto"/>
        </w:rPr>
      </w:pPr>
      <w:r>
        <w:rPr>
          <w:rFonts w:ascii="Times New Roman" w:cs="Times New Roman" w:eastAsia="Times New Roman" w:hAnsi="Times New Roman"/>
          <w:sz w:val="15"/>
          <w:szCs w:val="15"/>
          <w:color w:val="auto"/>
        </w:rPr>
        <w:t>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4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Implications of Being an Emerging Growth Company and a Smaller Reporting Company</w:t>
      </w:r>
    </w:p>
    <w:p>
      <w:pPr>
        <w:spacing w:after="0" w:line="126" w:lineRule="exact"/>
        <w:rPr>
          <w:sz w:val="20"/>
          <w:szCs w:val="20"/>
          <w:color w:val="auto"/>
        </w:rPr>
      </w:pPr>
    </w:p>
    <w:p>
      <w:pPr>
        <w:jc w:val="both"/>
        <w:ind w:left="1180" w:right="1159" w:firstLine="293"/>
        <w:spacing w:after="0" w:line="237" w:lineRule="auto"/>
        <w:rPr>
          <w:sz w:val="20"/>
          <w:szCs w:val="20"/>
          <w:color w:val="auto"/>
        </w:rPr>
      </w:pPr>
      <w:r>
        <w:rPr>
          <w:rFonts w:ascii="Times New Roman" w:cs="Times New Roman" w:eastAsia="Times New Roman" w:hAnsi="Times New Roman"/>
          <w:sz w:val="15"/>
          <w:szCs w:val="15"/>
          <w:color w:val="auto"/>
        </w:rPr>
        <w:t>We qualify as an “emerging growth company” as defined in the Jumpstart Our Business Startups Act of 2012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 -binding advisory votes on executive compensation and golden parachute payments and exemption from the auditor attestation requirement in the assessment of our internal control over financial reporting.</w:t>
      </w:r>
    </w:p>
    <w:p>
      <w:pPr>
        <w:spacing w:after="0" w:line="99" w:lineRule="exact"/>
        <w:rPr>
          <w:sz w:val="20"/>
          <w:szCs w:val="20"/>
          <w:color w:val="auto"/>
        </w:rPr>
      </w:pPr>
    </w:p>
    <w:p>
      <w:pPr>
        <w:jc w:val="both"/>
        <w:ind w:left="1180" w:right="1159" w:firstLine="293"/>
        <w:spacing w:after="0" w:line="238" w:lineRule="auto"/>
        <w:rPr>
          <w:sz w:val="20"/>
          <w:szCs w:val="20"/>
          <w:color w:val="auto"/>
        </w:rPr>
      </w:pPr>
      <w:r>
        <w:rPr>
          <w:rFonts w:ascii="Times New Roman" w:cs="Times New Roman" w:eastAsia="Times New Roman" w:hAnsi="Times New Roman"/>
          <w:sz w:val="15"/>
          <w:szCs w:val="15"/>
          <w:color w:val="auto"/>
        </w:rPr>
        <w:t>We may take advantage of these exemptions until the last day of the fiscal year following the fifth anniversary of this offering or such earlier time that we are no longer an emerging growth company. We would cease to be an emerging growth company earlier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spacing w:after="0" w:line="98" w:lineRule="exact"/>
        <w:rPr>
          <w:sz w:val="20"/>
          <w:szCs w:val="20"/>
          <w:color w:val="auto"/>
        </w:rPr>
      </w:pPr>
    </w:p>
    <w:p>
      <w:pPr>
        <w:jc w:val="both"/>
        <w:ind w:left="1180" w:right="1179" w:firstLine="293"/>
        <w:spacing w:after="0" w:line="254" w:lineRule="auto"/>
        <w:rPr>
          <w:sz w:val="20"/>
          <w:szCs w:val="20"/>
          <w:color w:val="auto"/>
        </w:rPr>
      </w:pPr>
      <w:r>
        <w:rPr>
          <w:rFonts w:ascii="Times New Roman" w:cs="Times New Roman" w:eastAsia="Times New Roman" w:hAnsi="Times New Roman"/>
          <w:sz w:val="15"/>
          <w:szCs w:val="15"/>
          <w:color w:val="auto"/>
        </w:rPr>
        <w:t>We have elected to take advantage of certain of the reduced disclosure obligations in the registration statement of which this prospectus is a part and may elect to take advantage of other reduced reporting</w:t>
      </w: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 w:name="page12"/>
    <w:bookmarkEnd w:id="11"/>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480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180" w:right="1159"/>
        <w:spacing w:after="0" w:line="250" w:lineRule="auto"/>
        <w:rPr>
          <w:sz w:val="20"/>
          <w:szCs w:val="20"/>
          <w:color w:val="auto"/>
        </w:rPr>
      </w:pPr>
      <w:r>
        <w:rPr>
          <w:rFonts w:ascii="Times New Roman" w:cs="Times New Roman" w:eastAsia="Times New Roman" w:hAnsi="Times New Roman"/>
          <w:sz w:val="15"/>
          <w:szCs w:val="15"/>
          <w:color w:val="auto"/>
        </w:rPr>
        <w:t>requirements in future filings. In particular, in this prospectus, we have provided only two years of audited financial statements and have not included all of the executive compensation related information that would be required if we were not an emerging growth company. As a result, the information that we provide to our stockholders may be different than you might receive from other public reporting companies in which you hold equity interests.</w:t>
      </w:r>
    </w:p>
    <w:p>
      <w:pPr>
        <w:spacing w:after="0" w:line="101" w:lineRule="exact"/>
        <w:rPr>
          <w:sz w:val="20"/>
          <w:szCs w:val="20"/>
          <w:color w:val="auto"/>
        </w:rPr>
      </w:pPr>
    </w:p>
    <w:p>
      <w:pPr>
        <w:jc w:val="both"/>
        <w:ind w:left="1180" w:right="1159" w:firstLine="293"/>
        <w:spacing w:after="0" w:line="247" w:lineRule="auto"/>
        <w:rPr>
          <w:sz w:val="20"/>
          <w:szCs w:val="20"/>
          <w:color w:val="auto"/>
        </w:rPr>
      </w:pPr>
      <w:r>
        <w:rPr>
          <w:rFonts w:ascii="Times New Roman" w:cs="Times New Roman" w:eastAsia="Times New Roman" w:hAnsi="Times New Roman"/>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Therefore, the reported results of operations contained in our financial statements may not be directly comparable to those of other public companies.</w:t>
      </w:r>
    </w:p>
    <w:p>
      <w:pPr>
        <w:spacing w:after="0" w:line="102" w:lineRule="exact"/>
        <w:rPr>
          <w:sz w:val="20"/>
          <w:szCs w:val="20"/>
          <w:color w:val="auto"/>
        </w:rPr>
      </w:pPr>
    </w:p>
    <w:p>
      <w:pPr>
        <w:jc w:val="both"/>
        <w:ind w:left="1180" w:right="1159" w:firstLine="293"/>
        <w:spacing w:after="0" w:line="246" w:lineRule="auto"/>
        <w:rPr>
          <w:sz w:val="20"/>
          <w:szCs w:val="20"/>
          <w:color w:val="auto"/>
        </w:rPr>
      </w:pPr>
      <w:r>
        <w:rPr>
          <w:rFonts w:ascii="Times New Roman" w:cs="Times New Roman" w:eastAsia="Times New Roman" w:hAnsi="Times New Roman"/>
          <w:sz w:val="15"/>
          <w:szCs w:val="15"/>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We may continue to be a smaller reporting company until the fiscal year following the determination that we no longer meet the requirements necessary to be considered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 w:name="page13"/>
    <w:bookmarkEnd w:id="12"/>
    <w:p>
      <w:pPr>
        <w:ind w:left="1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268605</wp:posOffset>
            </wp:positionV>
            <wp:extent cx="4491355" cy="6507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91355" cy="650748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Common stock offered by us</w:t>
      </w:r>
    </w:p>
    <w:p>
      <w:pPr>
        <w:spacing w:after="0" w:line="91" w:lineRule="exact"/>
        <w:rPr>
          <w:sz w:val="20"/>
          <w:szCs w:val="20"/>
          <w:color w:val="auto"/>
        </w:rPr>
      </w:pPr>
    </w:p>
    <w:p>
      <w:pPr>
        <w:ind w:left="1320" w:hanging="145"/>
        <w:spacing w:after="0" w:line="269" w:lineRule="auto"/>
        <w:rPr>
          <w:sz w:val="20"/>
          <w:szCs w:val="20"/>
          <w:color w:val="auto"/>
        </w:rPr>
      </w:pPr>
      <w:r>
        <w:rPr>
          <w:rFonts w:ascii="Times New Roman" w:cs="Times New Roman" w:eastAsia="Times New Roman" w:hAnsi="Times New Roman"/>
          <w:sz w:val="15"/>
          <w:szCs w:val="15"/>
          <w:color w:val="auto"/>
        </w:rPr>
        <w:t>Underwriters’ over-allotment option of common stock offered by us</w:t>
      </w:r>
    </w:p>
    <w:p>
      <w:pPr>
        <w:spacing w:after="0" w:line="53" w:lineRule="exact"/>
        <w:rPr>
          <w:sz w:val="20"/>
          <w:szCs w:val="20"/>
          <w:color w:val="auto"/>
        </w:rPr>
      </w:pPr>
    </w:p>
    <w:p>
      <w:pPr>
        <w:jc w:val="right"/>
        <w:ind w:left="1180" w:right="380"/>
        <w:spacing w:after="0" w:line="269" w:lineRule="auto"/>
        <w:rPr>
          <w:sz w:val="20"/>
          <w:szCs w:val="20"/>
          <w:color w:val="auto"/>
        </w:rPr>
      </w:pPr>
      <w:r>
        <w:rPr>
          <w:rFonts w:ascii="Times New Roman" w:cs="Times New Roman" w:eastAsia="Times New Roman" w:hAnsi="Times New Roman"/>
          <w:sz w:val="15"/>
          <w:szCs w:val="15"/>
          <w:color w:val="auto"/>
        </w:rPr>
        <w:t>Common stock to be outstanding immediately after this offering</w:t>
      </w:r>
    </w:p>
    <w:p>
      <w:pPr>
        <w:spacing w:after="0" w:line="22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Proposed Nasdaq trading</w:t>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OFFERING</w:t>
      </w:r>
    </w:p>
    <w:p>
      <w:pPr>
        <w:spacing w:after="0" w:line="93" w:lineRule="exact"/>
        <w:rPr>
          <w:sz w:val="20"/>
          <w:szCs w:val="20"/>
          <w:color w:val="auto"/>
        </w:rPr>
      </w:pPr>
    </w:p>
    <w:p>
      <w:pPr>
        <w:ind w:left="80" w:hanging="69"/>
        <w:spacing w:after="0"/>
        <w:tabs>
          <w:tab w:leader="none" w:pos="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shares.</w:t>
      </w:r>
    </w:p>
    <w:p>
      <w:pPr>
        <w:spacing w:after="0" w:line="289" w:lineRule="exact"/>
        <w:rPr>
          <w:rFonts w:ascii="Times New Roman" w:cs="Times New Roman" w:eastAsia="Times New Roman" w:hAnsi="Times New Roman"/>
          <w:sz w:val="13"/>
          <w:szCs w:val="13"/>
          <w:color w:val="auto"/>
        </w:rPr>
      </w:pPr>
    </w:p>
    <w:p>
      <w:pPr>
        <w:ind w:left="80" w:hanging="69"/>
        <w:spacing w:after="0"/>
        <w:tabs>
          <w:tab w:leader="none" w:pos="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shares.</w:t>
      </w:r>
    </w:p>
    <w:p>
      <w:pPr>
        <w:spacing w:after="0" w:line="289" w:lineRule="exact"/>
        <w:rPr>
          <w:rFonts w:ascii="Times New Roman" w:cs="Times New Roman" w:eastAsia="Times New Roman" w:hAnsi="Times New Roman"/>
          <w:sz w:val="13"/>
          <w:szCs w:val="13"/>
          <w:color w:val="auto"/>
        </w:rPr>
      </w:pPr>
    </w:p>
    <w:p>
      <w:pPr>
        <w:ind w:left="20" w:right="1159" w:hanging="9"/>
        <w:spacing w:after="0" w:line="269" w:lineRule="auto"/>
        <w:tabs>
          <w:tab w:leader="none" w:pos="9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shares (or                    shares if the underwriters exercise their over-allotment option in full).</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We estimate that our net proceeds from this offering will be</w:t>
      </w:r>
    </w:p>
    <w:p>
      <w:pPr>
        <w:spacing w:after="0" w:line="18" w:lineRule="exact"/>
        <w:rPr>
          <w:sz w:val="20"/>
          <w:szCs w:val="20"/>
          <w:color w:val="auto"/>
        </w:rPr>
      </w:pPr>
    </w:p>
    <w:p>
      <w:pPr>
        <w:jc w:val="both"/>
        <w:ind w:left="20" w:right="1159"/>
        <w:spacing w:after="0" w:line="245" w:lineRule="auto"/>
        <w:rPr>
          <w:sz w:val="20"/>
          <w:szCs w:val="20"/>
          <w:color w:val="auto"/>
        </w:rPr>
      </w:pPr>
      <w:r>
        <w:rPr>
          <w:rFonts w:ascii="Times New Roman" w:cs="Times New Roman" w:eastAsia="Times New Roman" w:hAnsi="Times New Roman"/>
          <w:sz w:val="15"/>
          <w:szCs w:val="15"/>
          <w:color w:val="auto"/>
        </w:rPr>
        <w:t>approximately $            million (or approximately $            million if the underwriters exercise their over-allotment option in full), based on an assumed initial public offering price of $            per share, which is the midpoint of the price range set forth on the cover page of this prospectus, and after deducting estimated underwriting discounts and commissions and estimated offering expenses payable by us.</w:t>
      </w:r>
    </w:p>
    <w:p>
      <w:pPr>
        <w:spacing w:after="0" w:line="104" w:lineRule="exact"/>
        <w:rPr>
          <w:sz w:val="20"/>
          <w:szCs w:val="20"/>
          <w:color w:val="auto"/>
        </w:rPr>
      </w:pPr>
    </w:p>
    <w:p>
      <w:pPr>
        <w:jc w:val="both"/>
        <w:ind w:left="20" w:right="1159"/>
        <w:spacing w:after="0" w:line="257" w:lineRule="auto"/>
        <w:rPr>
          <w:sz w:val="20"/>
          <w:szCs w:val="20"/>
          <w:color w:val="auto"/>
        </w:rPr>
      </w:pPr>
      <w:r>
        <w:rPr>
          <w:rFonts w:ascii="Times New Roman" w:cs="Times New Roman" w:eastAsia="Times New Roman" w:hAnsi="Times New Roman"/>
          <w:sz w:val="15"/>
          <w:szCs w:val="15"/>
          <w:color w:val="auto"/>
        </w:rPr>
        <w:t>We currently intend to use the net proceeds from this offering, together with our existing cash, as follows: (i) approximately $            million to advance the clinical development of obexelimab, including to advance the Phase 3 trial for patients with IgG4-RD, the Phase 2 trial for patients with MS, the Phase 2 trial for patients with SLE, and the Phase 2/3 trial for patients with wAIHA and (ii) the remainder for working capital and other general corporate purposes. See the section titled “Use of Proceeds.”</w:t>
      </w:r>
    </w:p>
    <w:p>
      <w:pPr>
        <w:spacing w:after="0" w:line="73" w:lineRule="exact"/>
        <w:rPr>
          <w:sz w:val="20"/>
          <w:szCs w:val="20"/>
          <w:color w:val="auto"/>
        </w:rPr>
      </w:pPr>
    </w:p>
    <w:p>
      <w:pPr>
        <w:jc w:val="both"/>
        <w:ind w:left="20" w:right="1159"/>
        <w:spacing w:after="0" w:line="252" w:lineRule="auto"/>
        <w:rPr>
          <w:sz w:val="20"/>
          <w:szCs w:val="20"/>
          <w:color w:val="auto"/>
        </w:rPr>
      </w:pPr>
      <w:r>
        <w:rPr>
          <w:rFonts w:ascii="Times New Roman" w:cs="Times New Roman" w:eastAsia="Times New Roman" w:hAnsi="Times New Roman"/>
          <w:sz w:val="15"/>
          <w:szCs w:val="15"/>
          <w:color w:val="auto"/>
        </w:rPr>
        <w:t>You should carefully read the “Risk Factors” section of this prospectus and the other information included in this prospectus for a discussion of factors that you should consider before deciding to invest in our common stock.</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“ZBIO”</w:t>
      </w:r>
    </w:p>
    <w:p>
      <w:pPr>
        <w:spacing w:after="0" w:line="123" w:lineRule="exact"/>
        <w:rPr>
          <w:sz w:val="20"/>
          <w:szCs w:val="20"/>
          <w:color w:val="auto"/>
        </w:rPr>
      </w:pPr>
    </w:p>
    <w:p>
      <w:pPr>
        <w:sectPr>
          <w:pgSz w:w="11900" w:h="16838" w:orient="portrait"/>
          <w:cols w:equalWidth="0" w:num="2">
            <w:col w:w="3580" w:space="400"/>
            <w:col w:w="5039"/>
          </w:cols>
          <w:pgMar w:left="1440" w:top="106" w:right="1440" w:bottom="1440" w:gutter="0" w:footer="0" w:header="0"/>
          <w:type w:val="continuous"/>
        </w:sectPr>
      </w:pPr>
    </w:p>
    <w:p>
      <w:pPr>
        <w:jc w:val="both"/>
        <w:ind w:left="1180" w:right="1159" w:firstLine="293"/>
        <w:spacing w:after="0" w:line="250" w:lineRule="auto"/>
        <w:rPr>
          <w:sz w:val="20"/>
          <w:szCs w:val="20"/>
          <w:color w:val="auto"/>
        </w:rPr>
      </w:pPr>
      <w:r>
        <w:rPr>
          <w:rFonts w:ascii="Times New Roman" w:cs="Times New Roman" w:eastAsia="Times New Roman" w:hAnsi="Times New Roman"/>
          <w:sz w:val="15"/>
          <w:szCs w:val="15"/>
          <w:color w:val="auto"/>
        </w:rPr>
        <w:t>The number of shares of our common stock to be outstanding immediately following the completion of this offering is based on 230,598,212 shares outstanding as of June 30, 2024 (including 13,086 shares of unvested restricted common stock), after giving effect to the automatic conversion of all outstanding shares of our convertible preferred stock as of June 30, 2024 into an aggregate of 216,892,920 shares of our common stock immediately prior to the completion of this offering, and excludes:</w:t>
      </w:r>
    </w:p>
    <w:p>
      <w:pPr>
        <w:spacing w:after="0" w:line="68" w:lineRule="exact"/>
        <w:rPr>
          <w:sz w:val="20"/>
          <w:szCs w:val="20"/>
          <w:color w:val="auto"/>
        </w:rPr>
      </w:pPr>
    </w:p>
    <w:p>
      <w:pPr>
        <w:ind w:left="1620" w:right="1159" w:hanging="148"/>
        <w:spacing w:after="0" w:line="269" w:lineRule="auto"/>
        <w:tabs>
          <w:tab w:leader="none" w:pos="1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37,077,687 shares of common stock issuable upon the exercise of stock options outstanding as of June 30, 2024, with a weighted-average exercise price of $1.06 per share;</w:t>
      </w:r>
    </w:p>
    <w:p>
      <w:pPr>
        <w:spacing w:after="0" w:line="52"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310,396 shares of common stock reserved for issuance as of June 30, 2024 under our 2020 Equity Incentive Plan (the “2020 Plan”);</w:t>
      </w:r>
    </w:p>
    <w:p>
      <w:pPr>
        <w:spacing w:after="0" w:line="52" w:lineRule="exact"/>
        <w:rPr>
          <w:rFonts w:ascii="Times New Roman" w:cs="Times New Roman" w:eastAsia="Times New Roman" w:hAnsi="Times New Roman"/>
          <w:sz w:val="15"/>
          <w:szCs w:val="15"/>
          <w:color w:val="auto"/>
        </w:rPr>
      </w:pPr>
    </w:p>
    <w:p>
      <w:pPr>
        <w:ind w:left="2280" w:hanging="808"/>
        <w:spacing w:after="0"/>
        <w:tabs>
          <w:tab w:leader="none" w:pos="2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common stock issuable upon the exercise of stock options granted subsequent to</w:t>
      </w:r>
    </w:p>
    <w:p>
      <w:pPr>
        <w:spacing w:after="0" w:line="18" w:lineRule="exact"/>
        <w:rPr>
          <w:sz w:val="20"/>
          <w:szCs w:val="20"/>
          <w:color w:val="auto"/>
        </w:rPr>
      </w:pPr>
    </w:p>
    <w:p>
      <w:pPr>
        <w:ind w:left="1620"/>
        <w:spacing w:after="0"/>
        <w:tabs>
          <w:tab w:leader="none" w:pos="6880" w:val="left"/>
        </w:tabs>
        <w:rPr>
          <w:sz w:val="20"/>
          <w:szCs w:val="20"/>
          <w:color w:val="auto"/>
        </w:rPr>
      </w:pPr>
      <w:r>
        <w:rPr>
          <w:rFonts w:ascii="Times New Roman" w:cs="Times New Roman" w:eastAsia="Times New Roman" w:hAnsi="Times New Roman"/>
          <w:sz w:val="15"/>
          <w:szCs w:val="15"/>
          <w:color w:val="auto"/>
        </w:rPr>
        <w:t>June 30, 2024 under the 2020 Plan, with a weighted-average exercise price of $</w:t>
      </w:r>
      <w:r>
        <w:rPr>
          <w:sz w:val="20"/>
          <w:szCs w:val="20"/>
          <w:color w:val="auto"/>
        </w:rPr>
        <w:tab/>
      </w:r>
      <w:r>
        <w:rPr>
          <w:rFonts w:ascii="Times New Roman" w:cs="Times New Roman" w:eastAsia="Times New Roman" w:hAnsi="Times New Roman"/>
          <w:sz w:val="15"/>
          <w:szCs w:val="15"/>
          <w:color w:val="auto"/>
        </w:rPr>
        <w:t>per share;</w:t>
      </w:r>
    </w:p>
    <w:p>
      <w:pPr>
        <w:spacing w:after="0" w:line="76" w:lineRule="exact"/>
        <w:rPr>
          <w:sz w:val="20"/>
          <w:szCs w:val="20"/>
          <w:color w:val="auto"/>
        </w:rPr>
      </w:pPr>
    </w:p>
    <w:p>
      <w:pPr>
        <w:jc w:val="both"/>
        <w:ind w:left="1620" w:right="1159" w:hanging="148"/>
        <w:spacing w:after="0" w:line="250" w:lineRule="auto"/>
        <w:tabs>
          <w:tab w:leader="none" w:pos="2079"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common stock reserved for issuance under our 2024 Equity Incentive Plan (the “2024 Plan”), which will become effective in connection with this offering (which includes up to approximately            million shares of common stock underlying stock option awards that our board of directors may grant under the 2024 Plan upon the pricing of this offering with an exercise price per share equal to the initial public offering price per share); and</w:t>
      </w:r>
    </w:p>
    <w:p>
      <w:pPr>
        <w:spacing w:after="0" w:line="68"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2087"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common stock reserved for issuance under our 2024 Employee Stock Purchase Plan (the “ESPP”), which will become effective in connection with this offering.</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13" w:name="page14"/>
    <w:bookmarkEnd w:id="13"/>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480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Except as otherwise noted, all information in this prospectus assumes or gives effect to the following:</w:t>
      </w:r>
    </w:p>
    <w:p>
      <w:pPr>
        <w:spacing w:after="0" w:line="91" w:lineRule="exact"/>
        <w:rPr>
          <w:sz w:val="20"/>
          <w:szCs w:val="20"/>
          <w:color w:val="auto"/>
        </w:rPr>
      </w:pPr>
    </w:p>
    <w:p>
      <w:pPr>
        <w:ind w:left="1620" w:hanging="148"/>
        <w:spacing w:after="0"/>
        <w:tabs>
          <w:tab w:leader="none" w:pos="1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1-for-            reverse stock split of our capital stock, which was effected on                     , 2024;</w:t>
      </w:r>
    </w:p>
    <w:p>
      <w:pPr>
        <w:spacing w:after="0" w:line="91"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automatic conversion of all outstanding shares of our convertible preferred stock as of June 30, 2024 into an aggregate of 216,892,920 shares of our common stock immediately prior to the completion of this offering;</w:t>
      </w:r>
    </w:p>
    <w:p>
      <w:pPr>
        <w:spacing w:after="0" w:line="61" w:lineRule="exact"/>
        <w:rPr>
          <w:rFonts w:ascii="Times New Roman" w:cs="Times New Roman" w:eastAsia="Times New Roman" w:hAnsi="Times New Roman"/>
          <w:sz w:val="15"/>
          <w:szCs w:val="15"/>
          <w:color w:val="auto"/>
        </w:rPr>
      </w:pPr>
    </w:p>
    <w:p>
      <w:pPr>
        <w:ind w:left="1620" w:hanging="148"/>
        <w:spacing w:after="0"/>
        <w:tabs>
          <w:tab w:leader="none" w:pos="1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exercise by the underwriters of their over-allotment option;</w:t>
      </w:r>
    </w:p>
    <w:p>
      <w:pPr>
        <w:spacing w:after="0" w:line="91"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filing and effectiveness of our restated certificate of incorporation (the “Restated Charter”) and the adoption of our amended and restated bylaws (the “Restated Bylaws”) prior to the completion of this offering; and</w:t>
      </w:r>
    </w:p>
    <w:p>
      <w:pPr>
        <w:spacing w:after="0" w:line="61" w:lineRule="exact"/>
        <w:rPr>
          <w:rFonts w:ascii="Times New Roman" w:cs="Times New Roman" w:eastAsia="Times New Roman" w:hAnsi="Times New Roman"/>
          <w:sz w:val="15"/>
          <w:szCs w:val="15"/>
          <w:color w:val="auto"/>
        </w:rPr>
      </w:pPr>
    </w:p>
    <w:p>
      <w:pPr>
        <w:ind w:left="1620" w:hanging="148"/>
        <w:spacing w:after="0"/>
        <w:tabs>
          <w:tab w:leader="none" w:pos="1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vesting or exercise of the outstanding stock options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 w:name="page15"/>
    <w:bookmarkEnd w:id="14"/>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480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SUMMARY CONSOLIDATED FINANCIAL DATA</w:t>
      </w:r>
    </w:p>
    <w:p>
      <w:pPr>
        <w:spacing w:after="0" w:line="126" w:lineRule="exact"/>
        <w:rPr>
          <w:sz w:val="20"/>
          <w:szCs w:val="20"/>
          <w:color w:val="auto"/>
        </w:rPr>
      </w:pPr>
    </w:p>
    <w:p>
      <w:pPr>
        <w:jc w:val="both"/>
        <w:ind w:left="1180" w:right="1159" w:firstLine="293"/>
        <w:spacing w:after="0" w:line="246" w:lineRule="auto"/>
        <w:rPr>
          <w:sz w:val="20"/>
          <w:szCs w:val="20"/>
          <w:color w:val="auto"/>
        </w:rPr>
      </w:pPr>
      <w:r>
        <w:rPr>
          <w:rFonts w:ascii="Times New Roman" w:cs="Times New Roman" w:eastAsia="Times New Roman" w:hAnsi="Times New Roman"/>
          <w:sz w:val="15"/>
          <w:szCs w:val="15"/>
          <w:color w:val="auto"/>
        </w:rPr>
        <w:t>You should read the following consolidated summary financial data together with the section titled “Management’s Discussion and Analysis of Financial Condition and Results of Operations” in this prospectus and our consolidated financial statements and the related notes included elsewhere in this prospectus. The consolidated statements of operations and comprehensive loss data for the years ended December 31, 2023 and 2022 have been derived from our audited consolidated financial statements included elsewhere in this prospectus. The condensed consolidated statements of operations and comprehensive loss data for the six months ended June 30, 2024 and 2023 and the condensed consolidated balance sheet data as of June 30, 2024 have been derived from our unaudited condensed consolidated financial statements included elsewhere in this prospectus. Our historical results are not necessarily indicative of the results that may be expected in the future. The summary consolidated financial and other data in this section are not intended to replace the financial statements and the related notes thereto included elsewhere in this prospectus and are qualified in their entirety by those consolidated financial statements and the related notes.</w:t>
      </w:r>
    </w:p>
    <w:p>
      <w:pPr>
        <w:spacing w:after="0" w:line="291"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6"/>
                <w:szCs w:val="16"/>
                <w:color w:val="auto"/>
              </w:rPr>
            </w:pPr>
          </w:p>
        </w:tc>
        <w:tc>
          <w:tcPr>
            <w:tcW w:w="1480" w:type="dxa"/>
            <w:vAlign w:val="bottom"/>
            <w:gridSpan w:val="6"/>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w w:val="94"/>
              </w:rPr>
              <w:t>Six Months Ended June 30,</w:t>
            </w:r>
          </w:p>
        </w:tc>
        <w:tc>
          <w:tcPr>
            <w:tcW w:w="180" w:type="dxa"/>
            <w:vAlign w:val="bottom"/>
            <w:gridSpan w:val="2"/>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6"/>
                <w:szCs w:val="16"/>
                <w:color w:val="auto"/>
              </w:rPr>
            </w:pP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w w:val="93"/>
              </w:rPr>
              <w:t>Year Ended December 31,</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jc w:val="right"/>
              <w:ind w:right="13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2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gridSpan w:val="2"/>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2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jc w:val="right"/>
              <w:ind w:right="13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 Data:</w:t>
            </w:r>
          </w:p>
        </w:tc>
        <w:tc>
          <w:tcPr>
            <w:tcW w:w="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gridSpan w:val="3"/>
          </w:tcPr>
          <w:p>
            <w:pPr>
              <w:jc w:val="right"/>
              <w:ind w:right="66"/>
              <w:spacing w:after="0"/>
              <w:rPr>
                <w:sz w:val="20"/>
                <w:szCs w:val="20"/>
                <w:color w:val="auto"/>
              </w:rPr>
            </w:pPr>
            <w:r>
              <w:rPr>
                <w:rFonts w:ascii="Times New Roman" w:cs="Times New Roman" w:eastAsia="Times New Roman" w:hAnsi="Times New Roman"/>
                <w:sz w:val="15"/>
                <w:szCs w:val="15"/>
                <w:b w:val="1"/>
                <w:bCs w:val="1"/>
                <w:color w:val="auto"/>
              </w:rPr>
              <w:t>​​​ ​</w:t>
            </w:r>
          </w:p>
        </w:tc>
        <w:tc>
          <w:tcPr>
            <w:tcW w:w="54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gridSpan w:val="2"/>
          </w:tcPr>
          <w:p>
            <w:pPr>
              <w:jc w:val="right"/>
              <w:ind w:right="111"/>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Revenue:</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ind w:right="66"/>
              <w:spacing w:after="0"/>
              <w:rPr>
                <w:sz w:val="20"/>
                <w:szCs w:val="20"/>
                <w:color w:val="auto"/>
              </w:rPr>
            </w:pPr>
            <w:r>
              <w:rPr>
                <w:rFonts w:ascii="Times New Roman" w:cs="Times New Roman" w:eastAsia="Times New Roman" w:hAnsi="Times New Roman"/>
                <w:sz w:val="1"/>
                <w:szCs w:val="1"/>
                <w:color w:val="auto"/>
                <w:w w:val="4294942296"/>
              </w:rPr>
              <w:t>​</w:t>
            </w:r>
          </w:p>
        </w:tc>
        <w:tc>
          <w:tcPr>
            <w:tcW w:w="5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tcPr>
          <w:p>
            <w:pPr>
              <w:jc w:val="right"/>
              <w:ind w:right="111"/>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Collaboration revenue</w:t>
            </w:r>
          </w:p>
        </w:tc>
        <w:tc>
          <w:tcPr>
            <w:tcW w:w="14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8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spacing w:after="0" w:line="220" w:lineRule="exact"/>
              <w:rPr>
                <w:sz w:val="20"/>
                <w:szCs w:val="20"/>
                <w:color w:val="auto"/>
              </w:rPr>
            </w:pPr>
            <w:r>
              <w:rPr>
                <w:rFonts w:ascii="Times New Roman" w:cs="Times New Roman" w:eastAsia="Times New Roman" w:hAnsi="Times New Roman"/>
                <w:sz w:val="13"/>
                <w:szCs w:val="13"/>
                <w:color w:val="auto"/>
              </w:rPr>
              <w:t>50,000</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200" w:type="dxa"/>
            <w:vAlign w:val="bottom"/>
          </w:tcPr>
          <w:p>
            <w:pPr>
              <w:jc w:val="right"/>
              <w:ind w:right="111"/>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revenue</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spacing w:after="0"/>
              <w:rPr>
                <w:sz w:val="17"/>
                <w:szCs w:val="17"/>
                <w:color w:val="auto"/>
              </w:rPr>
            </w:pPr>
          </w:p>
        </w:tc>
        <w:tc>
          <w:tcPr>
            <w:tcW w:w="540" w:type="dxa"/>
            <w:vAlign w:val="bottom"/>
            <w:gridSpan w:val="4"/>
          </w:tcPr>
          <w:p>
            <w:pPr>
              <w:jc w:val="right"/>
              <w:ind w:right="66"/>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50,000​​​ ​</w:t>
            </w:r>
          </w:p>
        </w:tc>
        <w:tc>
          <w:tcPr>
            <w:tcW w:w="400" w:type="dxa"/>
            <w:vAlign w:val="bottom"/>
          </w:tcPr>
          <w:p>
            <w:pPr>
              <w:spacing w:after="0"/>
              <w:rPr>
                <w:sz w:val="17"/>
                <w:szCs w:val="17"/>
                <w:color w:val="auto"/>
              </w:rPr>
            </w:pPr>
          </w:p>
        </w:tc>
        <w:tc>
          <w:tcPr>
            <w:tcW w:w="400" w:type="dxa"/>
            <w:vAlign w:val="bottom"/>
            <w:gridSpan w:val="3"/>
          </w:tcPr>
          <w:p>
            <w:pPr>
              <w:jc w:val="right"/>
              <w:ind w:right="111"/>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shd w:val="clear" w:color="auto" w:fill="CCEEFF"/>
          </w:tcPr>
          <w:p>
            <w:pPr>
              <w:spacing w:after="0"/>
              <w:rPr>
                <w:sz w:val="18"/>
                <w:szCs w:val="18"/>
                <w:color w:val="auto"/>
              </w:rPr>
            </w:pPr>
          </w:p>
        </w:tc>
        <w:tc>
          <w:tcPr>
            <w:tcW w:w="2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111"/>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Research and development (includes $1,872,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$2,117, $3,041 and $8,149 from related parties,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respectively)</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5"/>
          </w:tcPr>
          <w:p>
            <w:pPr>
              <w:jc w:val="right"/>
              <w:ind w:right="66"/>
              <w:spacing w:after="0"/>
              <w:rPr>
                <w:sz w:val="20"/>
                <w:szCs w:val="20"/>
                <w:color w:val="auto"/>
              </w:rPr>
            </w:pPr>
            <w:r>
              <w:rPr>
                <w:rFonts w:ascii="Times New Roman" w:cs="Times New Roman" w:eastAsia="Times New Roman" w:hAnsi="Times New Roman"/>
                <w:sz w:val="15"/>
                <w:szCs w:val="15"/>
                <w:color w:val="auto"/>
              </w:rPr>
              <w:t>56,452​​​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30,262 ​​​​ ​</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60,033​​​ ​</w:t>
            </w:r>
          </w:p>
        </w:tc>
        <w:tc>
          <w:tcPr>
            <w:tcW w:w="800" w:type="dxa"/>
            <w:vAlign w:val="bottom"/>
            <w:gridSpan w:val="4"/>
          </w:tcPr>
          <w:p>
            <w:pPr>
              <w:jc w:val="right"/>
              <w:ind w:right="111"/>
              <w:spacing w:after="0"/>
              <w:rPr>
                <w:sz w:val="20"/>
                <w:szCs w:val="20"/>
                <w:color w:val="auto"/>
              </w:rPr>
            </w:pPr>
            <w:r>
              <w:rPr>
                <w:rFonts w:ascii="Times New Roman" w:cs="Times New Roman" w:eastAsia="Times New Roman" w:hAnsi="Times New Roman"/>
                <w:sz w:val="15"/>
                <w:szCs w:val="15"/>
                <w:color w:val="auto"/>
              </w:rPr>
              <w:t xml:space="preserve">61,689 </w:t>
            </w:r>
            <w:r>
              <w:rPr>
                <w:rFonts w:ascii="Times New Roman" w:cs="Times New Roman" w:eastAsia="Times New Roman" w:hAnsi="Times New Roman"/>
                <w:sz w:val="15"/>
                <w:szCs w:val="15"/>
                <w:b w:val="1"/>
                <w:bCs w:val="1"/>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 (includes $0, $5, $8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and $103 from related parties, respectively)</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5"/>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10,828​​​ ​</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7,729 ​​​​ ​</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17,114​​​ ​</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13,510</w:t>
            </w:r>
          </w:p>
        </w:tc>
        <w:tc>
          <w:tcPr>
            <w:tcW w:w="200" w:type="dxa"/>
            <w:vAlign w:val="bottom"/>
          </w:tcPr>
          <w:p>
            <w:pPr>
              <w:jc w:val="right"/>
              <w:ind w:right="111"/>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Acquired in-process research and development</w:t>
            </w:r>
          </w:p>
        </w:tc>
        <w:tc>
          <w:tcPr>
            <w:tcW w:w="200" w:type="dxa"/>
            <w:vAlign w:val="bottom"/>
            <w:gridSpan w:val="3"/>
          </w:tcPr>
          <w:p>
            <w:pPr>
              <w:ind w:left="20"/>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00" w:type="dxa"/>
            <w:vAlign w:val="bottom"/>
          </w:tcPr>
          <w:p>
            <w:pPr>
              <w:spacing w:after="0"/>
              <w:rPr>
                <w:sz w:val="19"/>
                <w:szCs w:val="19"/>
                <w:color w:val="auto"/>
              </w:rPr>
            </w:pPr>
          </w:p>
        </w:tc>
        <w:tc>
          <w:tcPr>
            <w:tcW w:w="540" w:type="dxa"/>
            <w:vAlign w:val="bottom"/>
            <w:gridSpan w:val="4"/>
          </w:tcPr>
          <w:p>
            <w:pPr>
              <w:jc w:val="right"/>
              <w:ind w:right="66"/>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800" w:type="dxa"/>
            <w:vAlign w:val="bottom"/>
            <w:gridSpan w:val="4"/>
          </w:tcPr>
          <w:p>
            <w:pPr>
              <w:jc w:val="right"/>
              <w:spacing w:after="0" w:line="220" w:lineRule="exact"/>
              <w:rPr>
                <w:sz w:val="20"/>
                <w:szCs w:val="20"/>
                <w:color w:val="auto"/>
              </w:rPr>
            </w:pPr>
            <w:r>
              <w:rPr>
                <w:rFonts w:ascii="Times New Roman" w:cs="Times New Roman" w:eastAsia="Times New Roman" w:hAnsi="Times New Roman"/>
                <w:sz w:val="13"/>
                <w:szCs w:val="13"/>
                <w:color w:val="auto"/>
              </w:rPr>
              <w:t xml:space="preserve">10,000 </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900" w:type="dxa"/>
            <w:vAlign w:val="bottom"/>
            <w:gridSpan w:val="5"/>
          </w:tcPr>
          <w:p>
            <w:pPr>
              <w:jc w:val="right"/>
              <w:spacing w:after="0" w:line="220" w:lineRule="exact"/>
              <w:rPr>
                <w:sz w:val="20"/>
                <w:szCs w:val="20"/>
                <w:color w:val="auto"/>
              </w:rPr>
            </w:pPr>
            <w:r>
              <w:rPr>
                <w:rFonts w:ascii="Times New Roman" w:cs="Times New Roman" w:eastAsia="Times New Roman" w:hAnsi="Times New Roman"/>
                <w:sz w:val="13"/>
                <w:szCs w:val="13"/>
                <w:color w:val="auto"/>
              </w:rPr>
              <w:t>10,000</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800" w:type="dxa"/>
            <w:vAlign w:val="bottom"/>
            <w:gridSpan w:val="4"/>
          </w:tcPr>
          <w:p>
            <w:pPr>
              <w:jc w:val="right"/>
              <w:ind w:right="111"/>
              <w:spacing w:after="0" w:line="220"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5"/>
                <w:szCs w:val="25"/>
                <w:b w:val="1"/>
                <w:bCs w:val="1"/>
                <w:color w:val="auto"/>
                <w:vertAlign w:val="subscript"/>
              </w:rPr>
              <w:t>​</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00" w:type="dxa"/>
            <w:vAlign w:val="bottom"/>
            <w:gridSpan w:val="3"/>
            <w:shd w:val="clear" w:color="auto" w:fill="CCEEFF"/>
          </w:tcPr>
          <w:p>
            <w:pPr>
              <w:ind w:left="20"/>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940" w:type="dxa"/>
            <w:vAlign w:val="bottom"/>
            <w:gridSpan w:val="5"/>
            <w:shd w:val="clear" w:color="auto" w:fill="CCEEFF"/>
          </w:tcPr>
          <w:p>
            <w:pPr>
              <w:jc w:val="right"/>
              <w:ind w:right="66"/>
              <w:spacing w:after="0" w:line="211" w:lineRule="exact"/>
              <w:rPr>
                <w:sz w:val="20"/>
                <w:szCs w:val="20"/>
                <w:color w:val="auto"/>
              </w:rPr>
            </w:pPr>
            <w:r>
              <w:rPr>
                <w:rFonts w:ascii="Times New Roman" w:cs="Times New Roman" w:eastAsia="Times New Roman" w:hAnsi="Times New Roman"/>
                <w:sz w:val="13"/>
                <w:szCs w:val="13"/>
                <w:color w:val="auto"/>
              </w:rPr>
              <w:t>67,280</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800" w:type="dxa"/>
            <w:vAlign w:val="bottom"/>
            <w:gridSpan w:val="4"/>
            <w:shd w:val="clear" w:color="auto" w:fill="CCEEFF"/>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47,991 </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900" w:type="dxa"/>
            <w:vAlign w:val="bottom"/>
            <w:gridSpan w:val="5"/>
            <w:shd w:val="clear" w:color="auto" w:fill="CCEEFF"/>
          </w:tcPr>
          <w:p>
            <w:pPr>
              <w:jc w:val="right"/>
              <w:spacing w:after="0" w:line="211" w:lineRule="exact"/>
              <w:rPr>
                <w:sz w:val="20"/>
                <w:szCs w:val="20"/>
                <w:color w:val="auto"/>
              </w:rPr>
            </w:pPr>
            <w:r>
              <w:rPr>
                <w:rFonts w:ascii="Times New Roman" w:cs="Times New Roman" w:eastAsia="Times New Roman" w:hAnsi="Times New Roman"/>
                <w:sz w:val="13"/>
                <w:szCs w:val="13"/>
                <w:color w:val="auto"/>
              </w:rPr>
              <w:t>87,147</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76,199</w:t>
            </w:r>
          </w:p>
        </w:tc>
        <w:tc>
          <w:tcPr>
            <w:tcW w:w="200" w:type="dxa"/>
            <w:vAlign w:val="bottom"/>
          </w:tcPr>
          <w:p>
            <w:pPr>
              <w:jc w:val="right"/>
              <w:ind w:right="111"/>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Loss from operations</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5"/>
                <w:szCs w:val="15"/>
                <w:color w:val="auto"/>
              </w:rPr>
              <w:t>(67,280)</w:t>
            </w:r>
          </w:p>
        </w:tc>
        <w:tc>
          <w:tcPr>
            <w:tcW w:w="80" w:type="dxa"/>
            <w:vAlign w:val="bottom"/>
          </w:tcPr>
          <w:p>
            <w:pPr>
              <w:spacing w:after="0"/>
              <w:rPr>
                <w:sz w:val="13"/>
                <w:szCs w:val="13"/>
                <w:color w:val="auto"/>
              </w:rPr>
            </w:pPr>
          </w:p>
        </w:tc>
        <w:tc>
          <w:tcPr>
            <w:tcW w:w="100" w:type="dxa"/>
            <w:vAlign w:val="bottom"/>
          </w:tcPr>
          <w:p>
            <w:pPr>
              <w:jc w:val="right"/>
              <w:ind w:right="66"/>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(47,991)</w:t>
            </w:r>
          </w:p>
        </w:tc>
        <w:tc>
          <w:tcPr>
            <w:tcW w:w="80" w:type="dxa"/>
            <w:vAlign w:val="bottom"/>
          </w:tcPr>
          <w:p>
            <w:pPr>
              <w:spacing w:after="0"/>
              <w:rPr>
                <w:sz w:val="13"/>
                <w:szCs w:val="13"/>
                <w:color w:val="auto"/>
              </w:rPr>
            </w:pPr>
          </w:p>
        </w:tc>
        <w:tc>
          <w:tcPr>
            <w:tcW w:w="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5"/>
                <w:szCs w:val="15"/>
                <w:color w:val="auto"/>
              </w:rPr>
              <w:t>(37,147)</w:t>
            </w:r>
          </w:p>
        </w:tc>
        <w:tc>
          <w:tcPr>
            <w:tcW w:w="8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4"/>
          </w:tcPr>
          <w:p>
            <w:pPr>
              <w:jc w:val="right"/>
              <w:ind w:right="131"/>
              <w:spacing w:after="0" w:line="156" w:lineRule="exact"/>
              <w:rPr>
                <w:sz w:val="20"/>
                <w:szCs w:val="20"/>
                <w:color w:val="auto"/>
              </w:rPr>
            </w:pPr>
            <w:r>
              <w:rPr>
                <w:rFonts w:ascii="Times New Roman" w:cs="Times New Roman" w:eastAsia="Times New Roman" w:hAnsi="Times New Roman"/>
                <w:sz w:val="15"/>
                <w:szCs w:val="15"/>
                <w:color w:val="auto"/>
              </w:rPr>
              <w:t>(76,199)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jc w:val="right"/>
              <w:ind w:right="111"/>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60" w:type="dxa"/>
            <w:vAlign w:val="bottom"/>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tcBorders>
              <w:right w:val="single" w:sz="8" w:color="CCEEFF"/>
            </w:tcBorders>
            <w:vMerge w:val="continue"/>
            <w:shd w:val="clear" w:color="auto" w:fill="CCEEFF"/>
          </w:tcPr>
          <w:p>
            <w:pPr>
              <w:spacing w:after="0"/>
              <w:rPr>
                <w:sz w:val="17"/>
                <w:szCs w:val="17"/>
                <w:color w:val="auto"/>
              </w:rPr>
            </w:pP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shd w:val="clear" w:color="auto" w:fill="CCEEFF"/>
          </w:tcPr>
          <w:p>
            <w:pPr>
              <w:spacing w:after="0"/>
              <w:rPr>
                <w:sz w:val="17"/>
                <w:szCs w:val="17"/>
                <w:color w:val="auto"/>
              </w:rPr>
            </w:pPr>
          </w:p>
        </w:tc>
        <w:tc>
          <w:tcPr>
            <w:tcW w:w="2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111"/>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Pr>
          <w:p>
            <w:pPr>
              <w:ind w:left="140"/>
              <w:spacing w:after="0" w:line="165" w:lineRule="exact"/>
              <w:rPr>
                <w:sz w:val="20"/>
                <w:szCs w:val="20"/>
                <w:color w:val="auto"/>
              </w:rPr>
            </w:pPr>
            <w:r>
              <w:rPr>
                <w:rFonts w:ascii="Times New Roman" w:cs="Times New Roman" w:eastAsia="Times New Roman" w:hAnsi="Times New Roman"/>
                <w:sz w:val="15"/>
                <w:szCs w:val="15"/>
                <w:color w:val="auto"/>
              </w:rPr>
              <w:t>Fair value adjustments to convertible notes</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4"/>
                <w:szCs w:val="14"/>
                <w:color w:val="auto"/>
              </w:rPr>
            </w:pPr>
          </w:p>
        </w:tc>
        <w:tc>
          <w:tcPr>
            <w:tcW w:w="36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5"/>
                <w:szCs w:val="15"/>
                <w:color w:val="auto"/>
                <w:w w:val="92"/>
              </w:rPr>
              <w:t>(846)</w:t>
            </w:r>
          </w:p>
        </w:tc>
        <w:tc>
          <w:tcPr>
            <w:tcW w:w="80" w:type="dxa"/>
            <w:vAlign w:val="bottom"/>
          </w:tcPr>
          <w:p>
            <w:pPr>
              <w:spacing w:after="0"/>
              <w:rPr>
                <w:sz w:val="14"/>
                <w:szCs w:val="14"/>
                <w:color w:val="auto"/>
              </w:rPr>
            </w:pPr>
          </w:p>
        </w:tc>
        <w:tc>
          <w:tcPr>
            <w:tcW w:w="100" w:type="dxa"/>
            <w:vAlign w:val="bottom"/>
          </w:tcPr>
          <w:p>
            <w:pPr>
              <w:jc w:val="right"/>
              <w:ind w:right="66"/>
              <w:spacing w:after="0"/>
              <w:rPr>
                <w:sz w:val="20"/>
                <w:szCs w:val="20"/>
                <w:color w:val="auto"/>
              </w:rPr>
            </w:pPr>
            <w:r>
              <w:rPr>
                <w:rFonts w:ascii="Times New Roman" w:cs="Times New Roman" w:eastAsia="Times New Roman" w:hAnsi="Times New Roman"/>
                <w:sz w:val="1"/>
                <w:szCs w:val="1"/>
                <w:color w:val="auto"/>
                <w:w w:val="4294942296"/>
              </w:rPr>
              <w:t>​</w:t>
            </w:r>
          </w:p>
        </w:tc>
        <w:tc>
          <w:tcPr>
            <w:tcW w:w="5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4"/>
                <w:szCs w:val="14"/>
                <w:color w:val="auto"/>
              </w:rPr>
            </w:pPr>
          </w:p>
        </w:tc>
        <w:tc>
          <w:tcPr>
            <w:tcW w:w="36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5"/>
                <w:szCs w:val="15"/>
                <w:color w:val="auto"/>
                <w:w w:val="98"/>
              </w:rPr>
              <w:t>(300)</w:t>
            </w:r>
          </w:p>
        </w:tc>
        <w:tc>
          <w:tcPr>
            <w:tcW w:w="80" w:type="dxa"/>
            <w:vAlign w:val="bottom"/>
          </w:tcPr>
          <w:p>
            <w:pPr>
              <w:spacing w:after="0"/>
              <w:rPr>
                <w:sz w:val="14"/>
                <w:szCs w:val="14"/>
                <w:color w:val="auto"/>
              </w:rPr>
            </w:pPr>
          </w:p>
        </w:tc>
        <w:tc>
          <w:tcPr>
            <w:tcW w:w="10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4"/>
          </w:tcPr>
          <w:p>
            <w:pPr>
              <w:jc w:val="right"/>
              <w:ind w:right="131"/>
              <w:spacing w:after="0" w:line="165" w:lineRule="exact"/>
              <w:rPr>
                <w:sz w:val="20"/>
                <w:szCs w:val="20"/>
                <w:color w:val="auto"/>
              </w:rPr>
            </w:pPr>
            <w:r>
              <w:rPr>
                <w:rFonts w:ascii="Times New Roman" w:cs="Times New Roman" w:eastAsia="Times New Roman" w:hAnsi="Times New Roman"/>
                <w:sz w:val="15"/>
                <w:szCs w:val="15"/>
                <w:color w:val="auto"/>
              </w:rPr>
              <w:t>(29,876)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gridSpan w:val="2"/>
          </w:tcPr>
          <w:p>
            <w:pPr>
              <w:jc w:val="right"/>
              <w:spacing w:after="0" w:line="44"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gridSpan w:val="2"/>
          </w:tcPr>
          <w:p>
            <w:pPr>
              <w:jc w:val="right"/>
              <w:spacing w:after="0" w:line="44"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jc w:val="right"/>
              <w:ind w:right="111"/>
              <w:spacing w:after="0" w:line="44" w:lineRule="exact"/>
              <w:rPr>
                <w:sz w:val="20"/>
                <w:szCs w:val="20"/>
                <w:color w:val="auto"/>
              </w:rPr>
            </w:pPr>
            <w:r>
              <w:rPr>
                <w:rFonts w:ascii="Times New Roman" w:cs="Times New Roman" w:eastAsia="Times New Roman" w:hAnsi="Times New Roman"/>
                <w:sz w:val="5"/>
                <w:szCs w:val="5"/>
                <w:b w:val="1"/>
                <w:bCs w:val="1"/>
                <w:color w:val="auto"/>
              </w:rPr>
              <w:t>​</w:t>
            </w: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Fair value adjustments to warrant liability</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36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(13,268)</w:t>
            </w:r>
          </w:p>
        </w:tc>
        <w:tc>
          <w:tcPr>
            <w:tcW w:w="200" w:type="dxa"/>
            <w:vAlign w:val="bottom"/>
          </w:tcPr>
          <w:p>
            <w:pPr>
              <w:jc w:val="right"/>
              <w:ind w:right="111"/>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income (expense), net</w:t>
            </w:r>
          </w:p>
        </w:tc>
        <w:tc>
          <w:tcPr>
            <w:tcW w:w="200" w:type="dxa"/>
            <w:vAlign w:val="bottom"/>
            <w:gridSpan w:val="3"/>
          </w:tcPr>
          <w:p>
            <w:pPr>
              <w:ind w:left="20"/>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940" w:type="dxa"/>
            <w:vAlign w:val="bottom"/>
            <w:gridSpan w:val="5"/>
          </w:tcPr>
          <w:p>
            <w:pPr>
              <w:jc w:val="right"/>
              <w:ind w:right="66"/>
              <w:spacing w:after="0" w:line="220" w:lineRule="exact"/>
              <w:rPr>
                <w:sz w:val="20"/>
                <w:szCs w:val="20"/>
                <w:color w:val="auto"/>
              </w:rPr>
            </w:pPr>
            <w:r>
              <w:rPr>
                <w:rFonts w:ascii="Times New Roman" w:cs="Times New Roman" w:eastAsia="Times New Roman" w:hAnsi="Times New Roman"/>
                <w:sz w:val="13"/>
                <w:szCs w:val="13"/>
                <w:color w:val="auto"/>
              </w:rPr>
              <w:t>2,349</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800" w:type="dxa"/>
            <w:vAlign w:val="bottom"/>
            <w:gridSpan w:val="4"/>
          </w:tcPr>
          <w:p>
            <w:pPr>
              <w:jc w:val="right"/>
              <w:spacing w:after="0" w:line="220" w:lineRule="exact"/>
              <w:rPr>
                <w:sz w:val="20"/>
                <w:szCs w:val="20"/>
                <w:color w:val="auto"/>
              </w:rPr>
            </w:pPr>
            <w:r>
              <w:rPr>
                <w:rFonts w:ascii="Times New Roman" w:cs="Times New Roman" w:eastAsia="Times New Roman" w:hAnsi="Times New Roman"/>
                <w:sz w:val="13"/>
                <w:szCs w:val="13"/>
                <w:color w:val="auto"/>
              </w:rPr>
              <w:t>(153)</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360" w:type="dxa"/>
            <w:vAlign w:val="bottom"/>
          </w:tcPr>
          <w:p>
            <w:pPr>
              <w:spacing w:after="0"/>
              <w:rPr>
                <w:sz w:val="19"/>
                <w:szCs w:val="19"/>
                <w:color w:val="auto"/>
              </w:rPr>
            </w:pPr>
          </w:p>
        </w:tc>
        <w:tc>
          <w:tcPr>
            <w:tcW w:w="540" w:type="dxa"/>
            <w:vAlign w:val="bottom"/>
            <w:gridSpan w:val="4"/>
          </w:tcPr>
          <w:p>
            <w:pPr>
              <w:jc w:val="right"/>
              <w:spacing w:after="0" w:line="220" w:lineRule="exact"/>
              <w:rPr>
                <w:sz w:val="20"/>
                <w:szCs w:val="20"/>
                <w:color w:val="auto"/>
              </w:rPr>
            </w:pPr>
            <w:r>
              <w:rPr>
                <w:rFonts w:ascii="Times New Roman" w:cs="Times New Roman" w:eastAsia="Times New Roman" w:hAnsi="Times New Roman"/>
                <w:sz w:val="13"/>
                <w:szCs w:val="13"/>
                <w:color w:val="auto"/>
              </w:rPr>
              <w:t>624</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400" w:type="dxa"/>
            <w:vAlign w:val="bottom"/>
          </w:tcPr>
          <w:p>
            <w:pPr>
              <w:spacing w:after="0"/>
              <w:rPr>
                <w:sz w:val="19"/>
                <w:szCs w:val="19"/>
                <w:color w:val="auto"/>
              </w:rPr>
            </w:pPr>
          </w:p>
        </w:tc>
        <w:tc>
          <w:tcPr>
            <w:tcW w:w="400" w:type="dxa"/>
            <w:vAlign w:val="bottom"/>
            <w:gridSpan w:val="3"/>
          </w:tcPr>
          <w:p>
            <w:pPr>
              <w:jc w:val="right"/>
              <w:ind w:right="111"/>
              <w:spacing w:after="0" w:line="220" w:lineRule="exact"/>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25"/>
                <w:szCs w:val="25"/>
                <w:b w:val="1"/>
                <w:bCs w:val="1"/>
                <w:color w:val="auto"/>
                <w:vertAlign w:val="subscript"/>
              </w:rPr>
              <w:t>​</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200" w:type="dxa"/>
            <w:vAlign w:val="bottom"/>
            <w:gridSpan w:val="3"/>
          </w:tcPr>
          <w:p>
            <w:pPr>
              <w:ind w:left="20"/>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940" w:type="dxa"/>
            <w:vAlign w:val="bottom"/>
            <w:gridSpan w:val="5"/>
          </w:tcPr>
          <w:p>
            <w:pPr>
              <w:jc w:val="right"/>
              <w:ind w:right="66"/>
              <w:spacing w:after="0" w:line="211" w:lineRule="exact"/>
              <w:rPr>
                <w:sz w:val="20"/>
                <w:szCs w:val="20"/>
                <w:color w:val="auto"/>
              </w:rPr>
            </w:pPr>
            <w:r>
              <w:rPr>
                <w:rFonts w:ascii="Times New Roman" w:cs="Times New Roman" w:eastAsia="Times New Roman" w:hAnsi="Times New Roman"/>
                <w:sz w:val="13"/>
                <w:szCs w:val="13"/>
                <w:color w:val="auto"/>
              </w:rPr>
              <w:t>1,503</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800" w:type="dxa"/>
            <w:vAlign w:val="bottom"/>
            <w:gridSpan w:val="4"/>
          </w:tcPr>
          <w:p>
            <w:pPr>
              <w:jc w:val="right"/>
              <w:spacing w:after="0" w:line="211" w:lineRule="exact"/>
              <w:rPr>
                <w:sz w:val="20"/>
                <w:szCs w:val="20"/>
                <w:color w:val="auto"/>
              </w:rPr>
            </w:pPr>
            <w:r>
              <w:rPr>
                <w:rFonts w:ascii="Times New Roman" w:cs="Times New Roman" w:eastAsia="Times New Roman" w:hAnsi="Times New Roman"/>
                <w:sz w:val="13"/>
                <w:szCs w:val="13"/>
                <w:color w:val="auto"/>
              </w:rPr>
              <w:t>(153)</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360" w:type="dxa"/>
            <w:vAlign w:val="bottom"/>
          </w:tcPr>
          <w:p>
            <w:pPr>
              <w:spacing w:after="0"/>
              <w:rPr>
                <w:sz w:val="18"/>
                <w:szCs w:val="18"/>
                <w:color w:val="auto"/>
              </w:rPr>
            </w:pPr>
          </w:p>
        </w:tc>
        <w:tc>
          <w:tcPr>
            <w:tcW w:w="540" w:type="dxa"/>
            <w:vAlign w:val="bottom"/>
            <w:gridSpan w:val="4"/>
          </w:tcPr>
          <w:p>
            <w:pPr>
              <w:jc w:val="right"/>
              <w:spacing w:after="0" w:line="211" w:lineRule="exact"/>
              <w:rPr>
                <w:sz w:val="20"/>
                <w:szCs w:val="20"/>
                <w:color w:val="auto"/>
              </w:rPr>
            </w:pPr>
            <w:r>
              <w:rPr>
                <w:rFonts w:ascii="Times New Roman" w:cs="Times New Roman" w:eastAsia="Times New Roman" w:hAnsi="Times New Roman"/>
                <w:sz w:val="13"/>
                <w:szCs w:val="13"/>
                <w:color w:val="auto"/>
              </w:rPr>
              <w:t>324</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800" w:type="dxa"/>
            <w:vAlign w:val="bottom"/>
            <w:gridSpan w:val="4"/>
          </w:tcPr>
          <w:p>
            <w:pPr>
              <w:jc w:val="right"/>
              <w:ind w:right="111"/>
              <w:spacing w:after="0" w:line="211" w:lineRule="exact"/>
              <w:rPr>
                <w:sz w:val="20"/>
                <w:szCs w:val="20"/>
                <w:color w:val="auto"/>
              </w:rPr>
            </w:pPr>
            <w:r>
              <w:rPr>
                <w:rFonts w:ascii="Times New Roman" w:cs="Times New Roman" w:eastAsia="Times New Roman" w:hAnsi="Times New Roman"/>
                <w:sz w:val="13"/>
                <w:szCs w:val="13"/>
                <w:color w:val="auto"/>
              </w:rPr>
              <w:t>(43,083)</w:t>
            </w:r>
            <w:r>
              <w:rPr>
                <w:rFonts w:ascii="Times New Roman" w:cs="Times New Roman" w:eastAsia="Times New Roman" w:hAnsi="Times New Roman"/>
                <w:sz w:val="24"/>
                <w:szCs w:val="24"/>
                <w:b w:val="1"/>
                <w:bCs w:val="1"/>
                <w:color w:val="auto"/>
                <w:vertAlign w:val="subscript"/>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Loss before income taxes</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5"/>
                <w:szCs w:val="15"/>
                <w:color w:val="auto"/>
              </w:rPr>
              <w:t>(65,777)</w:t>
            </w:r>
          </w:p>
        </w:tc>
        <w:tc>
          <w:tcPr>
            <w:tcW w:w="80" w:type="dxa"/>
            <w:vAlign w:val="bottom"/>
          </w:tcPr>
          <w:p>
            <w:pPr>
              <w:spacing w:after="0"/>
              <w:rPr>
                <w:sz w:val="13"/>
                <w:szCs w:val="13"/>
                <w:color w:val="auto"/>
              </w:rPr>
            </w:pPr>
          </w:p>
        </w:tc>
        <w:tc>
          <w:tcPr>
            <w:tcW w:w="100" w:type="dxa"/>
            <w:vAlign w:val="bottom"/>
          </w:tcPr>
          <w:p>
            <w:pPr>
              <w:jc w:val="right"/>
              <w:ind w:right="66"/>
              <w:spacing w:after="0"/>
              <w:rPr>
                <w:sz w:val="20"/>
                <w:szCs w:val="20"/>
                <w:color w:val="auto"/>
              </w:rPr>
            </w:pPr>
            <w:r>
              <w:rPr>
                <w:rFonts w:ascii="Times New Roman" w:cs="Times New Roman" w:eastAsia="Times New Roman" w:hAnsi="Times New Roman"/>
                <w:sz w:val="1"/>
                <w:szCs w:val="1"/>
                <w:color w:val="auto"/>
                <w:w w:val="4294942296"/>
              </w:rPr>
              <w:t>​</w:t>
            </w:r>
          </w:p>
        </w:tc>
        <w:tc>
          <w:tcPr>
            <w:tcW w:w="6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(48,144)</w:t>
            </w:r>
          </w:p>
        </w:tc>
        <w:tc>
          <w:tcPr>
            <w:tcW w:w="80" w:type="dxa"/>
            <w:vAlign w:val="bottom"/>
          </w:tcPr>
          <w:p>
            <w:pPr>
              <w:spacing w:after="0"/>
              <w:rPr>
                <w:sz w:val="13"/>
                <w:szCs w:val="13"/>
                <w:color w:val="auto"/>
              </w:rPr>
            </w:pPr>
          </w:p>
        </w:tc>
        <w:tc>
          <w:tcPr>
            <w:tcW w:w="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5"/>
                <w:szCs w:val="15"/>
                <w:color w:val="auto"/>
              </w:rPr>
              <w:t>(36,823)</w:t>
            </w:r>
          </w:p>
        </w:tc>
        <w:tc>
          <w:tcPr>
            <w:tcW w:w="8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4"/>
          </w:tcPr>
          <w:p>
            <w:pPr>
              <w:jc w:val="right"/>
              <w:ind w:right="131"/>
              <w:spacing w:after="0" w:line="156" w:lineRule="exact"/>
              <w:rPr>
                <w:sz w:val="20"/>
                <w:szCs w:val="20"/>
                <w:color w:val="auto"/>
              </w:rPr>
            </w:pPr>
            <w:r>
              <w:rPr>
                <w:rFonts w:ascii="Times New Roman" w:cs="Times New Roman" w:eastAsia="Times New Roman" w:hAnsi="Times New Roman"/>
                <w:sz w:val="15"/>
                <w:szCs w:val="15"/>
                <w:color w:val="auto"/>
              </w:rPr>
              <w:t>(119,282)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gridSpan w:val="2"/>
          </w:tcPr>
          <w:p>
            <w:pPr>
              <w:jc w:val="right"/>
              <w:spacing w:after="0" w:line="44"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gridSpan w:val="2"/>
          </w:tcPr>
          <w:p>
            <w:pPr>
              <w:jc w:val="right"/>
              <w:spacing w:after="0" w:line="44" w:lineRule="exact"/>
              <w:rPr>
                <w:sz w:val="20"/>
                <w:szCs w:val="20"/>
                <w:color w:val="auto"/>
              </w:rPr>
            </w:pPr>
            <w:r>
              <w:rPr>
                <w:rFonts w:ascii="Times New Roman" w:cs="Times New Roman" w:eastAsia="Times New Roman" w:hAnsi="Times New Roman"/>
                <w:sz w:val="5"/>
                <w:szCs w:val="5"/>
                <w:color w:val="auto"/>
              </w:rPr>
              <w:t>​​​​</w:t>
            </w: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gridSpan w:val="2"/>
          </w:tcPr>
          <w:p>
            <w:pPr>
              <w:jc w:val="right"/>
              <w:spacing w:after="0" w:line="44"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jc w:val="right"/>
              <w:ind w:right="111"/>
              <w:spacing w:after="0" w:line="44" w:lineRule="exact"/>
              <w:rPr>
                <w:sz w:val="20"/>
                <w:szCs w:val="20"/>
                <w:color w:val="auto"/>
              </w:rPr>
            </w:pPr>
            <w:r>
              <w:rPr>
                <w:rFonts w:ascii="Times New Roman" w:cs="Times New Roman" w:eastAsia="Times New Roman" w:hAnsi="Times New Roman"/>
                <w:sz w:val="5"/>
                <w:szCs w:val="5"/>
                <w:b w:val="1"/>
                <w:bCs w:val="1"/>
                <w:color w:val="auto"/>
              </w:rPr>
              <w:t>​</w:t>
            </w: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Income tax provision</w:t>
            </w:r>
          </w:p>
        </w:tc>
        <w:tc>
          <w:tcPr>
            <w:tcW w:w="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
                <w:szCs w:val="1"/>
                <w:color w:val="auto"/>
                <w:w w:val="4294942296"/>
              </w:rPr>
              <w:t>​</w:t>
            </w:r>
          </w:p>
        </w:tc>
        <w:tc>
          <w:tcPr>
            <w:tcW w:w="5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w w:val="98"/>
              </w:rPr>
              <w:t>(301)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w w:val="93"/>
              </w:rPr>
              <w:t>—</w:t>
            </w:r>
          </w:p>
        </w:tc>
        <w:tc>
          <w:tcPr>
            <w:tcW w:w="40" w:type="dxa"/>
            <w:vAlign w:val="bottom"/>
            <w:shd w:val="clear" w:color="auto" w:fill="CCEEFF"/>
          </w:tcPr>
          <w:p>
            <w:pPr>
              <w:spacing w:after="0"/>
              <w:rPr>
                <w:sz w:val="14"/>
                <w:szCs w:val="14"/>
                <w:color w:val="auto"/>
              </w:rPr>
            </w:pPr>
          </w:p>
        </w:tc>
        <w:tc>
          <w:tcPr>
            <w:tcW w:w="200" w:type="dxa"/>
            <w:vAlign w:val="bottom"/>
            <w:vMerge w:val="restart"/>
          </w:tcPr>
          <w:p>
            <w:pPr>
              <w:jc w:val="right"/>
              <w:ind w:right="111"/>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40" w:type="dxa"/>
            <w:vAlign w:val="bottom"/>
            <w:tcBorders>
              <w:right w:val="single" w:sz="8" w:color="CCEEFF"/>
            </w:tcBorders>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80" w:type="dxa"/>
            <w:vAlign w:val="bottom"/>
            <w:tcBorders>
              <w:left w:val="single" w:sz="8" w:color="CCEEFF"/>
            </w:tcBorders>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6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tcPr>
          <w:p>
            <w:pPr>
              <w:spacing w:after="0" w:line="178" w:lineRule="exact"/>
              <w:rPr>
                <w:sz w:val="20"/>
                <w:szCs w:val="20"/>
                <w:color w:val="auto"/>
              </w:rPr>
            </w:pPr>
            <w:r>
              <w:rPr>
                <w:rFonts w:ascii="Times New Roman" w:cs="Times New Roman" w:eastAsia="Times New Roman" w:hAnsi="Times New Roman"/>
                <w:sz w:val="15"/>
                <w:szCs w:val="15"/>
                <w:color w:val="auto"/>
              </w:rPr>
              <w:t>Net loss attributable to common stockholders</w:t>
            </w:r>
            <w:r>
              <w:rPr>
                <w:rFonts w:ascii="Times New Roman" w:cs="Times New Roman" w:eastAsia="Times New Roman" w:hAnsi="Times New Roman"/>
                <w:sz w:val="19"/>
                <w:szCs w:val="19"/>
                <w:color w:val="auto"/>
                <w:vertAlign w:val="superscript"/>
              </w:rPr>
              <w:t>(1)</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(65,777)</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(48,144)</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(37,124)</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5"/>
                <w:szCs w:val="15"/>
                <w:color w:val="auto"/>
              </w:rPr>
            </w:pPr>
          </w:p>
        </w:tc>
        <w:tc>
          <w:tcPr>
            <w:tcW w:w="800" w:type="dxa"/>
            <w:vAlign w:val="bottom"/>
            <w:gridSpan w:val="4"/>
          </w:tcPr>
          <w:p>
            <w:pPr>
              <w:jc w:val="right"/>
              <w:ind w:right="131"/>
              <w:spacing w:after="0"/>
              <w:rPr>
                <w:sz w:val="20"/>
                <w:szCs w:val="20"/>
                <w:color w:val="auto"/>
              </w:rPr>
            </w:pPr>
            <w:r>
              <w:rPr>
                <w:rFonts w:ascii="Times New Roman" w:cs="Times New Roman" w:eastAsia="Times New Roman" w:hAnsi="Times New Roman"/>
                <w:sz w:val="15"/>
                <w:szCs w:val="15"/>
                <w:color w:val="auto"/>
              </w:rPr>
              <w:t>(119,282)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2"/>
                <w:szCs w:val="2"/>
                <w:color w:val="auto"/>
              </w:rPr>
              <w:t>​​​</w:t>
            </w: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jc w:val="right"/>
              <w:ind w:right="111"/>
              <w:spacing w:after="0"/>
              <w:rPr>
                <w:sz w:val="20"/>
                <w:szCs w:val="20"/>
                <w:color w:val="auto"/>
              </w:rPr>
            </w:pPr>
            <w:r>
              <w:rPr>
                <w:rFonts w:ascii="Times New Roman" w:cs="Times New Roman" w:eastAsia="Times New Roman" w:hAnsi="Times New Roman"/>
                <w:sz w:val="2"/>
                <w:szCs w:val="2"/>
                <w:b w:val="1"/>
                <w:bCs w:val="1"/>
                <w:color w:val="auto"/>
              </w:rPr>
              <w:t>​</w:t>
            </w: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tcBorders>
              <w:right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auto"/>
              </w:rPr>
              <w:t>Net loss per share attributable to common</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CCEEFF"/>
            </w:tcBorders>
            <w:shd w:val="clear" w:color="auto" w:fill="CCEEFF"/>
          </w:tcPr>
          <w:p>
            <w:pPr>
              <w:ind w:left="140"/>
              <w:spacing w:after="0" w:line="150" w:lineRule="exact"/>
              <w:rPr>
                <w:sz w:val="20"/>
                <w:szCs w:val="20"/>
                <w:color w:val="auto"/>
              </w:rPr>
            </w:pPr>
            <w:r>
              <w:rPr>
                <w:rFonts w:ascii="Times New Roman" w:cs="Times New Roman" w:eastAsia="Times New Roman" w:hAnsi="Times New Roman"/>
                <w:sz w:val="13"/>
                <w:szCs w:val="13"/>
                <w:color w:val="auto"/>
              </w:rPr>
              <w:t>stockholders–basic and diluted</w:t>
            </w:r>
            <w:r>
              <w:rPr>
                <w:rFonts w:ascii="Times New Roman" w:cs="Times New Roman" w:eastAsia="Times New Roman" w:hAnsi="Times New Roman"/>
                <w:sz w:val="17"/>
                <w:szCs w:val="17"/>
                <w:color w:val="auto"/>
                <w:vertAlign w:val="superscript"/>
              </w:rPr>
              <w:t>(2)</w:t>
            </w:r>
          </w:p>
        </w:tc>
        <w:tc>
          <w:tcPr>
            <w:tcW w:w="14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3"/>
                <w:szCs w:val="13"/>
                <w:color w:val="auto"/>
              </w:rPr>
            </w:pPr>
          </w:p>
        </w:tc>
        <w:tc>
          <w:tcPr>
            <w:tcW w:w="760" w:type="dxa"/>
            <w:vAlign w:val="bottom"/>
            <w:tcBorders>
              <w:right w:val="single" w:sz="8" w:color="CCEEFF"/>
            </w:tcBorders>
            <w:gridSpan w:val="3"/>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rPr>
              <w:t>(4.85)</w:t>
            </w:r>
          </w:p>
        </w:tc>
        <w:tc>
          <w:tcPr>
            <w:tcW w:w="8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rPr>
              <w:t>(3.64)</w:t>
            </w:r>
          </w:p>
        </w:tc>
        <w:tc>
          <w:tcPr>
            <w:tcW w:w="8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3"/>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rPr>
              <w:t>(2.79)</w:t>
            </w:r>
          </w:p>
        </w:tc>
        <w:tc>
          <w:tcPr>
            <w:tcW w:w="8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rPr>
              <w:t>(9.21)</w:t>
            </w:r>
          </w:p>
        </w:tc>
        <w:tc>
          <w:tcPr>
            <w:tcW w:w="200" w:type="dxa"/>
            <w:vAlign w:val="bottom"/>
            <w:vMerge w:val="restart"/>
          </w:tcPr>
          <w:p>
            <w:pPr>
              <w:jc w:val="right"/>
              <w:ind w:right="111"/>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40" w:type="dxa"/>
            <w:vAlign w:val="bottom"/>
            <w:tcBorders>
              <w:right w:val="single" w:sz="8" w:color="CCEEFF"/>
            </w:tcBorders>
            <w:shd w:val="clear" w:color="auto" w:fill="CCEEFF"/>
          </w:tcPr>
          <w:p>
            <w:pPr>
              <w:spacing w:after="0"/>
              <w:rPr>
                <w:sz w:val="7"/>
                <w:szCs w:val="7"/>
                <w:color w:val="auto"/>
              </w:rPr>
            </w:pPr>
          </w:p>
        </w:tc>
        <w:tc>
          <w:tcPr>
            <w:tcW w:w="140" w:type="dxa"/>
            <w:vAlign w:val="bottom"/>
            <w:gridSpan w:val="2"/>
            <w:shd w:val="clear" w:color="auto" w:fill="CCEEFF"/>
          </w:tcPr>
          <w:p>
            <w:pPr>
              <w:ind w:left="20"/>
              <w:spacing w:after="0" w:line="66"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gridSpan w:val="2"/>
            <w:shd w:val="clear" w:color="auto" w:fill="CCEEFF"/>
          </w:tcPr>
          <w:p>
            <w:pPr>
              <w:jc w:val="right"/>
              <w:spacing w:after="0" w:line="66"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tcBorders>
              <w:left w:val="single" w:sz="8" w:color="CCEEFF"/>
            </w:tcBorders>
            <w:gridSpan w:val="2"/>
            <w:shd w:val="clear" w:color="auto" w:fill="CCEEFF"/>
          </w:tcPr>
          <w:p>
            <w:pPr>
              <w:jc w:val="right"/>
              <w:spacing w:after="0" w:line="66"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gridSpan w:val="2"/>
            <w:shd w:val="clear" w:color="auto" w:fill="CCEEFF"/>
          </w:tcPr>
          <w:p>
            <w:pPr>
              <w:jc w:val="right"/>
              <w:spacing w:after="0" w:line="66"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spacing w:after="0" w:line="162" w:lineRule="exact"/>
              <w:rPr>
                <w:sz w:val="20"/>
                <w:szCs w:val="20"/>
                <w:color w:val="auto"/>
              </w:rPr>
            </w:pPr>
            <w:r>
              <w:rPr>
                <w:rFonts w:ascii="Times New Roman" w:cs="Times New Roman" w:eastAsia="Times New Roman" w:hAnsi="Times New Roman"/>
                <w:sz w:val="15"/>
                <w:szCs w:val="15"/>
                <w:color w:val="auto"/>
              </w:rPr>
              <w:t>Weighted-average common stock outstanding–basic</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tcPr>
          <w:p>
            <w:pPr>
              <w:ind w:left="140"/>
              <w:spacing w:after="0" w:line="193" w:lineRule="exact"/>
              <w:rPr>
                <w:sz w:val="20"/>
                <w:szCs w:val="20"/>
                <w:color w:val="auto"/>
              </w:rPr>
            </w:pPr>
            <w:r>
              <w:rPr>
                <w:rFonts w:ascii="Times New Roman" w:cs="Times New Roman" w:eastAsia="Times New Roman" w:hAnsi="Times New Roman"/>
                <w:sz w:val="15"/>
                <w:szCs w:val="15"/>
                <w:color w:val="auto"/>
              </w:rPr>
              <w:t>and diluted</w:t>
            </w:r>
            <w:r>
              <w:rPr>
                <w:rFonts w:ascii="Times New Roman" w:cs="Times New Roman" w:eastAsia="Times New Roman" w:hAnsi="Times New Roman"/>
                <w:sz w:val="19"/>
                <w:szCs w:val="19"/>
                <w:color w:val="auto"/>
                <w:vertAlign w:val="superscript"/>
              </w:rPr>
              <w:t>(2)</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13,551,524</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4"/>
              </w:rPr>
              <w:t>​13,220,545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w w:val="98"/>
              </w:rPr>
              <w:t>​ 13,295,456</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w w:val="94"/>
              </w:rPr>
              <w:t>​12,956,618</w:t>
            </w:r>
          </w:p>
        </w:tc>
        <w:tc>
          <w:tcPr>
            <w:tcW w:w="40" w:type="dxa"/>
            <w:vAlign w:val="bottom"/>
          </w:tcPr>
          <w:p>
            <w:pPr>
              <w:spacing w:after="0"/>
              <w:rPr>
                <w:sz w:val="16"/>
                <w:szCs w:val="16"/>
                <w:color w:val="auto"/>
              </w:rPr>
            </w:pPr>
          </w:p>
        </w:tc>
        <w:tc>
          <w:tcPr>
            <w:tcW w:w="200" w:type="dxa"/>
            <w:vAlign w:val="bottom"/>
            <w:vMerge w:val="restart"/>
          </w:tcPr>
          <w:p>
            <w:pPr>
              <w:jc w:val="right"/>
              <w:ind w:right="111"/>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tcBorders>
              <w:right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auto"/>
              </w:rPr>
              <w:t>Pro forma net loss per share attributable to common</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CCEEFF"/>
            </w:tcBorders>
            <w:shd w:val="clear" w:color="auto" w:fill="CCEEFF"/>
          </w:tcPr>
          <w:p>
            <w:pPr>
              <w:ind w:left="140"/>
              <w:spacing w:after="0" w:line="150" w:lineRule="exact"/>
              <w:rPr>
                <w:sz w:val="20"/>
                <w:szCs w:val="20"/>
                <w:color w:val="auto"/>
              </w:rPr>
            </w:pPr>
            <w:r>
              <w:rPr>
                <w:rFonts w:ascii="Times New Roman" w:cs="Times New Roman" w:eastAsia="Times New Roman" w:hAnsi="Times New Roman"/>
                <w:sz w:val="13"/>
                <w:szCs w:val="13"/>
                <w:color w:val="auto"/>
              </w:rPr>
              <w:t>stockholders–basic and diluted</w:t>
            </w:r>
            <w:r>
              <w:rPr>
                <w:rFonts w:ascii="Times New Roman" w:cs="Times New Roman" w:eastAsia="Times New Roman" w:hAnsi="Times New Roman"/>
                <w:sz w:val="17"/>
                <w:szCs w:val="17"/>
                <w:color w:val="auto"/>
                <w:vertAlign w:val="superscript"/>
              </w:rPr>
              <w:t>(3)</w:t>
            </w:r>
          </w:p>
        </w:tc>
        <w:tc>
          <w:tcPr>
            <w:tcW w:w="14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3"/>
                <w:szCs w:val="13"/>
                <w:color w:val="auto"/>
              </w:rPr>
            </w:pPr>
          </w:p>
        </w:tc>
        <w:tc>
          <w:tcPr>
            <w:tcW w:w="760" w:type="dxa"/>
            <w:vAlign w:val="bottom"/>
            <w:tcBorders>
              <w:right w:val="single" w:sz="8" w:color="CCEEFF"/>
            </w:tcBorders>
            <w:gridSpan w:val="3"/>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rPr>
              <w:t>(0.43)</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
                <w:szCs w:val="1"/>
                <w:color w:val="auto"/>
                <w:w w:val="4294942296"/>
              </w:rPr>
              <w:t>​</w:t>
            </w:r>
          </w:p>
        </w:tc>
        <w:tc>
          <w:tcPr>
            <w:tcW w:w="540" w:type="dxa"/>
            <w:vAlign w:val="bottom"/>
            <w:shd w:val="clear" w:color="auto" w:fill="CCEEFF"/>
          </w:tcPr>
          <w:p>
            <w:pPr>
              <w:spacing w:after="0"/>
              <w:rPr>
                <w:sz w:val="13"/>
                <w:szCs w:val="13"/>
                <w:color w:val="auto"/>
              </w:rPr>
            </w:pPr>
          </w:p>
        </w:tc>
        <w:tc>
          <w:tcPr>
            <w:tcW w:w="100" w:type="dxa"/>
            <w:vAlign w:val="bottom"/>
            <w:tcBorders>
              <w:left w:val="single" w:sz="8" w:color="CCEEFF"/>
              <w:right w:val="single" w:sz="8" w:color="CCEEFF"/>
            </w:tcBorders>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3"/>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rPr>
              <w:t>(0.33)</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vMerge w:val="restart"/>
            <w:shd w:val="clear" w:color="auto" w:fill="CCEEFF"/>
          </w:tcPr>
          <w:p>
            <w:pPr>
              <w:ind w:left="20"/>
              <w:spacing w:after="0" w:line="66"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gridSpan w:val="2"/>
            <w:vMerge w:val="restart"/>
            <w:shd w:val="clear" w:color="auto" w:fill="CCEEFF"/>
          </w:tcPr>
          <w:p>
            <w:pPr>
              <w:jc w:val="right"/>
              <w:spacing w:after="0" w:line="66"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vMerge w:val="continue"/>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vMerge w:val="continue"/>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gridSpan w:val="2"/>
            <w:vMerge w:val="restart"/>
            <w:shd w:val="clear" w:color="auto" w:fill="CCEEFF"/>
          </w:tcPr>
          <w:p>
            <w:pPr>
              <w:jc w:val="right"/>
              <w:spacing w:after="0" w:line="66"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vMerge w:val="continue"/>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vMerge w:val="continue"/>
            <w:shd w:val="clear" w:color="auto" w:fill="CCEEFF"/>
          </w:tcPr>
          <w:p>
            <w:pPr>
              <w:spacing w:after="0" w:line="20" w:lineRule="exact"/>
              <w:rPr>
                <w:sz w:val="1"/>
                <w:szCs w:val="1"/>
                <w:color w:val="auto"/>
              </w:rPr>
            </w:pPr>
          </w:p>
        </w:tc>
        <w:tc>
          <w:tcPr>
            <w:tcW w:w="200" w:type="dxa"/>
            <w:vAlign w:val="bottom"/>
            <w:vMerge w:val="restart"/>
          </w:tcPr>
          <w:p>
            <w:pPr>
              <w:jc w:val="right"/>
              <w:ind w:right="111"/>
              <w:spacing w:after="0" w:line="66" w:lineRule="exact"/>
              <w:rPr>
                <w:sz w:val="20"/>
                <w:szCs w:val="20"/>
                <w:color w:val="auto"/>
              </w:rPr>
            </w:pPr>
            <w:r>
              <w:rPr>
                <w:rFonts w:ascii="Times New Roman" w:cs="Times New Roman" w:eastAsia="Times New Roman" w:hAnsi="Times New Roman"/>
                <w:sz w:val="7"/>
                <w:szCs w:val="7"/>
                <w:b w:val="1"/>
                <w:bCs w:val="1"/>
                <w:color w:val="auto"/>
              </w:rPr>
              <w:t>​</w:t>
            </w: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40" w:type="dxa"/>
            <w:vAlign w:val="bottom"/>
            <w:tcBorders>
              <w:right w:val="single" w:sz="8" w:color="CCEEFF"/>
            </w:tcBorders>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80" w:type="dxa"/>
            <w:vAlign w:val="bottom"/>
            <w:tcBorders>
              <w:left w:val="single" w:sz="8" w:color="CCEEFF"/>
            </w:tcBorders>
            <w:gridSpan w:val="2"/>
            <w:shd w:val="clear" w:color="auto" w:fill="CCEEFF"/>
          </w:tcPr>
          <w:p>
            <w:pPr>
              <w:jc w:val="right"/>
              <w:spacing w:after="0" w:line="44" w:lineRule="exact"/>
              <w:rPr>
                <w:sz w:val="20"/>
                <w:szCs w:val="20"/>
                <w:color w:val="auto"/>
              </w:rPr>
            </w:pPr>
            <w:r>
              <w:rPr>
                <w:rFonts w:ascii="Times New Roman" w:cs="Times New Roman" w:eastAsia="Times New Roman" w:hAnsi="Times New Roman"/>
                <w:sz w:val="5"/>
                <w:szCs w:val="5"/>
                <w:color w:val="auto"/>
              </w:rPr>
              <w:t>​​​​</w:t>
            </w: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spacing w:after="0" w:line="162" w:lineRule="exact"/>
              <w:rPr>
                <w:sz w:val="20"/>
                <w:szCs w:val="20"/>
                <w:color w:val="auto"/>
              </w:rPr>
            </w:pPr>
            <w:r>
              <w:rPr>
                <w:rFonts w:ascii="Times New Roman" w:cs="Times New Roman" w:eastAsia="Times New Roman" w:hAnsi="Times New Roman"/>
                <w:sz w:val="15"/>
                <w:szCs w:val="15"/>
                <w:color w:val="auto"/>
              </w:rPr>
              <w:t>Pro forma weighted-average common stock</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Pr>
          <w:p>
            <w:pPr>
              <w:ind w:left="140"/>
              <w:spacing w:after="0" w:line="172" w:lineRule="exact"/>
              <w:rPr>
                <w:sz w:val="20"/>
                <w:szCs w:val="20"/>
                <w:color w:val="auto"/>
              </w:rPr>
            </w:pPr>
            <w:r>
              <w:rPr>
                <w:rFonts w:ascii="Times New Roman" w:cs="Times New Roman" w:eastAsia="Times New Roman" w:hAnsi="Times New Roman"/>
                <w:sz w:val="15"/>
                <w:szCs w:val="15"/>
                <w:color w:val="auto"/>
              </w:rPr>
              <w:t>outstanding–basic and diluted</w:t>
            </w:r>
            <w:r>
              <w:rPr>
                <w:rFonts w:ascii="Times New Roman" w:cs="Times New Roman" w:eastAsia="Times New Roman" w:hAnsi="Times New Roman"/>
                <w:sz w:val="19"/>
                <w:szCs w:val="19"/>
                <w:color w:val="auto"/>
                <w:vertAlign w:val="superscript"/>
              </w:rPr>
              <w:t>(3)</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w w:val="95"/>
              </w:rPr>
              <w:t>​151,223,952</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ind w:right="66"/>
              <w:spacing w:after="0"/>
              <w:rPr>
                <w:sz w:val="20"/>
                <w:szCs w:val="20"/>
                <w:color w:val="auto"/>
              </w:rPr>
            </w:pPr>
            <w:r>
              <w:rPr>
                <w:rFonts w:ascii="Times New Roman" w:cs="Times New Roman" w:eastAsia="Times New Roman" w:hAnsi="Times New Roman"/>
                <w:sz w:val="1"/>
                <w:szCs w:val="1"/>
                <w:color w:val="auto"/>
                <w:w w:val="4294942296"/>
              </w:rPr>
              <w:t>​</w:t>
            </w:r>
          </w:p>
        </w:tc>
        <w:tc>
          <w:tcPr>
            <w:tcW w:w="540" w:type="dxa"/>
            <w:vAlign w:val="bottom"/>
          </w:tcPr>
          <w:p>
            <w:pPr>
              <w:spacing w:after="0"/>
              <w:rPr>
                <w:sz w:val="14"/>
                <w:szCs w:val="14"/>
                <w:color w:val="auto"/>
              </w:rPr>
            </w:pPr>
          </w:p>
        </w:tc>
        <w:tc>
          <w:tcPr>
            <w:tcW w:w="1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w w:val="93"/>
              </w:rPr>
              <w:t>​111,835,379</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gridSpan w:val="2"/>
          </w:tcPr>
          <w:p>
            <w:pPr>
              <w:jc w:val="right"/>
              <w:ind w:right="151"/>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gridSpan w:val="2"/>
          </w:tcPr>
          <w:p>
            <w:pPr>
              <w:jc w:val="right"/>
              <w:spacing w:after="0" w:line="44" w:lineRule="exact"/>
              <w:rPr>
                <w:sz w:val="20"/>
                <w:szCs w:val="20"/>
                <w:color w:val="auto"/>
              </w:rPr>
            </w:pPr>
            <w:r>
              <w:rPr>
                <w:rFonts w:ascii="Times New Roman" w:cs="Times New Roman" w:eastAsia="Times New Roman" w:hAnsi="Times New Roman"/>
                <w:sz w:val="5"/>
                <w:szCs w:val="5"/>
                <w:color w:val="auto"/>
              </w:rPr>
              <w:t>​​​​</w:t>
            </w: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jc w:val="right"/>
              <w:ind w:right="111"/>
              <w:spacing w:after="0" w:line="44" w:lineRule="exact"/>
              <w:rPr>
                <w:sz w:val="20"/>
                <w:szCs w:val="20"/>
                <w:color w:val="auto"/>
              </w:rPr>
            </w:pPr>
            <w:r>
              <w:rPr>
                <w:rFonts w:ascii="Times New Roman" w:cs="Times New Roman" w:eastAsia="Times New Roman" w:hAnsi="Times New Roman"/>
                <w:sz w:val="5"/>
                <w:szCs w:val="5"/>
                <w:b w:val="1"/>
                <w:bCs w:val="1"/>
                <w:color w:val="auto"/>
              </w:rPr>
              <w:t>​</w:t>
            </w: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12</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 w:name="page16"/>
    <w:bookmarkEnd w:id="15"/>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480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1480" w:right="1159" w:hanging="301"/>
        <w:spacing w:after="0"/>
        <w:tabs>
          <w:tab w:leader="none" w:pos="1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Note 1 to both our unaudited condensed consolidated financial statements and our audited consolidated financial statements included elsewhere in this prospectus for details on the presentation of our common stock, as our ordinary shares were exchanged for common stock upon our redomicile in August 2023, from the Cayman Islands to Delaware.</w:t>
      </w:r>
    </w:p>
    <w:p>
      <w:pPr>
        <w:spacing w:after="0" w:line="36" w:lineRule="exact"/>
        <w:rPr>
          <w:rFonts w:ascii="Times New Roman" w:cs="Times New Roman" w:eastAsia="Times New Roman" w:hAnsi="Times New Roman"/>
          <w:sz w:val="12"/>
          <w:szCs w:val="12"/>
          <w:color w:val="auto"/>
        </w:rPr>
      </w:pPr>
    </w:p>
    <w:p>
      <w:pPr>
        <w:jc w:val="both"/>
        <w:ind w:left="1480" w:right="1159" w:hanging="301"/>
        <w:spacing w:after="0" w:line="237" w:lineRule="auto"/>
        <w:tabs>
          <w:tab w:leader="none" w:pos="1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Note 12 to our unaudited condensed consolidated financial statements and Note 13 to our audited consolidated financial statements included elsewhere in this prospectus for details on the calculation of basic and diluted net loss per share attributable to holders of our common stock and the weighted-average number of shares of common stock used in the computation of the per share amounts.</w:t>
      </w:r>
    </w:p>
    <w:p>
      <w:pPr>
        <w:spacing w:after="0" w:line="48" w:lineRule="exact"/>
        <w:rPr>
          <w:rFonts w:ascii="Times New Roman" w:cs="Times New Roman" w:eastAsia="Times New Roman" w:hAnsi="Times New Roman"/>
          <w:sz w:val="12"/>
          <w:szCs w:val="12"/>
          <w:color w:val="auto"/>
        </w:rPr>
      </w:pPr>
    </w:p>
    <w:p>
      <w:pPr>
        <w:jc w:val="both"/>
        <w:ind w:left="1480" w:right="1159" w:hanging="301"/>
        <w:spacing w:after="0"/>
        <w:tabs>
          <w:tab w:leader="none" w:pos="1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 forma basic and diluted net loss per share attributable to common stockholders has been prepared to give effect to (i) the automatic conversion of all outstanding shares of our convertible preferred stock into shares of our common stock, as if such conversion had occurred at the beginning of the period presented or the issuance dates of the respective preferred stock, if later, and (ii) the filing and effectiveness of our Restated Charter, which will be effective immediately prior to the completion of this offering.</w:t>
      </w:r>
    </w:p>
    <w:p>
      <w:pPr>
        <w:spacing w:after="0" w:line="226" w:lineRule="exact"/>
        <w:rPr>
          <w:sz w:val="20"/>
          <w:szCs w:val="20"/>
          <w:color w:val="auto"/>
        </w:rPr>
      </w:pPr>
    </w:p>
    <w:tbl>
      <w:tblPr>
        <w:tblLayout w:type="fixed"/>
        <w:tblInd w:w="1180" w:type="dxa"/>
        <w:tblCellMar>
          <w:top w:w="0" w:type="dxa"/>
          <w:left w:w="0" w:type="dxa"/>
          <w:bottom w:w="0" w:type="dxa"/>
          <w:right w:w="0" w:type="dxa"/>
        </w:tblCellMar>
      </w:tblPr>
      <w:tr>
        <w:trPr>
          <w:trHeight w:val="184"/>
        </w:trPr>
        <w:tc>
          <w:tcPr>
            <w:tcW w:w="2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Pr>
          <w:p>
            <w:pPr>
              <w:ind w:left="8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w w:val="96"/>
              </w:rPr>
              <w:t>As of June 30, 2024</w:t>
            </w:r>
          </w:p>
        </w:tc>
        <w:tc>
          <w:tcPr>
            <w:tcW w:w="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27"/>
        </w:trPr>
        <w:tc>
          <w:tcPr>
            <w:tcW w:w="2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27" w:lineRule="exact"/>
              <w:rPr>
                <w:sz w:val="20"/>
                <w:szCs w:val="20"/>
                <w:color w:val="auto"/>
              </w:rPr>
            </w:pPr>
            <w:r>
              <w:rPr>
                <w:rFonts w:ascii="Times New Roman" w:cs="Times New Roman" w:eastAsia="Times New Roman" w:hAnsi="Times New Roman"/>
                <w:sz w:val="12"/>
                <w:szCs w:val="12"/>
                <w:b w:val="1"/>
                <w:bCs w:val="1"/>
                <w:color w:val="auto"/>
              </w:rPr>
              <w:t>Pro Forma</w:t>
            </w:r>
          </w:p>
        </w:tc>
        <w:tc>
          <w:tcPr>
            <w:tcW w:w="40" w:type="dxa"/>
            <w:vAlign w:val="bottom"/>
          </w:tcPr>
          <w:p>
            <w:pPr>
              <w:spacing w:after="0"/>
              <w:rPr>
                <w:sz w:val="11"/>
                <w:szCs w:val="11"/>
                <w:color w:val="auto"/>
              </w:rPr>
            </w:pPr>
          </w:p>
        </w:tc>
      </w:tr>
      <w:tr>
        <w:trPr>
          <w:trHeight w:val="183"/>
        </w:trPr>
        <w:tc>
          <w:tcPr>
            <w:tcW w:w="2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Pr>
          <w:p>
            <w:pPr>
              <w:ind w:left="8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Actual</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Pro Forma</w:t>
            </w:r>
            <w:r>
              <w:rPr>
                <w:rFonts w:ascii="Times New Roman" w:cs="Times New Roman" w:eastAsia="Times New Roman" w:hAnsi="Times New Roman"/>
                <w:sz w:val="14"/>
                <w:szCs w:val="14"/>
                <w:b w:val="1"/>
                <w:bCs w:val="1"/>
                <w:color w:val="auto"/>
                <w:vertAlign w:val="superscript"/>
              </w:rPr>
              <w:t>(1)</w:t>
            </w:r>
          </w:p>
        </w:tc>
        <w:tc>
          <w:tcPr>
            <w:tcW w:w="1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w w:val="97"/>
              </w:rPr>
              <w:t>As Adjusted</w:t>
            </w:r>
            <w:r>
              <w:rPr>
                <w:rFonts w:ascii="Times New Roman" w:cs="Times New Roman" w:eastAsia="Times New Roman" w:hAnsi="Times New Roman"/>
                <w:sz w:val="14"/>
                <w:szCs w:val="14"/>
                <w:b w:val="1"/>
                <w:bCs w:val="1"/>
                <w:color w:val="auto"/>
                <w:w w:val="97"/>
                <w:vertAlign w:val="superscript"/>
              </w:rPr>
              <w:t>(2)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900" w:type="dxa"/>
            <w:vAlign w:val="bottom"/>
          </w:tcPr>
          <w:p>
            <w:pPr>
              <w:ind w:left="8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ind w:left="48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ind w:left="46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Consolidated Balance Sheet Data:</w:t>
            </w:r>
          </w:p>
        </w:tc>
        <w:tc>
          <w:tcPr>
            <w:tcW w:w="9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Cash</w:t>
            </w:r>
          </w:p>
        </w:tc>
        <w:tc>
          <w:tcPr>
            <w:tcW w:w="90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​$ 183,930</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​$ 183,930</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Working capital</w:t>
            </w:r>
            <w:r>
              <w:rPr>
                <w:rFonts w:ascii="Times New Roman" w:cs="Times New Roman" w:eastAsia="Times New Roman" w:hAnsi="Times New Roman"/>
                <w:sz w:val="19"/>
                <w:szCs w:val="19"/>
                <w:color w:val="auto"/>
                <w:vertAlign w:val="superscript"/>
              </w:rPr>
              <w:t>(3)</w:t>
            </w:r>
          </w:p>
        </w:tc>
        <w:tc>
          <w:tcPr>
            <w:tcW w:w="9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​149,492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​149,492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90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 ​199,952</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 ​199,952</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9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5"/>
                <w:szCs w:val="15"/>
                <w:color w:val="auto"/>
              </w:rPr>
              <w:t>39,122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39,122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Convertible preferred stock</w:t>
            </w:r>
          </w:p>
        </w:tc>
        <w:tc>
          <w:tcPr>
            <w:tcW w:w="90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 ​449,612</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9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​(296,180)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​(296,180)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42"/>
        </w:trPr>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Total stockholders’ (deficit) equity</w:t>
            </w:r>
          </w:p>
        </w:tc>
        <w:tc>
          <w:tcPr>
            <w:tcW w:w="90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 ​(288,782)</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 ​160,830</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bl>
    <w:p>
      <w:pPr>
        <w:spacing w:after="0" w:line="224" w:lineRule="exact"/>
        <w:rPr>
          <w:sz w:val="20"/>
          <w:szCs w:val="20"/>
          <w:color w:val="auto"/>
        </w:rPr>
      </w:pPr>
    </w:p>
    <w:p>
      <w:pPr>
        <w:jc w:val="both"/>
        <w:ind w:left="1480" w:right="1159" w:hanging="301"/>
        <w:spacing w:after="0" w:line="235" w:lineRule="auto"/>
        <w:tabs>
          <w:tab w:leader="none" w:pos="14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 forma balance sheet data gives effect to (i) the automatic conversion of all outstanding shares of our convertible preferred stock as of June 30, 2024 into an aggregate of 216,892,920 shares of our common stock immediately prior to the completion of this offering, (ii) the reclassification of the carrying value of the convertible preferred stock to permanent equity immediately prior to the completion of this offering and (iii) the filing and effectiveness of our Restated Charter, which will be effective immediately prior to the completion of this offering.</w:t>
      </w:r>
    </w:p>
    <w:p>
      <w:pPr>
        <w:spacing w:after="0" w:line="49" w:lineRule="exact"/>
        <w:rPr>
          <w:rFonts w:ascii="Times New Roman" w:cs="Times New Roman" w:eastAsia="Times New Roman" w:hAnsi="Times New Roman"/>
          <w:sz w:val="12"/>
          <w:szCs w:val="12"/>
          <w:color w:val="auto"/>
        </w:rPr>
      </w:pPr>
    </w:p>
    <w:p>
      <w:pPr>
        <w:ind w:left="1480" w:hanging="301"/>
        <w:spacing w:after="0"/>
        <w:tabs>
          <w:tab w:leader="none" w:pos="14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 forma as adjusted balance sheet data gives effect to the (i) pro forma adjustments described in footnote (1) above, and</w:t>
      </w:r>
    </w:p>
    <w:p>
      <w:pPr>
        <w:spacing w:after="0" w:line="6" w:lineRule="exact"/>
        <w:rPr>
          <w:sz w:val="20"/>
          <w:szCs w:val="20"/>
          <w:color w:val="auto"/>
        </w:rPr>
      </w:pPr>
    </w:p>
    <w:p>
      <w:pPr>
        <w:jc w:val="both"/>
        <w:ind w:left="1480" w:right="1159"/>
        <w:spacing w:after="0" w:line="233" w:lineRule="auto"/>
        <w:rPr>
          <w:sz w:val="20"/>
          <w:szCs w:val="20"/>
          <w:color w:val="auto"/>
        </w:rPr>
      </w:pPr>
      <w:r>
        <w:rPr>
          <w:rFonts w:ascii="Times New Roman" w:cs="Times New Roman" w:eastAsia="Times New Roman" w:hAnsi="Times New Roman"/>
          <w:sz w:val="12"/>
          <w:szCs w:val="12"/>
          <w:color w:val="auto"/>
        </w:rPr>
        <w:t>(ii) issuance and sale of                    shares of our common stock in this offering assuming an initial public offering price of $            per share, which is the midpoint of the price range set forth on the cover page of this prospectus, and after deducting estimated underwriting discounts and commissions and estimated offering expenses payable by us.</w:t>
      </w:r>
    </w:p>
    <w:p>
      <w:pPr>
        <w:spacing w:after="0" w:line="26" w:lineRule="exact"/>
        <w:rPr>
          <w:sz w:val="20"/>
          <w:szCs w:val="20"/>
          <w:color w:val="auto"/>
        </w:rPr>
      </w:pPr>
    </w:p>
    <w:p>
      <w:pPr>
        <w:jc w:val="both"/>
        <w:ind w:left="1480" w:right="1159"/>
        <w:spacing w:after="0" w:line="232" w:lineRule="auto"/>
        <w:rPr>
          <w:sz w:val="20"/>
          <w:szCs w:val="20"/>
          <w:color w:val="auto"/>
        </w:rPr>
      </w:pPr>
      <w:r>
        <w:rPr>
          <w:rFonts w:ascii="Times New Roman" w:cs="Times New Roman" w:eastAsia="Times New Roman" w:hAnsi="Times New Roman"/>
          <w:sz w:val="12"/>
          <w:szCs w:val="12"/>
          <w:color w:val="auto"/>
        </w:rPr>
        <w:t>The pro forma and pro forma as adjusted information discussed above is illustrative only and will change based on the actual initial public offering price and other terms of this offering determined at pricing. Each $1.00 increase or decrease in the assumed initial public offering price of $            per share, which is the midpoint of the price range set forth on the cover page of this prospectus, would increase or decrease, as applicable, the pro forma as adjusted amount of each of cash, working capital, total assets and total stockholders’ (deficit) equity by approximately $            million, assuming that the number of shares offered by us, as set forth on the cover page of this prospectus, remains the same, and after deducting estimated underwriting discounts and commissions and estimated offering expenses payable by us. Similarly, each increase or decrease of 1,000,000 shares in the number of shares offered by us, as set forth on the cover page of this prospectus, would increase or decrease, as applicable, the pro forma as adjusted amount of each of cash, working capital, total assets and total stockholders’ (deficit) equity by approximately $            million, assuming no change in the initial public offering price per share and after deducting estimated underwriting discounts and commissions and estimated offering expenses payable by us.</w:t>
      </w:r>
    </w:p>
    <w:p>
      <w:pPr>
        <w:spacing w:after="0" w:line="38" w:lineRule="exact"/>
        <w:rPr>
          <w:sz w:val="20"/>
          <w:szCs w:val="20"/>
          <w:color w:val="auto"/>
        </w:rPr>
      </w:pPr>
    </w:p>
    <w:p>
      <w:pPr>
        <w:ind w:left="1480" w:right="1159" w:hanging="301"/>
        <w:spacing w:after="0" w:line="250" w:lineRule="auto"/>
        <w:tabs>
          <w:tab w:leader="none" w:pos="14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define working capital as current assets less current liabilities. See our unaudited condensed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 w:name="page17"/>
    <w:bookmarkEnd w:id="16"/>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24"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i w:val="1"/>
          <w:iCs w:val="1"/>
          <w:color w:val="auto"/>
        </w:rPr>
        <w:t>Investing in our common stock involves a high degree of risk. Before deciding to invest in shares of our common stock, you should carefully consider the risks described below, together with the other information contained in this prospectus, including in the section titled “Management’s Discussion and Analysis of Financial Condition and Results of Operations” and in our audited financial statements and the related notes. The events discussed below may occur and adversely impact our business, financial condition, results of operations and prospects, which may cause the trading price of our common stock to decline, resulting in you losing all or part of your investment.</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Our Financial Position and Need for Capital</w:t>
      </w:r>
    </w:p>
    <w:p>
      <w:pPr>
        <w:spacing w:after="0" w:line="177"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We are a clinical-stage biopharma company with a limited operating history and no products approved for commercial sale; we have incurred substantial losses since our inception, and we anticipate incurring substantial and increasing losses for the foreseeable future.</w:t>
      </w:r>
    </w:p>
    <w:p>
      <w:pPr>
        <w:spacing w:after="0" w:line="8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are a clinical-stage biopharma company with a limited operating history on which to base your investment decision. We have no product candidates approved for commercial sale in any country and have not generated any revenue from sales of products. Biopharmaceutical product development is a highly speculative undertaking, involving substantial upfront capital expenditure and significant risk. Any product candidate may fail to demonstrate adequate efficacy or an acceptable safety profile, gain regulatory approval or become commercially viable, despite substantial investment on development or commercialization.</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have incurred, and will continue to incur, significant expenses related to the clinical development of our product candidates and ongoing operations. Our net losses for the six months ended June 30, 2024 and 2023 were $65.8 million and $48.1 million, respectively. Our net losses for the years ended December 31, 2023 and 2022 were $37.1 million and $119.3 million, respectively. As of June 30, 2024, we had an accumulated deficit of $ 296.2 million. Substantially all of our operating losses have resulted from expenses incurred in connection with the acquisition and development of our pipeline and from general and administrative costs associated with our operations. We expect to incur significant losses for the foreseeable future, and we expect these losses to increase as we advance the development of our product candidates.</w:t>
      </w:r>
    </w:p>
    <w:p>
      <w:pPr>
        <w:spacing w:after="0" w:line="9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 anticipate that our expenses will increase substantially if, and as, we:</w:t>
      </w:r>
    </w:p>
    <w:p>
      <w:pPr>
        <w:spacing w:after="0" w:line="91" w:lineRule="exact"/>
        <w:rPr>
          <w:sz w:val="20"/>
          <w:szCs w:val="20"/>
          <w:color w:val="auto"/>
        </w:rPr>
      </w:pPr>
    </w:p>
    <w:p>
      <w:pPr>
        <w:ind w:left="1600" w:hanging="143"/>
        <w:spacing w:after="0"/>
        <w:tabs>
          <w:tab w:leader="none" w:pos="16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clinical development of obexelimab and our other programs;</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advance our obexelimab program and our other product candidates through preclinical development and clinical trials;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additional product candidates and acquire rights from third parties to those product candidates through licenses or acquisitions and conduct development activities, including preclinical studies and clinical trials;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royalty, milestone or other payments under current, and any future, license or collaboration agreements;</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procure the manufacturing of preclinical, clinical and commercial supply of our current or any future product candidates;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marketing regulatory approvals for our current or any future product candidates that successfully complete clinical trials;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commercialize our current or any future product candidates, if approved;</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take steps toward our goal of being an integrated biopharma company capable of supporting commercial activities, including establishing sales, marketing and distribution infrastructure;</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attract, hire and retain qualified clinical, scientific, operations and management personnel;</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to continue to develop, maintain and defend our intellectual property portfolio, including against third-party interference, infringement and other intellectual property claims, if any;</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 and maintain operational, financial and information management systems;</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 w:name="page18"/>
    <w:bookmarkEnd w:id="1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hanging="143"/>
        <w:spacing w:after="0"/>
        <w:tabs>
          <w:tab w:leader="none" w:pos="16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attempt to address any competing therapies and market developments;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experience delays in our preclinical studies, clinical trials or regulatory approval for our current or any future product candidates, including with respect to failed studies, inconclusive results, safety issues or other regulatory challenges;</w:t>
      </w:r>
    </w:p>
    <w:p>
      <w:pPr>
        <w:spacing w:after="0" w:line="7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agreements with contract research organizations (“CROs”) and CMOs; and</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additional costs associated with being a public company, including audit, legal, regulatory and tax-related services associated with maintaining compliance with an exchange listing and the SEC requirements, director and officer insurance premiums and investor relations costs.</w:t>
      </w:r>
    </w:p>
    <w:p>
      <w:pPr>
        <w:spacing w:after="0" w:line="8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Even if we succeed in commercializing one or more product candidates, we expect to incur substantial expenditures to develop and market additional product candidates. We also may encounter unforeseen expenses, difficulties, complications, delays and other events that adversely affect our business. The size of our future net losses will depend, in part, on the rate that our expenses increase and our ability to generate revenue. Our prior losses and expected future losses have had and will continue to have an adverse effect on our stockholders’ equity and our working capital.</w:t>
      </w:r>
    </w:p>
    <w:p>
      <w:pPr>
        <w:spacing w:after="0" w:line="153"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Even if this offering is successful, we will require substantial additional financing to achieve our goals, and failure to obtain additional capital when needed, or on acceptable terms, would cause us to delay, limit, reduce or terminate our product development efforts.</w:t>
      </w:r>
    </w:p>
    <w:p>
      <w:pPr>
        <w:spacing w:after="0" w:line="9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development of biopharmaceutical product candidates, including conducting preclinical studies and clinical trials, is a time-consuming, capital-intensive and uncertain process. Our operations have consumed substantial amounts of cash since inception. We expect our expenses to substantially increase in connection with our ongoing and future activities. If we obtain regulatory approval for obexelimab or other product candidates, we also expect to incur significant commercialization expenses related to manufacturing, marketing, sales and distribution of such products. Because the outcome of any clinical trial or preclinical study is uncertain, we cannot reliably estimate the actual amount of capital necessary to successfully complete the development and commercialization of obexelimab and other product candidates. Furthermore, following the completion of this offering, we expect to incur additional costs associated with operating as a public company.</w:t>
      </w:r>
    </w:p>
    <w:p>
      <w:pPr>
        <w:spacing w:after="0" w:line="10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As of June 30, 2024, we had $183.9 million in cash. Based upon our current operating plan, we believe that the expected net proceeds from this offering, together with our existing cash, will be sufficient to fund our operating expenses and capital expenditure requirements for at least the next         months. We have based this estimate on assumptions that may prove to be wrong, and we could exhaust our available capital resources sooner than we expect. We expect to attempt to raise additional cash in advance of exhausting our available capital resources.</w:t>
      </w:r>
    </w:p>
    <w:p>
      <w:pPr>
        <w:spacing w:after="0" w:line="9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will not generate revenue from product sales unless and until we successfully complete clinical development and obtain regulatory approval for a product candidate, and we may not ever generate significant revenue or profits. In addition, upon the completion of this offering, we expect to incur additional costs associated with operating as a public company, including significant legal, accounting, investor relations, and other expenses that we did not incur as a private company.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We may also require additional capital to pursue in-licenses or acquisitions of other product candidates. As a result, we expect to incur substantial operating losses and negative operating cash flows for the foreseeable future.</w:t>
      </w:r>
    </w:p>
    <w:p>
      <w:pPr>
        <w:spacing w:after="0" w:line="103"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Because of the numerous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including:</w:t>
      </w:r>
    </w:p>
    <w:p>
      <w:pPr>
        <w:spacing w:after="0" w:line="67" w:lineRule="exact"/>
        <w:rPr>
          <w:sz w:val="20"/>
          <w:szCs w:val="20"/>
          <w:color w:val="auto"/>
        </w:rPr>
      </w:pPr>
    </w:p>
    <w:p>
      <w:pPr>
        <w:ind w:left="1600" w:right="1179" w:hanging="143"/>
        <w:spacing w:after="0" w:line="269" w:lineRule="auto"/>
        <w:tabs>
          <w:tab w:leader="none" w:pos="16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timing and progress of our ongoing obexelimab clinical studies and other research and development activities associated with the development of other and future product candidates;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 w:name="page19"/>
    <w:bookmarkEnd w:id="1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hanging="143"/>
        <w:spacing w:after="0"/>
        <w:tabs>
          <w:tab w:leader="none" w:pos="1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and scope of preclinical and clinical programs we decide to pursue;</w:t>
      </w:r>
    </w:p>
    <w:p>
      <w:pPr>
        <w:spacing w:after="0" w:line="102"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our current research and development programs and to establish new programs;</w:t>
      </w:r>
    </w:p>
    <w:p>
      <w:pPr>
        <w:spacing w:after="0" w:line="256"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and successful patient enrollment in, and the initiation and completion of, clinical trials;</w:t>
      </w:r>
    </w:p>
    <w:p>
      <w:pPr>
        <w:spacing w:after="0" w:line="256"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successful completion of clinical trials with safety, tolerability and efficacy profiles that are satisfactory to the Food and Drug Administration (“FDA”), or any comparable foreign regulatory authority;</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receipt and terms of any marketing approvals from applicable regulatory authorities;</w:t>
      </w:r>
    </w:p>
    <w:p>
      <w:pPr>
        <w:spacing w:after="0" w:line="10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new licensing or collaboration arrangements;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of our future collaborators, if any;</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arrangements with third-party manufacturers for the commercial supply of products that receive marketing approval, if any;</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 and timely delivery of commercial-grade drug formulations that can be used in our planned clinical trials and for commercialization;</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maintaining, defending and enforcing patent claims and other intellectual property rights;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hire additional personnel and consultants as our business grows, including additional executive officers and clinical development, regulatory, chemistry, manufacturing and controls, quality and commercial personnel;</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commercializing product candidates, if approved, whether alone or in collaboration with others;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and timing of establishing or securing sales and marketing capabilities for our product candidates, if approved;</w:t>
      </w:r>
    </w:p>
    <w:p>
      <w:pPr>
        <w:spacing w:after="0" w:line="63"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achieve sufficient market acceptance, coverage and adequate reimbursement from third-party payors and adequate market share and revenue for any approved products; and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maintaining a continued acceptable safety profile of the product candidates following approval.</w:t>
      </w:r>
    </w:p>
    <w:p>
      <w:pPr>
        <w:spacing w:after="0" w:line="113"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expect that our commercial revenue, if any, will initially be derived from sales of obexelimab, which we do not expect to be commercially available for several years, if ever. Accordingly, we will need to continue to rely on additional financing to achieve our business objectives. Adequate additional financing may not be available to us on acceptable terms, or at all, including as a result of financial and credit market deterioration or instability, market-wide liquidity shortages, geopolitical events or otherwise. If we are unable to raise sufficient additional capital, we would be forced to curtail our planned operations and the pursuit of our growth strategy.</w:t>
      </w:r>
    </w:p>
    <w:p>
      <w:pPr>
        <w:spacing w:after="0" w:line="155" w:lineRule="exact"/>
        <w:rPr>
          <w:sz w:val="20"/>
          <w:szCs w:val="20"/>
          <w:color w:val="auto"/>
        </w:rPr>
      </w:pPr>
    </w:p>
    <w:p>
      <w:pPr>
        <w:jc w:val="both"/>
        <w:ind w:left="1160" w:right="1179"/>
        <w:spacing w:after="0" w:line="312" w:lineRule="auto"/>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stockholders, including purchasers of common stock in this offering, imposing restrictions on our operations or require us to relinquish rights to our product candidates.</w:t>
      </w:r>
    </w:p>
    <w:p>
      <w:pPr>
        <w:spacing w:after="0" w:line="5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Until such time, if ever, that we generate substantial product revenue, we expect to finance our cash needs through equity offerings, debt financings or other capital sources, including potential collaborations, licenses and other arrangements. To the extent that we raise additional capital through the sale of equity or convertible debt securities, your ownership interest will be diluted, and the terms of these securities may include liquidation or other preferences that adversely affect your rights as a holder of our common stock. Any future debt or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281"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If we raise additional funds through future collaborations, licenses and other arrangements, we likely would relinquish valuable rights to our potential future revenue streams or product candidates. We also may grant licenses on terms that may not be favorable to us or that reduce the value of our common stock. If we are unable to raise additional funds through equity or debt financings or other arrangements when needed, or on</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 w:name="page20"/>
    <w:bookmarkEnd w:id="1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acceptable terms, we would be required to delay, limit, reduce or terminate our product development efforts or grant rights to develop and market product candidates that we would otherwise prefer to develop and market ourselves.</w:t>
      </w:r>
    </w:p>
    <w:p>
      <w:pPr>
        <w:spacing w:after="0" w:line="94"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Further, we may not be able to access a portion of our existing cash due to market conditions. If banks and financial institutions with whom we hold accounts enter receivership or become insolvent in the future in response to financial conditions affecting the banking system and financial markets, our ability to access our existing cash may be threatened and could have a material adverse effect on our business and financial condition.</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Product Candidate Development and Commercialization</w:t>
      </w:r>
    </w:p>
    <w:p>
      <w:pPr>
        <w:spacing w:after="0" w:line="177"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b w:val="1"/>
          <w:bCs w:val="1"/>
          <w:i w:val="1"/>
          <w:iCs w:val="1"/>
          <w:color w:val="auto"/>
        </w:rPr>
        <w:t>Clinical development is lengthy and expensive, characterized by uncertain outcomes, with results of earlier studies and trials often failing to predict future trial results or results in other indications of a product candidate. We may incur additional costs or experience delays in completing, or fail to complete, the development and commercialization of our current product candidates or any future product candidates.</w:t>
      </w:r>
    </w:p>
    <w:p>
      <w:pPr>
        <w:spacing w:after="0" w:line="9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face substantial risk of failure with our product candidates and we may fail to receive regulatory approval for any of our product candidates. To obtain the requisite regulatory approvals to commercialize any product candidate, we must demonstrate, through extensive preclinical studies and lengthy, complex and expensive clinical trials, that a product candidate is safe, pure and potent and has a favorable risk-benefit profile. Clinical testing often takes many years to complete, and its outcome is inherently uncertain. The results of preclinical studies and early clinical trials of our product candidates may not predict results of later-stage clinical trials, and results in one indication may not predict results for the same product candidate in another indication. Differences in trial design between early-stage clinical trials and later-stage clinical trials raise challenges for extrapolating the results of earlier clinical trials to later clinical trials.</w:t>
      </w:r>
    </w:p>
    <w:p>
      <w:pPr>
        <w:spacing w:after="0" w:line="94"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A number of companies in the biopharmaceutical industry have suffered significant setbacks in advanced clinical trials due to lack of efficacy or unfavorable safety profiles, notwithstanding promising results in earlier trials. For example, we are developing obexelimab as a potential treatment for IgG4-RD, MS, SLE and wAIHA. Prior to our acquisition of obexelimab, Xencor, Inc. (“Xencor”) conducted a Phase 2 trial of obexelimab in patients with SLE, where the primary endpoint was not achieved with statistical significance. The results of our clinical trials of obexelimab in SLE or other indications or our clinical trials for any other product candidates may not achieve statistical significance or demonstrate a favorable risk-benefit profile. Further, negative clinical trial results for a product candidate with respect to one indication may impact the potential or perceived potential of other indications. Moreover, clinical data are often susceptible to varying interpretations and analyses, and many companies that have believed their product candidates performed satisfactorily in clinical trials have nonetheless failed to obtain marketing approval of such product candidates.</w:t>
      </w:r>
    </w:p>
    <w:p>
      <w:pPr>
        <w:spacing w:after="0" w:line="28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Commencing any future clinical trials is subject to finalizing the trial design and submitting an application, such as an IND, to the FDA or a comparable foreign regulatory authority. Even after the submission of an IND, the FDA or comparable foreign regulatory authorities could disagree that their requirements to commence a clinical trial have been satisfied or disagree with the study design, which may require the completion of additional trials or the amendment of the trial’s protocols or the imposition of stricter conditions on the commencement of the clinical trial. We may be unable to establish clinical endpoints, dose levels and regimens or bioanalytical assay methods that regulatory authorities would consider clinically meaningful. A high failure rate characterizes product candidates proceeding through clinical trials, and failure may occur at all stages of the clinical trial process. Most product candidates that commence clinical trials are never approved as products, and our current or future clinical trials ultimately may fail to support the approval of our current or any future product candidates.</w:t>
      </w:r>
    </w:p>
    <w:p>
      <w:pPr>
        <w:spacing w:after="0" w:line="102"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expect to continue to rely, in part, on collaborators, CROs and clinical trial sites to conduct our clinical trials, including participant enrollment, and we have limited influence over their performance. We or our collaborators may experience delays in initiating or completing clinical trials and preclinical studies or other issues that delay or prevent our ability to receive marketing approval or commercialize our current and any future product candidates, including:</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 w:name="page21"/>
    <w:bookmarkEnd w:id="2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may require us to conduct additional preclinical studies or impose additional requirements before permitting us to initiate a clinical trial;</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Institutional Review Boards (“IRBs”) or ethics committees may disagree with our study design, may require that we modify or amend our clinical trial protocols, or may not authorize us or our investigators to commence or conduct a clinical trial at a prospective trial site;</w:t>
      </w:r>
    </w:p>
    <w:p>
      <w:pPr>
        <w:spacing w:after="0" w:line="6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experience delays in reaching, or fail to reach, agreement on acceptable terms with trial sites and CROs, the terms of which can be subject to extensive negotiation and may vary significantly;</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clinical investigators or clinical trial sites may deviate from trial protocols or Good Clinical Practice requirements (“GCPs”) or drop out of a trial, and we may need to add new investigators or sites;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CROs may fail to comply with regulatory requirements or meet their contractual obligations to us in a timely manner, if at all;</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participants required for clinical trials may be larger than expected, enrollment in clinical trials may be slower than expected or participants may drop out or fail to return for post-treatment follow-up at a higher rate than expected;</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observe unexpectedly high placebo response rates;</w:t>
      </w:r>
    </w:p>
    <w:p>
      <w:pPr>
        <w:spacing w:after="0" w:line="80"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clinical trials and preclinical studies may be greater than we anticipate, or we may have insufficient funds to conduct such trial or study or to pay the substantial user fees required by the FDA upon the submission of a BLA;</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supply or quality of our product candidates or other materials necessary to conduct our clinical trials or preclinical studies may be insufficient or inadequate to initiate or complete a given clinical trial;</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product candidates may have undesirable side effects or other unexpected characteristics that are viewed to outweigh their potential benefits;</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reports from clinical testing of other similar therapies may raise safety, tolerability or efficacy concerns about our product candidates; and</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preclinical studies or we may decide to abandon product candidate development.</w:t>
      </w:r>
    </w:p>
    <w:p>
      <w:pPr>
        <w:spacing w:after="0" w:line="10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addition, delays occur when a clinical trial is suspended, put on clinical hold or terminated by the trial sponsor, the FDA or comparable foreign regulatory authorities, or the IRBs of the institutions in which such trials are being conducted, or when a clinical trial is recommended for suspension or termination by a data safety monitoring board. Suspensions and terminations are imposed due to a number of factors, including failure to conduct a clinical trial in accordance with regulatory requirements or trial protocols, failure to conduct the trial in accordance with GCPs or applicable regulatory guidelines, failed inspections of clinical trial operations or trial sites by the FDA or comparable foreign regulatory authorities, unforeseen safety issues or adverse side effects, failure to establish or achieve clinically meaningful trial endpoints, changes in governmental regulations or administrative actions or lack of adequate funding to continue the clinical trial.</w:t>
      </w:r>
    </w:p>
    <w:p>
      <w:pPr>
        <w:spacing w:after="0" w:line="238"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Clinical trials frequently are delayed or terminated as a result of ambiguous or negative interim results or unanticipated adverse events. If trials or tests are not positive or are only modestly positive or if there are safety concerns, we may be required to repeat or conduct additional clinical trials or preclinical studies for our product candidates beyond those that we currently contemplate, we may be delayed in or prevented from obtaining marketing approval or may obtain marketing approval in some countries and not in others, we may obtain approval for indications or patient populations that are not as broad as intended or desired or obtain approval with significant use or distribution restrictions or safety warnings, be subject to post-marketing testing requirements, or be subject to increased pricing pressure.</w:t>
      </w:r>
    </w:p>
    <w:p>
      <w:pPr>
        <w:spacing w:after="0" w:line="9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Many of the factors that cause, or lead to, a delay in the commencement or completion of clinical trials also ultimately may lead to the denial of regulatory approval of a product candidate. Further, the FDA or</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 w:name="page22"/>
    <w:bookmarkEnd w:id="2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89"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When we conduct preclinical and clinical research in collaboration with other academic, pharmaceutical and biotechnology entities, we risk additional delays due to the frequent need to align on decisions.</w:t>
      </w:r>
    </w:p>
    <w:p>
      <w:pPr>
        <w:spacing w:after="0" w:line="26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product development costs have increased, and may continue to increase, when we experience delays in clinical testing. Our clinical trials may not begin when expected, may require restructuring or may not be completed on schedule, or at all. Significant clinical trial delays also shorten any periods during which we may have the exclusive right to commercialize our product candidates and may allow our competitors to bring products to market before we do, potentially impairing our ability to successfully manufacture and commercialize our product candidates, if approved. Delays and increased costs in our clinical development programs would harm our business, financial condition, results of operations and prospects.</w:t>
      </w:r>
    </w:p>
    <w:p>
      <w:pPr>
        <w:spacing w:after="0" w:line="305"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Delays or difficulties in the enrollment and dosing of patients in clinical trials, delay or prevent receipt of necessary regulatory approvals.</w:t>
      </w:r>
    </w:p>
    <w:p>
      <w:pPr>
        <w:spacing w:after="0" w:line="70"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The timing of our clinical trials depends on our ability to recruit patients to participate in our studies as well as the dosing of such patients and completion of required follow-up periods. Participant enrollment, a significant factor in the timing of clinical trials, is affected by many factors, including the size and nature of the patient population, the number and location of clinical sites, the proximity of participants to clinical sites, the eligibility and exclusion criteria for the trial, the design of the clinical trial, challenges in obtaining and maintaining participant consents, enrolled participants dropping out, competing clinical trials and clinicians’ and patients’ perceptions as to the potential advantages of the product candidate being studied in relation to other available therapies, including any new drugs or biologics that may be approved for the indications being investigated by us. Rare or orphan diseases like IgG4-RD pose additional risk due to the difficulty identifying study subjects and ensuring each participant’s disease state meets the study parameters. Further, because screening for many of these diseases is not widely adopted, and because it can be difficult to diagnose these diseases in the absence of screening, it can be difficult to find patients who are eligible to participate in our studies or trials.</w:t>
      </w:r>
    </w:p>
    <w:p>
      <w:pPr>
        <w:spacing w:after="0" w:line="101"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addition, our clinical trials currently, and may in the future, compete with other clinical trials for product candidates that address the same disease as our product candidates, and this competition reduces the number and types of participants available to us, because some participants who might have opted to enroll in our trials instead opt to enroll in a trial conducted by a competitor or elect to use a marketed therapy. We also could encounter delays if doctors face ethical challenges associated with enrolling participants in a clinical trial rather than prescribing an existing treatment with an established safety and efficacy profile.</w:t>
      </w:r>
    </w:p>
    <w:p>
      <w:pPr>
        <w:spacing w:after="0" w:line="97"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If we or our collaborators are unable to enroll a sufficient number of eligible patients to participate in our clinical trials, we may not be able to initiate, continue or complete clinical trials for our product candidates. Even if we are able to enroll a sufficient number of participants in our clinical trials, delays in enrollment may result in increased costs, delay completion or adversely impact the outcome of the trial.</w:t>
      </w:r>
    </w:p>
    <w:p>
      <w:pPr>
        <w:spacing w:after="0" w:line="9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Additionally, our ability to successfully initiate, enroll, and complete a clinical trial in any foreign country is subject to numerous risks unique to conducting business in foreign countries, including: difficulty in establishing or managing relationships with CROs and physicians; different standards for the conduct of clinical trials; different standard- of-care for patients with a particular disease; difficulty in locating qualified local consultants, physicians and partners; and potential burden of complying with a variety of foreign laws, medical standards and regulatory requirements, including the regulation of pharmaceutical and biotechnology products and treatment.</w:t>
      </w:r>
    </w:p>
    <w:p>
      <w:pPr>
        <w:spacing w:after="0" w:line="99"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We experienced participant withdrawals or discontinuations from our trials. Participants, including in any control groups, frequently withdraw from a clinical trial if they are not experiencing improvement in their underlying disease or condition or if they experience adverse side effects or other issues. Withdrawal of participants from our clinical trials may compromise the quality of our data.</w:t>
      </w:r>
    </w:p>
    <w:p>
      <w:pPr>
        <w:spacing w:after="0" w:line="9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Difficulties enrolling a sufficient number of patients to conduct our clinical trials as planned require us to delay, limit or terminate clinical trials for our product candidates, or expand to additional jurisdictions, which</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 w:name="page23"/>
    <w:bookmarkEnd w:id="2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could impose additional challenges on our company. Failure to successfully conduct our clinical trials as planned, it would have an adverse effect on our business, financial condition, results of operations and prospects.</w:t>
      </w:r>
    </w:p>
    <w:p>
      <w:pPr>
        <w:spacing w:after="0" w:line="140"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Any significant adverse events or undesirable side effects caused by our product candidates may delay or prevent regulatory approval or market acceptance of our product candidates, or result in significant negative consequences following marketing approval, if any.</w:t>
      </w:r>
    </w:p>
    <w:p>
      <w:pPr>
        <w:spacing w:after="0" w:line="87"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Unacceptable, undesirable or clinically unmanageable side effects, caused by any of our product candidates could cause us or regulatory authorities to interrupt, delay or halt our clinical trials and could result in a more restrictive label or the delay or denial of marketing approval by the FDA or comparable foreign regulatory authorities. We have observed certain adverse events (“AEs”) and SAEs in our clinical trials of obexelimab administered through IV infusion.</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Ongoing clinical trials of obexelimab in IgG4-RD and wAIHA are administered through SC injection and our planned trials of obexelimab in MS and SLE will be administered through SC injection. In the Phase 1 pharmacokinetic (“PK”) and relative bioavailability study of obexelimab administered either intravenously or subcutaneously, the most common related treatment emergent adverse events (“TEAEs”) across all SC dose regimens were headache and injection site reactions. GI-related events seen with IV infusions were not observed in subjects who received SC formulation, but future studies may reveal similar issues.</w:t>
      </w:r>
    </w:p>
    <w:p>
      <w:pPr>
        <w:spacing w:after="0" w:line="261"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AEs, SAEs or other side effects in clinical trials often make it difficult to recruit participants to clinical trials and results in participants dropping out of trials. While certain side effects may be reversible following discontinuation of the product candidate with sufficient recovery periods, we will need to monitor the severity and duration of side effects in our clinical trials. If such effects are more severe, less reversible than we expect or not reversible at all, we may decide, or be required, to perform additional studies or to halt or delay further clinical development of our product candidates.</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While we believe that obexelimab has the potential to offer benefits, including in regard to its side-effect profile, over B cell depleting agents, if obexelimab is shown to have adverse events, side effects or other safety or tolerability concerns, then our opportunity to disrupt the current standard of care will be limited. AEs and SAEs may be deemed to be related to our product candidates. Such a determination may require longer and more extensive clinical development, or regulatory authorities may increase the amount of data and information required to approve, market or maintain approval of our product candidates.</w:t>
      </w:r>
    </w:p>
    <w:p>
      <w:pPr>
        <w:spacing w:after="0" w:line="9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the FDA or other applicable regulatory authorities, or an IRB, may suspend clinical trials of a product candidate at any time for various reasons, including a belief that participants in such trials are being exposed to unacceptable health risks or adverse side effects. Many potential product candidates developed in the biotechnology industry that initially showed promise in early-stage trials have later been found to cause side effects that prevented their further development and approval. Even if side effects do not preclude the product candidate from obtaining or maintaining marketing approval, undesirable side effects may inhibit market acceptance.</w:t>
      </w:r>
    </w:p>
    <w:p>
      <w:pPr>
        <w:spacing w:after="0" w:line="9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Even if we successfully develop a product candidate and it receives marketing approval, the FDA could require us to adopt a Risk Evaluation and Mitigation Strategy (“REMS”) to ensure that the benefits of treatment outweigh the risks for each potential patient, which may include, among other things, a medication guide outlining the risks of the product for distribution to patients, a communication plan to healthcare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obtain marketing approval for, several potentially significant negative consequences could result, including:</w:t>
      </w:r>
    </w:p>
    <w:p>
      <w:pPr>
        <w:spacing w:after="0" w:line="65" w:lineRule="exact"/>
        <w:rPr>
          <w:sz w:val="20"/>
          <w:szCs w:val="20"/>
          <w:color w:val="auto"/>
        </w:rPr>
      </w:pPr>
    </w:p>
    <w:p>
      <w:pPr>
        <w:ind w:left="1600" w:right="1179" w:hanging="143"/>
        <w:spacing w:after="0" w:line="269" w:lineRule="auto"/>
        <w:tabs>
          <w:tab w:leader="none" w:pos="16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limit, suspend or withdraw approvals of such product, or may refuse to approve supplemental applications for such product;</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require additional warnings on the label, such as a “Boxed Warning,” contraindications or precautions, or otherwise limit the approved use of such product;</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impose additional restrictions on the marketing of, or the manufacturing processes for, the particular product, including requiring a REMS;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 w:name="page24"/>
    <w:bookmarkEnd w:id="2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hanging="143"/>
        <w:spacing w:after="0"/>
        <w:tabs>
          <w:tab w:leader="none" w:pos="16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required to recall the product or change the way it is administered in patients;</w:t>
      </w:r>
    </w:p>
    <w:p>
      <w:pPr>
        <w:spacing w:after="0" w:line="10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required to conduct additional clinical trials;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decide to remove such product from the market;</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could be sued and held liable for harm caused to patients;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reputation may suffer.</w:t>
      </w:r>
    </w:p>
    <w:p>
      <w:pPr>
        <w:spacing w:after="0" w:line="12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Any of these events could prevent us from obtaining or maintaining regulatory approvals or achieving or maintaining market acceptance of our current and future product candidates or could substantially increase the costs and expenses of commercializing the affected product, which in turn could significantly impact our ability to successfully commercialize our product candidates and generate revenues.</w:t>
      </w:r>
    </w:p>
    <w:p>
      <w:pPr>
        <w:spacing w:after="0" w:line="150"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Risks associated with the in-licensing or acquisition of product candidates could cause substantial delays in the preclinical and clinical development of our product candidates.</w:t>
      </w:r>
    </w:p>
    <w:p>
      <w:pPr>
        <w:spacing w:after="0" w:line="8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  have  relied  on,  and  continue  to  rely  on,  our  licensing  partners,  such  as  Xencor,  to  have</w:t>
      </w:r>
    </w:p>
    <w:p>
      <w:pPr>
        <w:spacing w:after="0" w:line="18" w:lineRule="exact"/>
        <w:rPr>
          <w:sz w:val="20"/>
          <w:szCs w:val="20"/>
          <w:color w:val="auto"/>
        </w:rPr>
      </w:pPr>
    </w:p>
    <w:p>
      <w:pPr>
        <w:jc w:val="both"/>
        <w:ind w:left="1160" w:right="1179" w:firstLine="4"/>
        <w:spacing w:after="0" w:line="245" w:lineRule="auto"/>
        <w:tabs>
          <w:tab w:leader="none" w:pos="1364"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conducted research and development in accordance with the applicable protocol, legal, regulatory and scientific standards, (ii) accurately reported the results of all clinical trials conducted prior to our acquisition of the relevant product candidates and (iii) correctly collected and interpreted the data from these trials. If the research and development processes or the results of the development programs prior to our acquisition of our product candidates prove to be unreliable, this could result in increased costs and delays in the development of our product candidates, which could adversely affect any future revenue from such product candidates, if approved.</w:t>
      </w:r>
    </w:p>
    <w:p>
      <w:pPr>
        <w:spacing w:after="0" w:line="9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may also acquire or in-license additional product candidates for preclinical or clinical development in the future as we continue to build our pipeline. The risks associated with acquiring or in-licensing product candidates could result in delays in the commencement or completion of our preclinical studies and clinical trials, if ever, and our ability to generate revenues from our product candidates may be delayed. Please see “—Risks Related to Our Intellectual Property—We may not obtain or maintain necessary rights to our product candidates through acquisitions and in-licenses” for additional information regarding such risks.</w:t>
      </w:r>
    </w:p>
    <w:p>
      <w:pPr>
        <w:spacing w:after="0" w:line="329" w:lineRule="exact"/>
        <w:rPr>
          <w:sz w:val="20"/>
          <w:szCs w:val="20"/>
          <w:color w:val="auto"/>
        </w:rPr>
      </w:pPr>
    </w:p>
    <w:p>
      <w:pPr>
        <w:jc w:val="both"/>
        <w:ind w:left="1160" w:right="1179"/>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We face potential competition from different sources that have made substantial investments into the rapid development of novel treatments for immunological indications, including large and specialty pharmaceutical and biotechnology companies, many of which already have approved therapies in our current indications.</w:t>
      </w:r>
    </w:p>
    <w:p>
      <w:pPr>
        <w:spacing w:after="0" w:line="75"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biotechnology and pharmaceutical industries are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large and specialty pharmaceutical and biotechnology companies, academic research institutions and governmental agencies, as well as public and private research institutions. Any product candidates that we successfully develop and commercialize, if approved, will compete with existing therapies and new therapies that may become available in the future.</w:t>
      </w:r>
    </w:p>
    <w:p>
      <w:pPr>
        <w:spacing w:after="0" w:line="10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key competitive factors affecting the success of all of our product candidates, if approved, are likely to be their safety, efficacy, convenience, price, the level of generic competition, the existence of therapeutic alternatives and the availability of coverage and reimbursement from government and other third-party payors.</w:t>
      </w:r>
    </w:p>
    <w:p>
      <w:pPr>
        <w:spacing w:after="0" w:line="26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 w:name="page25"/>
    <w:bookmarkEnd w:id="2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current product candidates, initially under development for treatment of various I&amp;I indications would, if approved, face competition from existing approved immunological treatments, many of which have achieved commercial success. For example, we are currently developing obexelimab for the treatment of IgG4-RD, MS, SLE and wAIHA. There are currently no approved therapies for IgG4-RD or wAIHA, but there are two products approved for SLE, and a number of products approved for MS. Moreover, there are a number of product candidates in clinical development by other companies for IgG4-RD, MS, SLE and wAIHA which may become available in the future, including UPLIZNA (inebilizumab-cdon), an anti-CD19 antibody being developed by Amgen Inc., for which Amgen announced its intention to file a BLA based on the results of its Phase 3 clinical trial. See the section titled “—Business—Competition” for additional information.</w:t>
      </w:r>
    </w:p>
    <w:p>
      <w:pPr>
        <w:spacing w:after="0" w:line="24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To compete successfully, we need to disrupt currently marketed drugs, meaning we must demonstrate that the relative cost, method of administration, safety, tolerability and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 of care or future competing products. Furthermore, even if our product candidates are able to achieve these attributes, acceptance of our products may be inhibited by the reluctance of physicians to switch from existing therapies to our products, or if physicians choose to reserve our products for use in limited circumstances.</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Competitive products may make any products we develop obsolete or noncompetitive before we recover the expense of development and commercialization. Such competitors could also recruit our employees, which could negatively impact our level of expertise and our ability to execute our business plan. If we are not able to effectively compete for any of the foregoing reasons, our business will be materially harmed.</w:t>
      </w:r>
    </w:p>
    <w:p>
      <w:pPr>
        <w:spacing w:after="0" w:line="317"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Interim, initial, “top-line” and preliminary data from our clinical trials that we announce or publish from time to time are subject to audit and verification procedures and may differ materially from final data as more patient data become available.</w:t>
      </w:r>
    </w:p>
    <w:p>
      <w:pPr>
        <w:spacing w:after="0" w:line="8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Preliminary or top-line data from our preclinical studies and clinical trials that we publish from time to time are based on preliminary analyses of then-available data, and the results,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As a result, top-line data should be viewed with caution until the final data are available.</w:t>
      </w:r>
    </w:p>
    <w:p>
      <w:pPr>
        <w:spacing w:after="0" w:line="98"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From time to time, we also may disclose interim data from our preclinical studies and clinical trials. Interim data from clinical trials are subject to the risk that one or more of the clinical outcomes may materially change as participant enrollment continues and more participant data become available or as participants from our clinical trials continue other treatments for their disease.</w:t>
      </w:r>
    </w:p>
    <w:p>
      <w:pPr>
        <w:spacing w:after="0" w:line="95"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Furthermore, third parties, including regulatory authorities, may not accept or agree with our assumptions, estimates, calculations, conclusions or analyses or may interpret or weigh the importance of data differently, which could delay or prevent regulatory approval of, or limit commercial prospects for, the particular product candidate. In addition, the information we choose to publicly disclose regarding a particular study or clinical trial is based on what is typically extensive information, and you or others may not agree with what we determine to disclose.</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If the interim, top-line or preliminary data that we report differ from final results, or if others, including regulatory authorities, disagree with the conclusions reached, our ability to obtain approval for, and commercialize, our product candidates may be harmed, which could harm our business, financial condition, results of operations and prospects. Further, disclosure of interim, top-line or preliminary data by us or by our competitors could result in volatility in the price of our common stock after the completion of this offering.</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 w:name="page26"/>
    <w:bookmarkEnd w:id="2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ongoing Phase 3 clinical trial of obexelimab for IgG4-RD and other clinical trials of obexelimab, even if successfully completed, may not be sufficient for approval of obexelimab for the applicable indication.</w:t>
      </w:r>
    </w:p>
    <w:p>
      <w:pPr>
        <w:spacing w:after="0" w:line="70"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FDA approval of a new biologic generally requires data from two well-controlled Phase 3 clinical trials of the relevant biologic in the relevant patient population; however, in some cases the FDA may accept data from a single Phase 3 clinical trial to support marketing approval. We are conducting a Phase 3 trial of obexelimab for IgG4-RD, and we believe the results of this trial may be sufficient to support submission of a BLA for this indication. Although we have discussed our plans with the FDA, we do not have any agreement from the FDA that our regulatory development plans will provide adequate safety and efficacy data for the proposed dosing regimen or otherwise be sufficient for submission of a BLA. The FDA may require that we conduct additional clinical trials, including a comparative trial against an approved therapy, which would significantly delay our development timelines and require substantially more resources. If we are required to conduct two Phase 3 clinical trials for IgG4-RD, then our development timeline would be extended, and the related expenses would be significantly increased.</w:t>
      </w:r>
    </w:p>
    <w:p>
      <w:pPr>
        <w:spacing w:after="0" w:line="10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Although obexelimab has been granted orphan drug designation by the FDA for IgG4 -RD, such designation does not guarantee that any regulatory authority will accept fewer trials, accelerate regulatory review of, or ultimately approve obexelimab for IgG4-RD.</w:t>
      </w:r>
    </w:p>
    <w:p>
      <w:pPr>
        <w:spacing w:after="0" w:line="8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If the FDA does not agree with our planned strategy, the FDA may ultimately require us to conduct additional Phase 3 clinical trials prior to approval of an indication. In addition, the standard of care may change with the approval of new products in the same indications that we are studying. This may result in the FDA or other regulatory authorities requesting additional studies to show that our product candidate is superior to the new products.</w:t>
      </w:r>
    </w:p>
    <w:p>
      <w:pPr>
        <w:spacing w:after="0" w:line="148"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not realize the benefits of our current or future collaborations or licensing arrangements and may be unsuccessful in consummating future partnerships.</w:t>
      </w:r>
    </w:p>
    <w:p>
      <w:pPr>
        <w:spacing w:after="0" w:line="5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current or future collaborations or licensing arrangements may not be successful. Additionally, we intend to partner with third parties with respect to the clinical development and commercialization, if approved, of certain of our programs in certain regions outside the United States and Europe, and we may not be successful in identifying, negotiating and executing partnerships. The success of our collaboration arrangements will depend heavily on the efforts and activities of our collaborators. Collaborations are subject to numerous risks, which may include that:</w:t>
      </w:r>
    </w:p>
    <w:p>
      <w:pPr>
        <w:spacing w:after="0" w:line="64" w:lineRule="exact"/>
        <w:rPr>
          <w:sz w:val="20"/>
          <w:szCs w:val="20"/>
          <w:color w:val="auto"/>
        </w:rPr>
      </w:pPr>
    </w:p>
    <w:p>
      <w:pPr>
        <w:ind w:left="1600" w:right="1179" w:hanging="143"/>
        <w:spacing w:after="0" w:line="269" w:lineRule="auto"/>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have significant discretion in determining the efforts and resources that they will apply to collaborations;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agreements with collaborators may not provide exclusive rights to use their intellectual property and technology in all relevant fields of use and in all territories in which we may wish to develop or commercialize our technology and product candidates in the future;</w:t>
      </w:r>
    </w:p>
    <w:p>
      <w:pPr>
        <w:spacing w:after="0" w:line="5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could independently develop, or develop with third parties, products that compete directly or indirectly with our product candidates;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69" w:lineRule="auto"/>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with marketing, manufacturing and distribution rights to one or more products may not commit sufficient resources to or otherwise not perform satisfactorily in carrying out these activities;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could grant exclusive rights to our collaborators that would prevent us from collaborating with others;</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 w:name="page27"/>
    <w:bookmarkEnd w:id="2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hanging="143"/>
        <w:spacing w:after="0" w:line="257" w:lineRule="auto"/>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disputes may arise between us and a collaborator that cause the delay or termination of the research, development or commercialization of our future product candidates or that result in costly litigation or arbitration that diverts management attention and resources;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collaborations may be terminated, and, if terminated, may result in a need for additional capital to pursue further development or commercialization of the applicable future product candidates;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may own or co-own intellectual property covering our product candidates that results from our collaborating with them, and in such cases, we would not have the exclusive right to develop or commercialize such intellectual property; and</w:t>
      </w:r>
    </w:p>
    <w:p>
      <w:pPr>
        <w:spacing w:after="0" w:line="5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collaborator’s sales and marketing activities or other operations may not be in compliance with applicable laws resulting in civil or criminal proceedings.</w:t>
      </w:r>
    </w:p>
    <w:p>
      <w:pPr>
        <w:spacing w:after="0" w:line="137"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Even if we complete the necessary clinical trials, we cannot predict when, or if, we will obtain regulatory approval to commercialize any product candidate in the United States or any other jurisdiction, and any such approval may be for a more narrow indication than we seek.</w:t>
      </w:r>
    </w:p>
    <w:p>
      <w:pPr>
        <w:spacing w:after="0" w:line="8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cannot commercialize a product candidate unless and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9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Regulatory authorities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 marketing clinical trials. In addition, regulatory authorities may not approve the labeling claims that we believe are necessary or desirable for the successful commercialization of any product candidates we may develop. Any of the foregoing scenarios could materially harm the commercial prospects for our product candidates and adversely affect our business, financial condition, results of operations, and prospects.</w:t>
      </w:r>
    </w:p>
    <w:p>
      <w:pPr>
        <w:spacing w:after="0" w:line="9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Our clinical trial results may not support approval and our product candidates could fail to receive regulatory approval for many reasons, including the following:</w:t>
      </w:r>
    </w:p>
    <w:p>
      <w:pPr>
        <w:spacing w:after="0" w:line="52" w:lineRule="exact"/>
        <w:rPr>
          <w:sz w:val="20"/>
          <w:szCs w:val="20"/>
          <w:color w:val="auto"/>
        </w:rPr>
      </w:pPr>
    </w:p>
    <w:p>
      <w:pPr>
        <w:ind w:left="1600" w:right="1179" w:hanging="143"/>
        <w:spacing w:after="0" w:line="269"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may disagree with the design or implementation of our clinical trials;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demonstrate to the satisfaction of the FDA or comparable foreign regulatory authorities that our product candidates are safe and effective for any of their proposed indications;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results of clinical trials may not meet the level of statistical significance required by the FDA or comparable foreign regulatory authorities for approval, including due to the heterogeneity of patient populations, or apparent improvement in trial participants receiving placebo;</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demonstrate that our product candidates’ clinical and other benefits outweigh their safety risks;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may disagree with our interpretation of data from preclinical studies or clinical trials;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U.S. or elsewhere;</w:t>
      </w:r>
    </w:p>
    <w:p>
      <w:pPr>
        <w:spacing w:after="0" w:line="55"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may not approve our CMOs’ manufacturing process or facilities;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7" w:name="page28"/>
    <w:bookmarkEnd w:id="2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may not accept clinical data from trials conducted by individual investigators or in countries where the standard of care is potentially different from the U.S.;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approval policies or regulations of the FDA or comparable foreign regulatory authorities may significantly change in a manner rendering our clinical data insufficient for approval.</w:t>
      </w:r>
    </w:p>
    <w:p>
      <w:pPr>
        <w:spacing w:after="0" w:line="8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Regulatory approval for our product candidates may not be obtained without lengthy delays, if at all. Any delay in obtaining, or inability to obtain, applicable regulatory approvals would prevent us from commercializing our product candidates.</w:t>
      </w:r>
    </w:p>
    <w:p>
      <w:pPr>
        <w:spacing w:after="0" w:line="145"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may expend our limited resources to pursue a particular product candidate in specific indications and fail to capitalize on product candidates or indications that may be more profitable or for which there is a greater likelihood of success.</w:t>
      </w:r>
    </w:p>
    <w:p>
      <w:pPr>
        <w:spacing w:after="0" w:line="94"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Because we have limited financial and managerial resources, we focus our development efforts on certain selected product candidates in certain selected indications. For example, we are initially focused on our lead product candidate, obexelimab, for the treatment of IgG4-RD, MS, SLE and wAIHA. As a result, we may forgo or delay pursuit of opportunities with other product candidates or other indications for our existing product candidates that later prove to have greater commercial potential. Additionally, negative clinical trial results with respect to one indication of a product candidate may impact the potential or perception of other indications of the product candidate. Our resource allocation decisions may result in our failure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59"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are currently conducting, and may in the future conduct, clinical trials for current or future product candidates outside the United States, and the FDA and comparable foreign regulatory authorities may not accept data from such trials.</w:t>
      </w:r>
    </w:p>
    <w:p>
      <w:pPr>
        <w:spacing w:after="0" w:line="83"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are currently conducting clinical trials outside the United States, including in Europe and Asia, and we expect to continue to conduct trials internationally in the future. The acceptance of data from clinical trials conducted outside the United States by the FDA or comparable foreign regulatory authorities may be subject to certain conditions or may not be accepted at all. In cases where data from foreign clinical trials are intended to serve as the basis for marketing approval in the United States, the FDA will generally not approve the application unless the data are applicable to the United States population and United States medical practice, the trials were performed by clinical investigators of recognized competence and pursuant to GCP regulations and the FDA is able to validate the data through an on-site inspection or other appropriate means. Additionally, the FDA’s clinical trial requirements, including sufficient size of patient populations and statistical powering, must be met. Many comparable foreign regulatory authorities have similar approval requirements. In addition, foreign trials are subject to local laws of the foreign jurisdictions where the trials are conducted. The FDA or any comparable foreign regulatory authority may not accept data from trials conducted outside of the United States or the applicable jurisdiction, which would result in the need for additional trials that could be costly and time-consuming and could result in the product candidate not receiving approval for commercialization in the applicable jurisdiction.</w:t>
      </w:r>
    </w:p>
    <w:p>
      <w:pPr>
        <w:spacing w:after="0" w:line="157"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Even if we receive marketing approval for our current or future product candidates in the United States, we may never receive regulatory approval to market outside of the United States.</w:t>
      </w:r>
    </w:p>
    <w:p>
      <w:pPr>
        <w:spacing w:after="0" w:line="8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plan to seek regulatory approval of our current or future product candidates outside of the United States. In order to market any product outside of the United States we must establish and comply with the numerous and varying safety, efficacy and other regulatory requirements of other applicable jurisdictions. Marketing approval processes vary among countries but generally implicate all of the risks detailed above regarding FDA approval in the United States as well as other risks. The time required to obtain approvals in other countries might differ substantially from that required to obtain FDA approval and can require</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8" w:name="page29"/>
    <w:bookmarkEnd w:id="2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additional product candidate testing and additional administrative review periods.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and would impair our ability to market our current or future product candidates in such foreign markets. Any such impairment would limit the commercial potential of the product candidate, which could adversely affect our business, financial condition, results of operations and prospects.</w:t>
      </w:r>
    </w:p>
    <w:p>
      <w:pPr>
        <w:spacing w:after="0" w:line="15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The successful commercialization of our product candidates, if approved, will depend in part on the extent to which governmental authorities and other third party payors establish broad coverage, adequate reimbursement levels and favorable pricing for our products. Failure to obtain or maintain coverage and adequate reimbursement for any approved products could limit our ability to market those products and would decrease our ability to generate revenue.</w:t>
      </w:r>
    </w:p>
    <w:p>
      <w:pPr>
        <w:spacing w:after="0" w:line="9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availability of coverage and the adequacy of reimbursement by governmental healthcare authorities or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approved products by third-party payors will affect our ability to successfully commercialize those products. No uniform policy for coverage and reimbursement for products exists among third-party payors in the United States. Therefore, coverage and reimbursement for products can differ significantly from payor to payor. Even if we obtain coverage for a given product by a third-party payor, the reimbursement payment rates may not be adequate or may require co-payments that patients find unacceptably high. Coverage and adequate reimbursement in the United States or elsewhere may not be available for any product that we may develop, and any coverage or reimbursement that may be obtained could be reduced or eliminated in the future.</w:t>
      </w:r>
    </w:p>
    <w:p>
      <w:pPr>
        <w:spacing w:after="0" w:line="28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There is significant uncertainty related to third-party payor coverage and reimbursement of newly approved products. The coverage determination process is often time consuming and costly and may require us to provide scientific and clinical support for the use of our products to each payor separately, with no assurance that coverage will be obtained. Third party payors may not provide or may limit coverage, including to a subset of the patient population for which the treatment is approved by the FDA, or may control utilization including by requiring that patients try other therapies first or that prescribers obtain specific approval of coverage on a patient by patient basis. Many third-party payors refuse to provide coverage and reimbursement for particular drugs when equivalent generic drugs, biosimilars or less expensive therapies are available. A third-party payor may consider our product candidates, if approved, as substitutes for alternative products on the market now or in the future and only be willing to cover the cost of the alternative product.</w:t>
      </w:r>
    </w:p>
    <w:p>
      <w:pPr>
        <w:spacing w:after="0" w:line="268"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Third-party payors increasingly are challenging prices charged for biopharmaceutical products and services. Even if we show improved efficacy, safety or convenience of administration with obexelimab or any of our other product candidates, pricing of competitive products may limit the amount we will be able to charge for any of our product candidates, if approved. Third-party payors may deny or revoke the reimbursement status of a product or establish payment for new or existing marketed products at levels that are too low to enable us to realize an appropriate return on our investment in our product candidates. When new competitor generic and biosimilar products enter the market, pricing or reimbursement for the innovator compound may be reduced. More generally, the existence of generic and biosimilar products or other therapeutic alternatives within a “therapeutic category” may result in reduced reimbursement from payors. Additionally, new competitor brand drugs can trigger therapeutic category reviews in the interest of modifying coverage and/or reimbursement levels. We may be required to provide discounts or rebates under government healthcare programs or to certain government and private purchasers in order to obtain coverage under federal healthcare programs such as Medicaid. More generally, we may need to offer price concessions to third party payors to obtain favorable coverage or to purchasers to achieve sales. Such actions could have a negative impact on our ability to successfully commercialize any of our product candidates, if approved. Additionally, if a companion diagnostic test is developed for use with a drug product, any coverage and reimbursement for that test would be separate and apart from the coverage and reimbursement sought for such product. A lack of coverage or adequate reimbursement for such a test could adversely affect access to a drug product.</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9" w:name="page30"/>
    <w:bookmarkEnd w:id="2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Outside the United States, international operations are generally subject to extensive governmental price controls and other market regulations, and we believe the increasing emphasis on cost -containment initiatives in Europe and other countries has and will continue to put pressure on the pricing and usage of products like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if approved. Accordingly, in markets outside the United States, the reimbursement for our product candidates may be lower than in the United States and may be insufficient to generate meaningful revenue and profits.</w:t>
      </w:r>
    </w:p>
    <w:p>
      <w:pPr>
        <w:spacing w:after="0" w:line="24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if approved. We expect to experience pricing pressures for any of our product candidates that may be approved due to the continuing trend toward managed healthcare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38"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We may not be able to obtain or maintain orphan drug designations for certain of our product candidates, and we may be unable to maintain the benefits associated with orphan drug designation, including the potential for market exclusivity.</w:t>
      </w:r>
    </w:p>
    <w:p>
      <w:pPr>
        <w:spacing w:after="0" w:line="8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Regulatory authorities in some jurisdictions, including the United States and Europe, may designate drugs for relatively small patient populations as orphan drugs. For example, the FDA may designate a product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The FDA has granted orphan drug designation to obexelimab for IgG4-RD and we plan to seek orphan drug designation for obexelimab for AIHA, which will include wAIHA. We may not be able to obtain orphan drug designation for any additional indications for our product candidates, and we may not be able to maintain such designations if granted.</w:t>
      </w:r>
    </w:p>
    <w:p>
      <w:pPr>
        <w:spacing w:after="0" w:line="24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biologic for the same indications for seven years. Even if we are able to maintain orphan drug designation for IgG4-RD or obtain orphan drug exclusivity for obexelimab in wAIHA or any other product candidate, that exclusivity may not effectively protect the product from competition because different drugs can be approved for the same condition. Even after an orphan drug is approved, the FDA can subsequently approve the same drug for the same condition if, among other things, the FDA concludes that the later drug is clinically superior, if it is shown to be safer, more effective or makes a major contribution to patient care. Orphan drug designation does not convey any advantage in or shorten the duration of the regulatory review and approval process. Even if we receive orphan drug designation or orphan drug exclusivity for any of our product candidates, there is no guarantee that we will enjoy the benefits of such designations or exclusivity periods.</w:t>
      </w:r>
    </w:p>
    <w:p>
      <w:pPr>
        <w:spacing w:after="0" w:line="22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 xml:space="preserve">The decision of the U.S. Court of Appeals for the 11th Circuit in </w:t>
      </w:r>
      <w:r>
        <w:rPr>
          <w:rFonts w:ascii="Times New Roman" w:cs="Times New Roman" w:eastAsia="Times New Roman" w:hAnsi="Times New Roman"/>
          <w:sz w:val="15"/>
          <w:szCs w:val="15"/>
          <w:i w:val="1"/>
          <w:iCs w:val="1"/>
          <w:color w:val="auto"/>
        </w:rPr>
        <w:t>Catalyst Pharms., Inc. v. Becerra</w:t>
      </w:r>
      <w:r>
        <w:rPr>
          <w:rFonts w:ascii="Times New Roman" w:cs="Times New Roman" w:eastAsia="Times New Roman" w:hAnsi="Times New Roman"/>
          <w:sz w:val="15"/>
          <w:szCs w:val="15"/>
          <w:color w:val="auto"/>
        </w:rPr>
        <w:t>, 14 F.4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1299 (11 </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Cir. 2021) has created uncertainty regarding the scope of orphan drug exclusivity. Although the FDA subsequently announced that it intends to continue to apply its longstanding interpretation of the regulations to matters outside of the scope of the </w:t>
      </w:r>
      <w:r>
        <w:rPr>
          <w:rFonts w:ascii="Times New Roman" w:cs="Times New Roman" w:eastAsia="Times New Roman" w:hAnsi="Times New Roman"/>
          <w:sz w:val="15"/>
          <w:szCs w:val="15"/>
          <w:i w:val="1"/>
          <w:iCs w:val="1"/>
          <w:color w:val="auto"/>
        </w:rPr>
        <w:t>Catalyst</w:t>
      </w:r>
      <w:r>
        <w:rPr>
          <w:rFonts w:ascii="Times New Roman" w:cs="Times New Roman" w:eastAsia="Times New Roman" w:hAnsi="Times New Roman"/>
          <w:sz w:val="15"/>
          <w:szCs w:val="15"/>
          <w:color w:val="auto"/>
        </w:rPr>
        <w:t xml:space="preserve"> order and continue tying the scope of orphan- drug exclusivity to the uses or indications for which a drug is approved, it is unclear how future litigation, legislation, agency decisions, and administrative actions will impact the scope of the orphan drug exclusivity.</w:t>
      </w:r>
    </w:p>
    <w:p>
      <w:pPr>
        <w:spacing w:after="0" w:line="245"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We may seek fast track designation, breakthrough therapy designation and/or priority review designation from the FDA or similar designations from comparable foreign regulatory authorities for one or more of our product candidates. Even if one or more of our product candidates receive these designations, we may be unable to obtain or maintain the benefits associated with such designation.</w:t>
      </w:r>
    </w:p>
    <w:p>
      <w:pPr>
        <w:spacing w:after="0" w:line="9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FDA has established various designations to facilitate more rapid and efficient development and approval of certain types of drugs intended to treat serious conditions that fill an unmet medical need. Such</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0" w:name="page31"/>
    <w:bookmarkEnd w:id="3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designations include fast track designation, breakthrough therapy designation, and priority review designation. We intend to seek priority review designation for obexelimab for IgG4-RD. The FDA has broad discretion whether or not to grant this designation, so even if we believe a particular product candidate is eligible for this designation, we cannot assure you that the FDA would decide to grant it. If any of our programs or product candidates receive any of these designations by the FDA or similar designations by comparable foreign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procedures. A grant of these designations does not ensure that a product candidate will receive marketing approval or that approval will be granted within any particular timeframe. In addition, the FDA may withdraw any such designation if it believes that the designation is no longer supported by data from our clinical development program.</w:t>
      </w:r>
    </w:p>
    <w:p>
      <w:pPr>
        <w:spacing w:after="0" w:line="160"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seek accelerated approval for some of our product candidates but may not be able to obtain it as the sufficiency of our clinical trial results for accelerated approval are subject to the FDA’s discretion.</w:t>
      </w:r>
    </w:p>
    <w:p>
      <w:pPr>
        <w:spacing w:after="0" w:line="8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may explore strategies for our product candidates that involve use of the FDA’s accelerated approval pathway. Obtaining accelerated approval requires demonstration of meaningful benefit over available therapies for a serious condition. The determination of what constitutes available therapy is wholly up to the FDA and is subject to change. No assurance can be given that other therapeutics will not receive full approval prior to our potential receipt of accelerated approval. If that were to occur, no assurance can be given that we would be successful in proving meaningful benefit over those later approved products. If we were unable to prove meaningful benefit over any such agents, we would be effectively blocked from receiving accelerated approval. If any of our drugs were ever to receive accelerated approval, we would be required to conduct a post-market confirmatory study, which we may not complete, or if completed, may prove unsuccessful. In such instance, the FDA can remove the product from the market.</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Our Business and Operations</w:t>
      </w:r>
    </w:p>
    <w:p>
      <w:pPr>
        <w:spacing w:after="0" w:line="177"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business depends entirely on the success of our product candidates, and we may fail to successfully develop, receive regulatory approval for, or successfully commercialize any or all of our product candidates.</w:t>
      </w:r>
    </w:p>
    <w:p>
      <w:pPr>
        <w:spacing w:after="0" w:line="8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do not have any products approved for commercial sale. We have invested substantially all of our efforts and financial resources in the development of our product candidates, each of which is still in clinical development, and we expect that we will continue to invest heavily in these product candidates and any future product candidates we may develop. Our business and our ability to generate revenue, which we do not expect will occur for many years, if ever, are substantially dependent on our ability to acquire, develop, obtain regulatory approval for and successfully commercialize our product candidates, which may never occur.</w:t>
      </w:r>
    </w:p>
    <w:p>
      <w:pPr>
        <w:spacing w:after="0" w:line="26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Our product candidates will require substantial additional clinical development time, regulatory approval, commercial manufacturing arrangements, establishment of a commercial organization, significant marketing efforts and further investment before we can generate any revenue from product sales. We may not meet our timelines for our current or future clinical trials, which may be delayed or not completed for a number of reasons (see “—Risks Related to Product Candidate Development and Commercialization— Clinical development is lengthy and expensive, characterized by uncertain outcomes, with results of earlier studies and trials often failing to predict future trial results. We may incur additional costs or experience delays in completing, or fail to complete, the development and commercialization of our current product candidates or any future product candidates.”). Our product candidates are susceptible to the risks of failure inherent at any stage of product development, including the appearance of unexpected AEs or failure to achieve primary endpoints in clinical trials.</w:t>
      </w:r>
    </w:p>
    <w:p>
      <w:pPr>
        <w:spacing w:after="0" w:line="102"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Even if our product candidates are successful in clinical trials, we are not permitted to market or promote any product candidate before we receive regulatory approval from the FDA or comparable foreign regulatory authorities. If we do not receive FDA or comparable foreign regulatory approval with the necessary conditions to allow commercialization, we will not be able to generate revenue from those product candidates in the United States or elsewhere in the foreseeable future, or at all.</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1" w:name="page32"/>
    <w:bookmarkEnd w:id="3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have never submitted a BLA for our product candidates to the FDA, or a similar marketing application to a comparable foreign regulatory authority, and our current or any future product candidates may not be successful in clinical trials or receive regulatory approval.</w:t>
      </w:r>
    </w:p>
    <w:p>
      <w:pPr>
        <w:spacing w:after="0" w:line="89"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If approved for marketing by applicable regulatory authorities, our ability to generate revenue from our product candidates will depend on our ability to:</w:t>
      </w:r>
    </w:p>
    <w:p>
      <w:pPr>
        <w:spacing w:after="0" w:line="52" w:lineRule="exact"/>
        <w:rPr>
          <w:sz w:val="20"/>
          <w:szCs w:val="20"/>
          <w:color w:val="auto"/>
        </w:rPr>
      </w:pPr>
    </w:p>
    <w:p>
      <w:pPr>
        <w:jc w:val="both"/>
        <w:ind w:left="1600" w:right="1179" w:hanging="143"/>
        <w:spacing w:after="0" w:line="257" w:lineRule="auto"/>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receive regulatory approval for the targeted patient populations and claims that are necessary or desirable for successful marketing and maintain an acceptable safety profile for the products following approval;</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price our products competitively such that third-party and government reimbursement permits broad product adoption;</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and maintain healthcare coverage and adequate reimbursement;</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achieve market acceptance of our products by patients, the medical community and third-party payors;</w:t>
      </w:r>
    </w:p>
    <w:p>
      <w:pPr>
        <w:spacing w:after="0" w:line="25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demonstrate the superiority of our products compared to the standard of care, as well as other therapies in development;</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create market demand for our product candidates through our own marketing and sales activities or any co-promotion or other arrangements that we may otherwise establish;</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manufacture product candidates through CMOs in sufficient quantities and at acceptable quality and cost to meet commercial demand at launch and thereafter;</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sales and marketing capabilities, whether alone or through a collaboration, to support commercialization of our product candidates;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and maintain agreements with wholesalers, distributors, pharmacies and group purchasing organizations on commercially reasonable terms;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maintain, protect and enforce patent and other intellectual property protection and regulatory exclusivity for our products;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compliance with applicable laws, regulations and guidance including interactions with healthcare professionals, patient advocacy groups and communication of healthcare economic information to payors and formularies;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a distribution and logistics network capable of product storage within our specifications and regulatory guidelines, and capable of timely product delivery;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assure that our product will be used as directed and that additional unexpected safety risks will not arise.</w:t>
      </w:r>
    </w:p>
    <w:p>
      <w:pPr>
        <w:spacing w:after="0" w:line="8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Any significant delays in obtaining approval for or inability to successfully commercialize our product candidates would adversely affect our business, financial condition, results of operations and prospects.</w:t>
      </w:r>
    </w:p>
    <w:p>
      <w:pPr>
        <w:spacing w:after="0" w:line="13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are dependent on the services of our senior management and other clinical and scientific personnel, and if we are not able to retain these individuals or recruit additional management or clinical and scientific personnel, our business will suffer.</w:t>
      </w:r>
    </w:p>
    <w:p>
      <w:pPr>
        <w:spacing w:after="0" w:line="9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Our success depends in part on our continued ability to attract, retain and motivate highly qualified management, clinical and scientific personnel. We are highly dependent upon our Founder and Chief Executive Officer, Leon O. Moulder, Jr. We are also dependent on our President and Chief Operating Officer, Joseph Farmer, Chief Business Officer and Chief Financial Officer, Jennifer Fox, and Chief Commercial Officer, Orlando Oliveira and other members of our senior management and clinical development teams. The loss of services of any of these individuals could delay or prevent the successful development of our product pipeline, initiation or completion of our preclinical studies and clinical trials or the commercialization of our product candidates, if approved. Although we have executed employment agreements or offer letters with each member of our senior management team, these agreements are terminable at will with or without notice and, therefore, we may not be able to retain their services. We do not currently maintain “key person” life</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2" w:name="page33"/>
    <w:bookmarkEnd w:id="3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insurance on the lives of our executives or any of our employees. This lack of insurance means that we may not have adequate compensation for the loss of the services of these individuals.</w:t>
      </w:r>
    </w:p>
    <w:p>
      <w:pPr>
        <w:spacing w:after="0" w:line="7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greater Boston area. If we are not able to attract, integrate, retain and motivate personnel necessary to accomplish our business objectives, we may experience constraints that significantly impede the achievement of our development objectives, our ability to raise additional capital and our ability to implement our business strategy.</w:t>
      </w:r>
    </w:p>
    <w:p>
      <w:pPr>
        <w:spacing w:after="0" w:line="308"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will need to grow our organization, and we may experience difficulties in managing our growth and expanding our operations, which could adversely affect our business.</w:t>
      </w:r>
    </w:p>
    <w:p>
      <w:pPr>
        <w:spacing w:after="0" w:line="82"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As of June 30, 2024, we had 114 full-time employees. As our development and commercialization plans and strategies develop, and as we transition into operating as a public company, we expect to expand our employee base for managerial, operational, financial and other resources. As our product candidates enter and advance through preclinical studies and clinical trials, we will need to expand our development and regulatory capabilities and contract with third parties to provide manufacturing and other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and we may not be able to implement improvements in an efficient or timely manner or may discover deficiencies in existing systems and controls. Our inability to successfully manage our growth and expand our operations could adversely affect our business, financial condition, results of operations and prospects.</w:t>
      </w:r>
    </w:p>
    <w:p>
      <w:pPr>
        <w:spacing w:after="0" w:line="163"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b w:val="1"/>
          <w:bCs w:val="1"/>
          <w:i w:val="1"/>
          <w:iCs w:val="1"/>
          <w:color w:val="auto"/>
        </w:rPr>
        <w:t>The manufacturing of our product candidates is complex, and our third-party manufacturers may encounter difficulties in production. If our third-party manufacturers encounter such difficulties, our ability to provide supply of our product candidates for clinical trials, our ability to obtain marketing approval, or provide commercial supply of our products, if approved, could be delayed or halted.</w:t>
      </w:r>
    </w:p>
    <w:p>
      <w:pPr>
        <w:spacing w:after="0" w:line="97"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Our product candidates are biopharmaceuticals and the process of manufacturing biopharmaceuticals is complex, time-consuming, highly regulated and subject to multiple risks. Our CMOs must comply with legal requirements, current Good Manufacturing Practices requirements (“cGMPs”) and guidelines for the manufacturing of biopharmaceuticals used in clinical trials and, if approved, marketed products. Our CMOs may have limited experience in the manufacturing of cGMP batches of our products.</w:t>
      </w:r>
    </w:p>
    <w:p>
      <w:pPr>
        <w:spacing w:after="0" w:line="94"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Manufacturing biopharmaceuticals is highly susceptible to drug product loss due to contamination, equipment failure, improper installation or operation of equipment, vendor or operator error, inconsistency in yields, variability in product characteristics and difficulties in scaling the production process. The impact of drug product loss is compounded by the long lead times needed to procure additional drug product due to plant capacity limitations or other restrictions at our CMOs. Even minor deviations from normal manufacturing processes could result in reduced production yields, lot failures, product defects, product liability claims, or other supply disruptions. If microbial, viral or other contaminations are discovered at our third-party manufacturers’ facilities, such facilities may need to be closed for an extended period of time to investigate and remedy the contamination, which could delay clinical trials and adversely affect our business. Problems in third-party manufacturing process or facilities could restrict our ability to ensure sufficient clinical material for our clinical trials or delay or prevent us from obtaining marketing approval.</w:t>
      </w:r>
    </w:p>
    <w:p>
      <w:pPr>
        <w:spacing w:after="0" w:line="101"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Scaling up a biopharmaceutical manufacturing process is a difficult and uncertain task and involves additional risks, including cost overruns, process scale-up, process reproducibility, stability issues, compliance with cGMPs, lot consistency and timely availability of sufficient quantity of raw materials. Even if we obtain regulatory approval for any of our product candidates, manufacturers may not be able to manufacture the approved product to specifications acceptable to the FDA or other comparable foreign regulatory authorities, to produce it in sufficient quantities to meet the requirements for the potential launch of the product or to meet potential future demand. If our third-party manufacturers are unable, or decide not, to adequately</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3" w:name="page34"/>
    <w:bookmarkEnd w:id="3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validate or scale-up the manufacturing process at our current manufacturers’ facilities, we will need to transfer to another manufacturer and complete the manufacturing validation process, which can be lengthy. If our manufacturers are unable to produce sufficient quantities of drug substance and/or drug product for clinical trials or for commercialization we will need to identify and negotiate with other CMOs an agreement for clinical and/or commercial supply and it is not certain we will be able to come to agreement timely or on terms acceptable to us, which would likely jeopardize our ability to provide any product candidates to study subjects in clinical trials and products to patients, if approved.</w:t>
      </w:r>
    </w:p>
    <w:p>
      <w:pPr>
        <w:spacing w:after="0" w:line="10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Any delay or interruption in clinical trial supplies will likely delay the completion of planned clinical trials, increases the costs associated with maintaining clinical trial programs and, depending upon the period of delay, could require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if approved, and could have an adverse effect on our business, financial condition, results of operations and prospects.</w:t>
      </w:r>
    </w:p>
    <w:p>
      <w:pPr>
        <w:spacing w:after="0" w:line="10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As part of our process development efforts, we also may make changes to the manufacturing processes at various points during development, for various reasons, such as controlling costs, achieving scale, decreasing processing time, increasing manufacturing success rate, proximity to global regions we intend to target or other reasons. Such changes may not achieve their intended objectives, and any of these changes could cause our current or future product candidates to perform differently or affect the results of our future clinical trials. In some circumstances, changes in the manufacturing process require us to perform ex vivo comparability studies and to collect additional data from participants prior to undertaking more advanced clinical trials. For instance, changes in our process during the course of clinical development may require us to show the comparability of the product used in earlier clinical phases or at earlier portions of a clinical trial to the product used in later clinical phases or later portions of the clinical trial.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335"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Revenue from our product candidates, if approved, will be limited if the product does not achieve broad market acceptance.</w:t>
      </w:r>
    </w:p>
    <w:p>
      <w:pPr>
        <w:spacing w:after="0" w:line="70"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As a company, we have never commercialized a product candidate for any indication. Even if a product candidate is approved by the appropriate regulatory authorities for marketing and sale, it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spacing w:after="0" w:line="101"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degree of market acceptance of any of our product candidates will depend on a number of factors, some of which are beyond our control, including:</w:t>
      </w:r>
    </w:p>
    <w:p>
      <w:pPr>
        <w:spacing w:after="0" w:line="53" w:lineRule="exact"/>
        <w:rPr>
          <w:sz w:val="20"/>
          <w:szCs w:val="20"/>
          <w:color w:val="auto"/>
        </w:rPr>
      </w:pPr>
    </w:p>
    <w:p>
      <w:pPr>
        <w:ind w:left="1600" w:hanging="143"/>
        <w:spacing w:after="0"/>
        <w:tabs>
          <w:tab w:leader="none" w:pos="160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safety, efficacy, tolerability and ease of administration of our product candidates;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prevalence and severity of side effects and AEs associated with our product candidates, and how the safety and tolerability profile of our product candidates compares to those of existing or emerging therapies;</w:t>
      </w:r>
    </w:p>
    <w:p>
      <w:pPr>
        <w:spacing w:after="0" w:line="7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clinical indications for which the products are approved and the approved claims that we may make for the products;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limitations or warnings contained in the product’s FDA-approved labeling, including potential limitations or warnings that may be more restrictive than competitive products;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4" w:name="page35"/>
    <w:bookmarkEnd w:id="3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distribution and use restrictions imposed by the FDA with respect to such product candidates or to which we agree as part of a mandatory REMS or voluntary risk management plan;</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standard of care for the targeted indications for such product candidates;</w:t>
      </w:r>
    </w:p>
    <w:p>
      <w:pPr>
        <w:spacing w:after="0" w:line="10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of treatment as compared to the clinical benefit in relation to alternative treatments or therapies;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adequate coverage and reimbursement by third parties, such as insurance companies and other healthcare payors, and by government healthcare programs, including Medicare and Medicaid;</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and strength of our marketing and distribution of such product candidates;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safety, efficacy and other potential advantages of, and availability of, alternative treatments already used or that may later be approved for any of our intended indications;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market introduction of such product candidates, as well as competitive products;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reluctance of physicians to switch their patients’ current standard of care;</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reluctance of patients to switch from their existing therapy regardless of the safety and efficacy of newer products;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offer such product candidates for sale at competitive prices;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and strength of our third-party manufacturer and supplier support;</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publicity about our product or favorable publicity about competitive products;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product liability claims.</w:t>
      </w:r>
    </w:p>
    <w:p>
      <w:pPr>
        <w:spacing w:after="0" w:line="12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be receptive to such product candidates and may be slow to adopt them as an accepted treatment. If our current or future product candidates are approved, but do not achieve an adequate level of acceptance among physicians, patients and third-party payors, we may not generate meaningful revenue from our product candidates and may never become profitable.</w:t>
      </w:r>
    </w:p>
    <w:p>
      <w:pPr>
        <w:spacing w:after="0" w:line="155"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Misconduct or other improper actions, including noncompliance with regulatory standards and requirements, by our employees, independent contractors, consultants, commercial partners and vendors exposes us to potential noncompliance with regulatory standards and requirements.</w:t>
      </w:r>
    </w:p>
    <w:p>
      <w:pPr>
        <w:spacing w:after="0" w:line="83"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Employee fraud or other illegal activity by our employees, independent contractors, consultants, commercial partners, CROs, CMOs and vendors exposes us to liability. Misconduct by these parties could be intentional, reckless and/or negligent conduct, including failure to comply with FDA or other regulations, provide true, complete and accurate information to the FDA or comparable foreign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United States, our potential exposure under these laws will increase significantly, as will our costs associated with compliance.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could also involve the improper use of information obtained in the course of clinical trials or creation of fraudulent data in preclinical studies or clinical trials, which could result in regulatory sanctions and serious harm to our reputation. Additionally, a person could allege fraud or other misconduct even if none occurred. It is not always possible to identify and deter employee misconduct, and the precautions we take to detect and prevent this activity may not be effective in controlling known or unknown risks or losses or in protecting us from governmental investigations or other actions or lawsuits stemming from a failure to comply with such laws or regulations. Any such actions instituted against us could have a material and adverse effect on our</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5" w:name="page36"/>
    <w:bookmarkEnd w:id="3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color w:val="auto"/>
        </w:rPr>
        <w:t>business, financial condition, results of operations and prospects, including the imposition of significant civil, criminal or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w:t>
      </w:r>
    </w:p>
    <w:p>
      <w:pPr>
        <w:spacing w:after="0" w:line="145"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The estimates of commercial opportunities for product candidates and forecasts of market growth included in this prospectus may prove to be smaller than we believe, and even if the markets in which we compete achieve the forecasted growth, our business may not grow at similar rates, or at all.</w:t>
      </w:r>
    </w:p>
    <w:p>
      <w:pPr>
        <w:spacing w:after="0" w:line="8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intend to initially focus our product candidate development on treatments for various I&amp;I indications. Our projections of addressable patient populations within any particular disease state that may benefit from treatment with our product candidates are based on our estimates. Market opportunity estimates and growth forecasts included in this prospectus are subject to significant uncertainty and are based on assumptions and estimates. These estimates, which have been derived from a variety of sources, including scientific literature, surveys of clinics, patient foundations and market research, may prove to be incorrect in general or as to their applicability to our company. Further, new studies or trials may change the estimated incidence or prevalence of these diseases. For example, IgG4- RD is a relatively recently described disease that incorporates groups of manifestations that were diagnosed as separate disease entities prior to 2003. We estimate that the currently diagnosed population of IgG4-RD patients in the United States is approximately 20,000, with comparable prevalence rates globally.</w:t>
      </w:r>
    </w:p>
    <w:p>
      <w:pPr>
        <w:spacing w:after="0" w:line="101"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Additionally, the potentially addressable patient population for our product candidates may not ultimately be amenable to treatment with our product candidates. Our commercial opportunity may also be limited by future competitor treatments that enter the market with such patients. If any of our estimates prove to be inaccurate, the commercial opportunity for any product candidate that we or our strategic partners develop could be significantly diminished and have an adverse material impact on our business. Even if we obtain significant market share for our product candidates, because some of our potential target populations are very small, we may never achieve profitability despite obtaining such significant market share.</w:t>
      </w:r>
    </w:p>
    <w:p>
      <w:pPr>
        <w:spacing w:after="0" w:line="305"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future growth may depend, in part, on our ability to operate in foreign markets, where we would be subject to additional regulatory burdens and other risks and uncertainties.</w:t>
      </w:r>
    </w:p>
    <w:p>
      <w:pPr>
        <w:spacing w:after="0" w:line="70"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Our future growth may depend, in part, on our ability to develop and commercialize our product candidates in foreign markets, including in the European Union (“EU”), United Kingdom (“UK”), Japan and China for which we may rely on collaboration with third parties. We are not permitted to market or promote any of our product candidates before we receive regulatory approval from the applicable regulatory authority in that foreign market, and we may not obtain foreign regulatory approvals on a timely basis, if at all. To obtain separate regulatory approval in other countries, we must comply with numerous and varying regulatory requirements of such countries regarding safety and efficacy and governing, among other things, clinical trials and commercial sales, pricing and distribution of our product candidates. If we fail to comply with the regulatory requirements in international markets or fail to receive applicable marketing approvals, our ability to realize the full commercial potential of our product candidates will be harmed. Failure to obtain approval of any of our product candidates by regulatory authorities in another country may significantly diminish the commercial prospects of that product candidate and our business, financial condition, results of operations and prospects could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154"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Strategic transactions could impact our liquidity, increase our expenses and present significant distractions to our management.</w:t>
      </w:r>
    </w:p>
    <w:p>
      <w:pPr>
        <w:spacing w:after="0" w:line="70"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As a core part of our strategy, we intend to enter into strategic transactions, which could include acquisitions of companies, asset purchases and in-licensing and out-licensing of intellectual property. For example, we in-licensed the exclusive global rights to develop and commercialize obexelimab, ZB002 and</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6" w:name="page37"/>
    <w:bookmarkEnd w:id="3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ZB004 from Xencor, and, in August 2023, we entered into a strategic license and collaboration with BMS, pursuant to which we granted the exclusive rights to develop and, if approved, commercialize obexelimab in Japan, South Korea, Taiwan, Hong Kong, Singapore and Australia. The expected synergies in development programs, pipelines and other areas of focus between Zenas, Xencor and BMS may not be realized on a timely basis or at all, and there may be risks associated with the acquisition that we did not previously anticipate, such as unanticipated liabilities.</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also may enter into a variety of other business arrangements, including strategic collaborations,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business, financial condition, liquidity and results of operations.</w:t>
      </w:r>
    </w:p>
    <w:p>
      <w:pPr>
        <w:spacing w:after="0" w:line="97"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Future acquisitions may require us to obtain additional financing, which may not be available on favorable terms or at all. These transactions may never be successful and may require significant time and attention of our management. In addition, the integration of any business or assets may be disruptive, complex, risky and costly and we may never realize the full benefits of the acquisition.</w:t>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Recent and future changes to tax laws could adversely affect our company.</w:t>
      </w:r>
    </w:p>
    <w:p>
      <w:pPr>
        <w:spacing w:after="0" w:line="128"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The tax regimes we are subject to or operate under, including with respect to income and non-income taxes, are unsettled and may be subject to significant change. Changes in tax laws, regulations, or rulings, or changes in interpretations of existing laws and regulations, could adversely affect our company. For example, the Tax Cuts and Jobs Act, the Coronavirus Aid, Relief, and Economic Security Act, and the Inflation Reduction Act of 2022 (the “IRA”) enacted many significant changes to the U.S. tax laws. Future guidance from the Internal Revenue Service and other tax authorities with respect to such legislation may affect us, and certain aspects thereof could be repealed or modified in future legislation. For example, the IRA includes provisions that will impact the U.S. federal income taxation of certain corporations, including imposing a 15% minimum tax on the book income of certain large corporations and a 1% excise tax on certain corporate stock repurchases that would be imposed on the corporation repurchasing such stock.</w:t>
      </w:r>
    </w:p>
    <w:p>
      <w:pPr>
        <w:spacing w:after="0" w:line="164"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b w:val="1"/>
          <w:bCs w:val="1"/>
          <w:i w:val="1"/>
          <w:iCs w:val="1"/>
          <w:color w:val="auto"/>
        </w:rPr>
        <w:t>If our internal information technology systems, or those used by our CROs, CMOs, clinical sites or other contractors or consultants, are or were compromised, become unavailable or suffer security incidents, loss or leakage of data or other disruptions, we could suffer material adverse consequences, including operational or service interruption, harm to our reputation, litigation, fines, penalties, compromise of sensitive information related our business and other adverse consequences.</w:t>
      </w:r>
    </w:p>
    <w:p>
      <w:pPr>
        <w:spacing w:after="0" w:line="9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the ordinary course of our business, we, and the third parties upon which we rely, process sensitive data and as a result, we and the third parties upon which we rely face a variety of evolving threats which could cause security incidents.</w:t>
      </w:r>
    </w:p>
    <w:p>
      <w:pPr>
        <w:spacing w:after="0" w:line="8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Our internal information technology systems and those of our CROs, CMOs, clinical sites and other contractors and consultants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telecommunications failures, earthquakes, fires, floods and other similar threats.</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7" w:name="page38"/>
    <w:bookmarkEnd w:id="3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funds. To alleviate the negative impact of a ransomware attack, it may be preferable to make extortion payments, but we may be unwilling or unable to do so (including, for example, if applicable laws or regulations prohibit such payments, or our insurance carrier objects to payment).</w:t>
      </w:r>
    </w:p>
    <w:p>
      <w:pPr>
        <w:spacing w:after="0" w:line="8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Some actors, including nation -state actors, also engage in cyber-attacks for geopolitical reasons and in conjunction with military conflicts and defense activities. During times of war and other major conflicts, we and the third parties upon which we rely are vulnerable to a heightened risk of these attacks, including retaliatory cyber-attacks, that could materially disrupt our systems and operations, supply chain and ability to conduct our development activities, including clinical trials. In addition to experiencing a security incident, third parties may gather, collect or infer sensitive information about us from public sources, data brokers or other means that reveals competitively sensitive details about our organization and could be used against us.</w:t>
      </w:r>
    </w:p>
    <w:p>
      <w:pPr>
        <w:spacing w:after="0" w:line="254"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Additionally, remote work increases risks to our information technology systems and data, as more of our employees utilize network connections, computers and devices outside our premises or network, including working at home, while in transit and in public locations. We may be vulnerable to attacks as a result of vulnerabilities introduced through our supply chain, including vendors we engage to provide us with security and other technologies.</w:t>
      </w:r>
    </w:p>
    <w:p>
      <w:pPr>
        <w:spacing w:after="0" w:line="94"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Furthermore, future or past business transactions (such as acquisitions or integrations) could expose us to additional cybersecurity risks and vulnerabilities present in acquired or integrated entities’ systems and technologies, including security issues that are not identified during due diligence. Additionally, it may be difficult to integrate companies into our information technology environment and security program.</w:t>
      </w:r>
    </w:p>
    <w:p>
      <w:pPr>
        <w:spacing w:after="0" w:line="95"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We may not be able to detect and remediate all vulnerabilities and the threats and techniques used to exploit such vulnerabilities change frequently and are often sophisticated in nature. Therefore, vulnerabilities could be exploited but may not be detected until after a security incident has occurred. Further, we may experience delays in developing and deploying remedial measures designed to address any such identified vulnerabilities.</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rely on third-party service providers and technologies to operate critical business systems to process sensitive information in a variety of contexts, including cloud-based infrastructure, encryption and authentication technology, employee email and other functions. We also rely on third-party service providers to assist with our clinical trials, provide other products or services or otherwise to operate our business. Our ability to perform diligence on or monitor third parties’ information security practices is limited, and third parties may not have adequate information security measures in place. If our third-party service providers experience a security incident or other interruption, we could experience adverse consequences. While we may be entitled to damages if our third- party service providers fail to satisfy their privacy or security-related obligations to us, any award may be insufficient to cover our damages, or we may be unable to recover such award. If the information technology systems of our CROs, CMOs,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w:t>
      </w:r>
    </w:p>
    <w:p>
      <w:pPr>
        <w:spacing w:after="0" w:line="21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 security incident or other interruption could result in unauthorized, unlawful or accidental acquisition, modification, destruction, loss, alteration, encryption, disclosure of, or access to our sensitive data or our information technology systems, or those of the third parties upon whom we rely, any of which could disrupt our ability (and that of third parties upon whom we rely) to advance clinical development or commercial activities for any products, if approved. For example, the loss of clinical trial data from completed or ongoing clinical trials could result in delays in our regulatory approval efforts, significantly increase our costs to recover or reproduce the data or limit our ability to effectively execute a product recall, if required. In addition, we could incur liability if any disruption or security incident results in the loss of or damage to our data or applications, or inappropriate disclosure of personal, confidential or proprietary information. Applicable data privacy and security obligations also may require us to notify relevant stakeholders of security incidents. Such</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8" w:name="page39"/>
    <w:bookmarkEnd w:id="3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color w:val="auto"/>
        </w:rPr>
        <w:t>disclosures are costly, and the disclosure or the failure to comply with such requirements could lead to adverse consequences. Any disruption or security incident could result in legal claims or proceedings, liability under laws that protect the privacy of personal information and significant regulatory penalties, damage to our reputation or a loss of confidence in us and our ability to conduct clinical trials, which could delay the clinical development of our product candidates. Although we have obtained cyber insurance, we cannot be sure that our insurance coverage will be adequate or sufficient to protect us from or to mitigate liabilities arising out of a cybersecurity incident or that such coverage will continue to be available on commercially reasonable terms in the future.</w:t>
      </w:r>
    </w:p>
    <w:p>
      <w:pPr>
        <w:spacing w:after="0" w:line="155"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business entails a significant risk of product liability and our ability to obtain sufficient insurance coverage could adversely affect our business, financial condition, results of operations and prospects.</w:t>
      </w:r>
    </w:p>
    <w:p>
      <w:pPr>
        <w:spacing w:after="0" w:line="70"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As we conduct clinical trials of our current or future product candidates, we are exposed to significant product liability risks inherent in the development, testing, manufacturing and marketing of new therapies. Product liability claims could delay or prevent completion of our development programs. If we succeed in obtaining approval to market any product candidate, product liability claims could result in FDA or other investigation of the safety and effectiveness of our future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 candidates, termination of clinical trial sites or entire trial programs, withdrawal of clinical trial participants or inability to enroll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and products that we may develop, and a decline in our stock price. We may require higher levels of product liability insurance for later stages of clinical development or marketing any of our product candidates, and our insurance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w:t>
      </w:r>
    </w:p>
    <w:p>
      <w:pPr>
        <w:spacing w:after="0" w:line="343"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Public opinion and scrutiny of I&amp;I treatments may impact public perception of our company and product candidates, or may adversely affect our ability to conduct our business and our business plans.</w:t>
      </w:r>
    </w:p>
    <w:p>
      <w:pPr>
        <w:spacing w:after="0" w:line="70"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Public perception may be influenced by claims, such as claims that our product candidates are unsafe, unethical or immoral and, consequently, our approach may not gain the acceptance of the public or the medical community. Negative public reaction to I&amp;I treatments in general could result in greater government regulation and stricter labeling requirements of products to treat immunological diseases, including any of our product candidates, if approved, and could cause a decrease in the demand for any product candidates we may develop. Moreover, our success will depend upon physicians specializing in the treatment of those diseases that our product candidates target prescribing, and their patients being willing to receive, treatments that involve the use of our product candidates in lieu of, or in addition to, existing treatments they are already familiar with and for which greater clinical data may be available. AEs in our clinical trials, even if not ultimately attributable to our product candidates, and the resulting publicity could result in withdrawal of clinical trial participants or impact our ability to enroll participants or lead to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More restrictive government regulations or negative public opinion could have an adverse effect on our business, financial condition, results of operations and prospects, and may delay or impair the development and, if approved, commercialization of our product candidates or demand for any products we may develop.</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9" w:name="page40"/>
    <w:bookmarkEnd w:id="3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Our Intellectual Property</w:t>
      </w:r>
    </w:p>
    <w:p>
      <w:pPr>
        <w:spacing w:after="0" w:line="177"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obtain and maintain sufficient intellectual property protection for our product candidates or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impacted.</w:t>
      </w:r>
    </w:p>
    <w:p>
      <w:pPr>
        <w:spacing w:after="0" w:line="94"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rely upon a combination of patents, know-how and confidentiality agreements to protect the intellectual property related to our product candidates and to prevent third parties from copying and surpassing our achievements, thus eroding our competitive position in our market.</w:t>
      </w:r>
    </w:p>
    <w:p>
      <w:pPr>
        <w:spacing w:after="0" w:line="9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and licensing patent applications in the United States and abroad related to our novel discoveries and technologies that are important to our business. Although we in-license issued patents, we do not own any issued patents and our pending and future patent applications may not result in patents being issued. Issued patents may not afford sufficient protection of our product candidates or their intended uses against competitors, and the patents issued may be infringed, designed around, invalidated by third parties, or may not effectively prevent others from commercializing competitive technologies, products or product candidates.</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Obtaining and enforcing patents is expensive and time-consuming,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third parties from using our technology that is in the public domain.</w:t>
      </w:r>
    </w:p>
    <w:p>
      <w:pPr>
        <w:spacing w:after="0" w:line="9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Composition of matter patents for biological and pharmaceutical product candidates often provide a strong form of intellectual property protection for those types of products, as such patents provide protection without regard to any method of use. However, the claims in our or our collaborators’ or licensors’ pending patent applications directed to composition of matter of our product candidates may not be considered patentable by the United States Patent and Trademark Office (“USPTO”) or by patent offices in foreign countries, or the claims in any of our or our licensors’ issued patents may not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w:t>
      </w:r>
    </w:p>
    <w:p>
      <w:pPr>
        <w:spacing w:after="0" w:line="102"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 scope, validity, enforceability and commercial value of any patent rights are highly uncertain. Our pending and future owned and in-licensed patent applications may not result in patents being issued which protect our product candidates, effectively prevent others from commercializing our product candidates or otherwise provide any competitive advantage. In fact, patent applications may not issue as patents at all. The coverage claimed in a patent application can also be</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0" w:name="page41"/>
    <w:bookmarkEnd w:id="4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significantly reduced before the patent is issued, and its scope can be reinterpreted after issuance. In addition, the laws of foreign countries may not protect our rights to the same extent as the laws of the United States, or vice versa.</w:t>
      </w:r>
    </w:p>
    <w:p>
      <w:pPr>
        <w:spacing w:after="0" w:line="8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patent application process is subject to numerous risks and uncertainties, and we may not be successful in protecting our product candidates by obtaining and defending patents. For example, we may not be aware of all third -party intellectual property rights potentially relating to our product candidates or their intended uses, and as a result the impact of such third-party intellectual property rights upon the patentability of our own or our licensors’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or our licensors’ patent rights are highly uncertain.</w:t>
      </w:r>
    </w:p>
    <w:p>
      <w:pPr>
        <w:spacing w:after="0" w:line="23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 xml:space="preserve">The issuance of a patent is not conclusive as to its inventorship, scope, validity or enforceability and our or our licensors’ pending patent applications may be challenged in patent offices in the United States and abroad. Even issued patents may later be found invalid or unenforceable or may be modified or revoked in proceedings instituted by third parties before various patent offices or in courts. For example, our or our licensors’ pending patent applications may be subject to third- party pre-issuance submissions of prior art to the USPTO or our issued patents may be subject to post-grant review proceedings, oppositions, derivations, reexaminations, interferences, </w:t>
      </w:r>
      <w:r>
        <w:rPr>
          <w:rFonts w:ascii="Times New Roman" w:cs="Times New Roman" w:eastAsia="Times New Roman" w:hAnsi="Times New Roman"/>
          <w:sz w:val="15"/>
          <w:szCs w:val="15"/>
          <w:i w:val="1"/>
          <w:iCs w:val="1"/>
          <w:color w:val="auto"/>
        </w:rPr>
        <w:t>inter partes</w:t>
      </w:r>
      <w:r>
        <w:rPr>
          <w:rFonts w:ascii="Times New Roman" w:cs="Times New Roman" w:eastAsia="Times New Roman" w:hAnsi="Times New Roman"/>
          <w:sz w:val="15"/>
          <w:szCs w:val="15"/>
          <w:color w:val="auto"/>
        </w:rPr>
        <w:t xml:space="preserve"> review proceedings or other similar proceedings, in the United States or elsewhere, challenging our or our licensors’ patent rights or the patent rights of others. Such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spacing w:after="0" w:line="21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A third party may also claim that our owned or licensed patent rights are invalid or unenforceable in a litigation. The outcome following legal assertions of invalidity and unenforceability is unpredictable. An adverse result in any legal proceeding could put one or more of our owned or in-licensed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3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have in-licensed patent portfolios, but have no solely owned issued patents relating to our product candidates.</w:t>
      </w:r>
    </w:p>
    <w:p>
      <w:pPr>
        <w:spacing w:after="0" w:line="12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Although we exclusively in-license patent portfolios from Xencor related to obexelimab, ZB002 and ZB004, we have no solely owned issued patents. Although the exclusively in-licensed patent portfolios contain pending patent applications, we may not obtain any issued patents from the pending applications directed to our product candidates. Claims in our U.S. pending patent applications, corresponding international patent applications and patent applications in certain foreign jurisdictions, or those of our licensors, may not be</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1" w:name="page42"/>
    <w:bookmarkEnd w:id="4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considered patentable by the USPTO, courts in the United States or by the patent offices and courts in foreign countries, and any issued claims may be found invalid or unenforceable if challenged. Additionally, our provisional applications may never result in issued patents. Accordingly, we or our licensors may never obtain issued patents or that any issued patents we or our licensors obtain may not provide us with any competitive advantage. Failure to obtain adequate patent protection for our product candidates and technology could adversely affect our business, financial condition, results of operations and prospects.</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may not obtain or maintain necessary rights to our product candidates through acquisitions and in-licenses.</w:t>
      </w:r>
    </w:p>
    <w:p>
      <w:pPr>
        <w:spacing w:after="0" w:line="14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growth of our business depends in part on our ability to acquire, in-license, or use third-party proprietary rights, and we may not be able to do so on commercially reasonable terms or at all. Licenses may be on nonexclusive terms, thereby giving our competitors and other third parties access to the same intellectual property licensed to us, or could require us to make substantial licensing and royalty payments.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obtained, we may have to abandon development of the relevant program or product candidate, which could adversely affect our business, financial condition, results of operations, and prospects.</w:t>
      </w:r>
    </w:p>
    <w:p>
      <w:pPr>
        <w:spacing w:after="0" w:line="233"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For example, under our license and collaboration agreements with Xencor, Xencor is responsible for patent prosecution of certain licensed intellectual property. If any of our current or future licensors or collaboration partners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w:t>
      </w:r>
    </w:p>
    <w:p>
      <w:pPr>
        <w:spacing w:after="0" w:line="148"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Patent rights relating to inventions described and claimed in our or our licensors’ pending patent applications may not issue and patents based on our or our licensors’ patent applications could be challenged and rendered invalid and/or unenforceable.</w:t>
      </w:r>
    </w:p>
    <w:p>
      <w:pPr>
        <w:spacing w:after="0" w:line="87"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patent application process is subject to numerous risks and uncertainties, and we, our licensors, or any of our potential future collaborators may not be successful in protecting our product candidates by obtaining and defending patents. We and our licensors have several pending U.S. and foreign patent applications in our portfolio. We cannot predict:</w:t>
      </w:r>
    </w:p>
    <w:p>
      <w:pPr>
        <w:spacing w:after="0" w:line="62" w:lineRule="exact"/>
        <w:rPr>
          <w:sz w:val="20"/>
          <w:szCs w:val="20"/>
          <w:color w:val="auto"/>
        </w:rPr>
      </w:pPr>
    </w:p>
    <w:p>
      <w:pPr>
        <w:ind w:left="1600" w:hanging="143"/>
        <w:spacing w:after="0"/>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and when patents may issue based on our and our licensors’ patent applications;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of protection of any patent issuing based on our and our licensors’ patent applications;</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claims of any patent issuing based on our and our licensors’ patent applications will provide protection against competitors;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third parties will find ways to invalidate or circumvent our and our licensors’ patent rights;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others will obtain patents claiming aspects similar to those covered by our and our licensors’ patents and patent applications;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2" w:name="page43"/>
    <w:bookmarkEnd w:id="4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we will need to initiate litigation or administrative proceedings to enforce and/or defend our and our licensors’ patent rights which will be costly whether we win or lose;</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patent applications that we own will result in issued patents with claims that cover our product candidates or uses thereof in the United States or in other foreign countries; or</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we may experience patent office interruption or delays to our ability to timely secure patent coverage to our product candidates due to global pandemics and epidemics.</w:t>
      </w:r>
    </w:p>
    <w:p>
      <w:pPr>
        <w:spacing w:after="0" w:line="7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claims in our or our licensors’ pending patent applications directed to our product candidates may not be considered patentable by the USPTO or by patent offices in foreign countries, and any such patent applications may not issue as granted patents. One aspect of the determination of patentability of our and our licensors’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or our licensors’ patent claims or, if issued, affect the validity or enforceability of a patent claim. Even if the patents do issue based on our or our licensors’ patent applications, third parties may challenge the validity, enforceability or scope thereof, which may result in such patents being narrowed, invalidated or held unenforceable. For example, there may be prior art not considered by the patent office that is raised by a third party to challenge the validity of any patents that issue from our or our licensors' patent applications. Furthermore, even if they are unchallenged, patents in our and our licensors’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spacing w:after="0" w:line="2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protect our intellectual property rights throughout the world.</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Patents are of national or regional effect. Filing, prosecuting and defending patents on all of our research programs and product candidates in all countries throughout the world would be prohibitively expensive, and our and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or our licensors’ technologies in jurisdictions where we have not obtained patent protection to develop their own products and, further, may export otherwise infringing products to territories where we and our licensors have patent protection, but enforcement is not as strong as that in the United States. These competitor products may compete with our product candidates, and our and our licensors’ patents or other intellectual property rights may not be effective or sufficient to prevent them from competing.</w:t>
      </w:r>
    </w:p>
    <w:p>
      <w:pPr>
        <w:spacing w:after="0" w:line="97"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pharmaceuticals, which could make it difficult for us to stop the infringement of our and our licensors’ patents or marketing of competing products in violation of our proprietary rights.</w:t>
      </w:r>
    </w:p>
    <w:p>
      <w:pPr>
        <w:spacing w:after="0" w:line="9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Various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3" w:name="page44"/>
    <w:bookmarkEnd w:id="4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Further, the standards applied by the USPTO and foreign patent offices in granting patents are not always applied uniformly or predictably. As such, we do not know the degree of future protection that we will have on our product candidates. While we will endeavor to try to protect our product candidates with intellectual property rights such as patents, as appropriate, the process of obtaining patents is time consuming, expensive and unpredictable.</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Intellectual property rights do not necessarily address all potential threats to our competitive advantage.</w:t>
      </w:r>
    </w:p>
    <w:p>
      <w:pPr>
        <w:spacing w:after="0" w:line="12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1" w:lineRule="exact"/>
        <w:rPr>
          <w:sz w:val="20"/>
          <w:szCs w:val="20"/>
          <w:color w:val="auto"/>
        </w:rPr>
      </w:pPr>
    </w:p>
    <w:p>
      <w:pPr>
        <w:ind w:left="1600" w:right="1179" w:hanging="143"/>
        <w:spacing w:after="0" w:line="269"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others may be able to make product candidates that are similar to ours but that are not covered by the pending patent applications that we own or the patents or patent applications that we license;</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or our licensors or future collaborators might not have been the first to make the inventions covered by the pending patent application that we own or have exclusively licensed;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or our licensors or future collaborators might not have been the first to file patent applications covering certain of our or their inventions;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others may independently develop similar or alternative technologies or duplicate any of our technologies without infringing or otherwise violating our owned or licensed intellectual property rights;</w:t>
      </w:r>
    </w:p>
    <w:p>
      <w:pPr>
        <w:spacing w:after="0" w:line="72"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possible that noncompliance with the USPTO and foreign governmental patent agencies requirement for a number of procedural, documentary, fee payment and other provisions during the patent process can result in abandonment or lapse of a patent or patent application, and partial or complete loss of patent rights in the relevant jurisdiction;</w:t>
      </w:r>
    </w:p>
    <w:p>
      <w:pPr>
        <w:spacing w:after="0" w:line="6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possible that our pending owned or licensed patent applications or those that we may own or license in the future will not lead to issued patents;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issued patents that we either own or have exclusively licensed may be revoked, modified, or held invalid or unenforceable, as a result of legal challenges by our competitors;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others may have access to the same intellectual property rights licensed to us in the future on a non-exclusive basis;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develop additional proprietary technologies that are patentable;</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cannot predict the scope of protection of any patent issuing based on our and our licensors’ patent applications, including whether the patent applications that we own, presently in-license, or, in the future, in-license will result in issued patents with claims that directed to our product candidates or uses thereof in the United States or in other foreign countries;</w:t>
      </w:r>
    </w:p>
    <w:p>
      <w:pPr>
        <w:spacing w:after="0" w:line="66"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claims of any patent issuing based on our patent applications may not provide protection against competitors or any competitive advantages, or may be challenged by third parties;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enforced, a court may not hold that our patents, if they issue in the future, are valid, enforceable and infringed;</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4" w:name="page45"/>
    <w:bookmarkEnd w:id="4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need to initiate litigation or administrative proceedings to enforce and/or defend our patent rights which will be costly whether we win or lose;</w:t>
      </w:r>
    </w:p>
    <w:p>
      <w:pPr>
        <w:spacing w:after="0" w:line="63"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choose not to file a patent application in order to maintain certain trade secrets or know-how, and a third party may subsequently file a patent application covering such intellectual property;</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fail to adequately protect and police our trademarks and trade secrets; and</w:t>
      </w:r>
    </w:p>
    <w:p>
      <w:pPr>
        <w:spacing w:after="0" w:line="10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patents of others may have an adverse effect on our business, including if others obtain patents claiming subject matter similar to or improving that covered by our patent applications.</w:t>
      </w:r>
    </w:p>
    <w:p>
      <w:pPr>
        <w:spacing w:after="0" w:line="7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Should any of these or similar events occur, they could significantly harm our business, financial condition, results of operations and prospects.</w:t>
      </w:r>
    </w:p>
    <w:p>
      <w:pPr>
        <w:spacing w:after="0" w:line="137"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be involved in lawsuits to protect or enforce our patents or other intellectual property, which could be expensive, time-consuming and unsuccessful.</w:t>
      </w:r>
    </w:p>
    <w:p>
      <w:pPr>
        <w:spacing w:after="0" w:line="81"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Competitors or other third parties may infringe our patents, trademarks or other intellectual property. To counter infringement or unauthorized use, we or one of our licensing partners may file infringement claims, which can be expensive and time consuming and divert the time and attention of our management and scientific personnel. Our or our licensors’ pending patent applications cannot be enforced against third parties practicing the technology claimed in such applications unless and until a patent issues from such applications. Claims we assert against perceived infringers could provoke these parties to assert counterclaims against us alleging that we infringe their patents, in addition to counterclaims asserting that our patents or our licensors’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our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our licensors’ patent claims do not cover the invention, or decide that the other party’s use of our or our licensors’ patented technology falls under the safe harbor to patent infringement under 35 U.S.C. §271(e)(1). An adverse outcome in a litigation or proceeding involving our or our licensors’ patents could limit our ability to assert our or our licensors’ patents against those parties or other competitors and may curtail or preclude our ability to exclude third parties from making and selling similar or competitive products. Any of these occurrences could adversely affect our competitive position, business, financial condition, results of operations or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8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may not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5" w:name="page46"/>
    <w:bookmarkEnd w:id="4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60" w:right="1179"/>
        <w:spacing w:after="0" w:line="241" w:lineRule="auto"/>
        <w:rPr>
          <w:sz w:val="20"/>
          <w:szCs w:val="20"/>
          <w:color w:val="auto"/>
        </w:rPr>
      </w:pPr>
      <w:r>
        <w:rPr>
          <w:rFonts w:ascii="Times New Roman" w:cs="Times New Roman" w:eastAsia="Times New Roman" w:hAnsi="Times New Roman"/>
          <w:sz w:val="15"/>
          <w:szCs w:val="15"/>
          <w:b w:val="1"/>
          <w:bCs w:val="1"/>
          <w:i w:val="1"/>
          <w:iCs w:val="1"/>
          <w:color w:val="auto"/>
        </w:rPr>
        <w:t>Intellectual property rights of third parties could adversely affect our ability to commercialize obexelimab, or future product candidates, and we, our licensors or collaborators, or any future strategic partners may become subject to third party claims or litigation alleging infringement of patents or other proprietary rights or seeking to invalidate patents or other proprietary rights. We might be required to litigate or obtain licenses from third parties in order to develop or market obexelimab or future product candidates. Such litigation or licenses could be costly or not available on commercially reasonable terms.</w:t>
      </w:r>
    </w:p>
    <w:p>
      <w:pPr>
        <w:spacing w:after="0" w:line="9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commercial success depends on our ability to develop, manufacture, market and sell our product candidates without infringing, misappropriating or otherwise violating the valid intellectual property and other proprietary rights of third parties. Identifying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spacing w:after="0" w:line="24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product candidates or the use of our product candidates. As such, there may be applications of others now pending or recently revived patents of which we are unaware.</w:t>
      </w:r>
    </w:p>
    <w:p>
      <w:pPr>
        <w:spacing w:after="0" w:line="24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 -party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spacing w:after="0" w:line="25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which could adversely effect the market price of our common stock and harm our reputation.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w:t>
      </w:r>
    </w:p>
    <w:p>
      <w:pPr>
        <w:spacing w:after="0" w:line="23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 candidates. We cannot be certain that our product candidates will not infringe existing or future valid patents owned by third parties. Third parties may assert infringement claims against us based on existing or future intellectual property rights, regardless of their merit. We may decide in the future to seek a license to such third -party patents or other intellectual property rights, but we might not be able to do so on reasonable terms. Proving patent invalidity may be difficult. For example, in the United States, proving invalidity in court requires a showing of clear and convincing evidence to overcome the presumption of validity enjoyed by issued patents. As this burden is a high one, there is no assurance that a court of competent jurisdiction would invalidate the claims of any such</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6" w:name="page47"/>
    <w:bookmarkEnd w:id="4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United States patent or find that our product candidates do not infringe any such claims. If we are found to infringe, misappropriate or otherwise violate a third party’s intellectual property rights, we could be forced, including by court order, to cease developing, manufacturing or commercializing the infringing technology or product candidate. Further, we may be required to redesign the technology or product candidate in a non-infringing manner, which may not be commercially feasible.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it could require us to make substantial licensing and royalty payments.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3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 xml:space="preserve">We may choose to challenge the enforceability or validity of claims in a third party’s U.S. patent by requesting that the USPTO review the patent claims in an </w:t>
      </w:r>
      <w:r>
        <w:rPr>
          <w:rFonts w:ascii="Times New Roman" w:cs="Times New Roman" w:eastAsia="Times New Roman" w:hAnsi="Times New Roman"/>
          <w:sz w:val="15"/>
          <w:szCs w:val="15"/>
          <w:i w:val="1"/>
          <w:iCs w:val="1"/>
          <w:color w:val="auto"/>
        </w:rPr>
        <w:t>ex-parte</w:t>
      </w:r>
      <w:r>
        <w:rPr>
          <w:rFonts w:ascii="Times New Roman" w:cs="Times New Roman" w:eastAsia="Times New Roman" w:hAnsi="Times New Roman"/>
          <w:sz w:val="15"/>
          <w:szCs w:val="15"/>
          <w:color w:val="auto"/>
        </w:rPr>
        <w:t xml:space="preserve"> reexamination, </w:t>
      </w:r>
      <w:r>
        <w:rPr>
          <w:rFonts w:ascii="Times New Roman" w:cs="Times New Roman" w:eastAsia="Times New Roman" w:hAnsi="Times New Roman"/>
          <w:sz w:val="15"/>
          <w:szCs w:val="15"/>
          <w:i w:val="1"/>
          <w:iCs w:val="1"/>
          <w:color w:val="auto"/>
        </w:rPr>
        <w:t>inter partes</w:t>
      </w:r>
      <w:r>
        <w:rPr>
          <w:rFonts w:ascii="Times New Roman" w:cs="Times New Roman" w:eastAsia="Times New Roman" w:hAnsi="Times New Roman"/>
          <w:sz w:val="15"/>
          <w:szCs w:val="15"/>
          <w:color w:val="auto"/>
        </w:rPr>
        <w:t xml:space="preserve">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Further, third-party patents or other intellectual property rights may be enforced against our current technology, including our research programs, product candidates, and their respective methods of use, manufacture and formulations thereof, which could result in either an injunction prohibiting our manufacture or future sales, or, with respect to our future sales, an obligation on our part to pay royalties and/or other forms of compensation to third parties, which could be significant.</w:t>
      </w:r>
    </w:p>
    <w:p>
      <w:pPr>
        <w:spacing w:after="0" w:line="288"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82"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 xml:space="preserve">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 Smith America Invents Act (the “Leahy-Smith Act”), signed into law on September 16, 2011, could increase those uncertainties and costs surrounding the prosecution of our patent applications and the enforcement or defense of our future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5"/>
          <w:szCs w:val="15"/>
          <w:i w:val="1"/>
          <w:iCs w:val="1"/>
          <w:color w:val="auto"/>
        </w:rPr>
        <w:t>inter partes</w:t>
      </w:r>
      <w:r>
        <w:rPr>
          <w:rFonts w:ascii="Times New Roman" w:cs="Times New Roman" w:eastAsia="Times New Roman" w:hAnsi="Times New Roman"/>
          <w:sz w:val="15"/>
          <w:szCs w:val="15"/>
          <w:color w:val="auto"/>
        </w:rPr>
        <w:t xml:space="preserve"> review, and derivation proceedings.</w:t>
      </w:r>
    </w:p>
    <w:p>
      <w:pPr>
        <w:spacing w:after="0" w:line="10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or our licensors’ patent claims that would not have been invalidated if first challenged by the third party as a defendant in a district court action. Thus, the Leahy -Smith Act and its implementation could increase the uncertainties and costs surrounding the prosecution of our or our licensors’ patent applications and the enforcement or defense</w:t>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7" w:name="page48"/>
    <w:bookmarkEnd w:id="4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of our or our licensors’ future issued patents, all of which could adversely affect our business, financial condition, results of operations and prospects.</w:t>
      </w:r>
    </w:p>
    <w:p>
      <w:pPr>
        <w:spacing w:after="0" w:line="75"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or our licensors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future issued patents, all of which could adversely affect our business, financial condition, results of operations and prospects.</w:t>
      </w:r>
    </w:p>
    <w:p>
      <w:pPr>
        <w:spacing w:after="0" w:line="10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 xml:space="preserve">In addition, the patent positions of companies in the development and commercialization of pharmaceuticals are particularly uncertain. Changes in either the patent laws or interpretation of the patent laws in the United States or in other jurisdictions could increase the uncertainties and costs surrounding the prosecution of patent applications and the enforcement or defense of issued patents. In the United States, numerous recent changes to the patent laws and proposed changes to the rules of the USPTO may have a significant impact on our ability to protect our technology, products and enforce our intellectual property rights. We cannot assure you that subsequent rulings will not adversely impact our patents or patent applications. In addition to increasing uncertainty regarding our ability to obtain patents in the future, this combination of events has created uncertainty with respect to the value of patents, once granted. For example, the U.S. Supreme Court, in the case </w:t>
      </w:r>
      <w:r>
        <w:rPr>
          <w:rFonts w:ascii="Times New Roman" w:cs="Times New Roman" w:eastAsia="Times New Roman" w:hAnsi="Times New Roman"/>
          <w:sz w:val="15"/>
          <w:szCs w:val="15"/>
          <w:i w:val="1"/>
          <w:iCs w:val="1"/>
          <w:color w:val="auto"/>
        </w:rPr>
        <w:t>Amgen v. Sanofi</w:t>
      </w:r>
      <w:r>
        <w:rPr>
          <w:rFonts w:ascii="Times New Roman" w:cs="Times New Roman" w:eastAsia="Times New Roman" w:hAnsi="Times New Roman"/>
          <w:sz w:val="15"/>
          <w:szCs w:val="15"/>
          <w:color w:val="auto"/>
        </w:rPr>
        <w:t xml:space="preserve">, held that broad functional antibody claims are invalid for lack of enablement. As such, our ability to obtain patents with functional claims, or to protect our patent rights with functional claims from third party challenges seeking to invalidate these claims for lacking enablement or adequate support in the specification, is uncertain. In addition, in </w:t>
      </w:r>
      <w:r>
        <w:rPr>
          <w:rFonts w:ascii="Times New Roman" w:cs="Times New Roman" w:eastAsia="Times New Roman" w:hAnsi="Times New Roman"/>
          <w:sz w:val="15"/>
          <w:szCs w:val="15"/>
          <w:i w:val="1"/>
          <w:iCs w:val="1"/>
          <w:color w:val="auto"/>
        </w:rPr>
        <w:t>Juno v. Kite</w:t>
      </w:r>
      <w:r>
        <w:rPr>
          <w:rFonts w:ascii="Times New Roman" w:cs="Times New Roman" w:eastAsia="Times New Roman" w:hAnsi="Times New Roman"/>
          <w:sz w:val="15"/>
          <w:szCs w:val="15"/>
          <w:color w:val="auto"/>
        </w:rPr>
        <w:t xml:space="preserve">, the Federal Circuit held broad antibody claims supported by few examples invalid for lack of written description. Recently, the Federal Circuit issued a precedential decision in </w:t>
      </w:r>
      <w:r>
        <w:rPr>
          <w:rFonts w:ascii="Times New Roman" w:cs="Times New Roman" w:eastAsia="Times New Roman" w:hAnsi="Times New Roman"/>
          <w:sz w:val="15"/>
          <w:szCs w:val="15"/>
          <w:i w:val="1"/>
          <w:iCs w:val="1"/>
          <w:color w:val="auto"/>
        </w:rPr>
        <w:t>In re Cellect</w:t>
      </w:r>
      <w:r>
        <w:rPr>
          <w:rFonts w:ascii="Times New Roman" w:cs="Times New Roman" w:eastAsia="Times New Roman" w:hAnsi="Times New Roman"/>
          <w:sz w:val="15"/>
          <w:szCs w:val="15"/>
          <w:color w:val="auto"/>
        </w:rPr>
        <w:t xml:space="preserve"> (No. 22-1293) that could shorten or eliminate extended patent term awarded under Patent Term Adjustment (“PTA”) if challenged on the basis of Obvious-Type Double Patenting. Furthermore, the U.S. Supreme Court and Federal Circuits have repeatedly held that the use of biomarkers in diagnosis or monitoring therapeutic treatment is not patent eligible.</w:t>
      </w:r>
    </w:p>
    <w:p>
      <w:pPr>
        <w:spacing w:after="0" w:line="213"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Depending on decisions by the U.S. Congress, the federal courts and the USPTO, and similar legislative and regulatory bodies in other countries in which we may pursue patent protection, the laws and regulations governing patents could change in unpredictable ways, particularly with respect to pharmaceutical patent protection, that would weaken our ability to obtain new patents or to enforce our or our licensors’ or collaborators’ existing patents and patents that we might obtain in the future.</w:t>
      </w:r>
    </w:p>
    <w:p>
      <w:pPr>
        <w:spacing w:after="0" w:line="9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spacing w:after="0" w:line="8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2012, the European Union Patent Package (EU Patent Package) regulations were passed with the goal of providing a single pan- 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owned or licensed European patent applications, if issued, could be challenged in the UPC. During the first seven years of the UPC’s existence, the UPC legislation allows a patent owner to opt its European patents out of the</w:t>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8" w:name="page49"/>
    <w:bookmarkEnd w:id="4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jurisdiction of the UPC. We may decide to opt out our owned or licensed future European patents from the UPC, but doing so may preclude us from realizing the benefits of the UPC. Moreover, if the patent owner of our owned or licensed future European patents do not meet all of the formalities and requirements for opt-out under the UPC, said future European patents could remain under the jurisdiction of the UPC. The UPC will provide our competitors with a new forum to centrally revoke our owned or licensed European patents, and allow for the possibility of a competitor to obtain a pan-European injunction in UPC member states. Such a loss of patent protection could have a material adverse impact on our business and our ability to commercialize our technology and any future product candidates due to increased competition and, resultantly, on our business, financial condition, results of operations and prospects in Europe. The UPC and Unitary Patent are significant changes in European patent practice. As the UPC is a new court system, there is no precedent for the court, increasing the uncertainty of any litigation in the UPC.</w:t>
      </w:r>
    </w:p>
    <w:p>
      <w:pPr>
        <w:spacing w:after="0" w:line="14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may become subject to claims challenging the inventorship or ownership of our or our licensors’ patents and other intellectual property.</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may be subject to claims that former employees, collaborators or other third parties have an interest in our or our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to defend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23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current or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adversely affect our competitive position, business, financial condition, results of operations, and prospects.</w:t>
      </w:r>
    </w:p>
    <w:p>
      <w:pPr>
        <w:spacing w:after="0" w:line="97"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152"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Patent terms may be inadequate to protect our competitive position on products or product candidates for an adequate amount of time.</w:t>
      </w:r>
    </w:p>
    <w:p>
      <w:pPr>
        <w:spacing w:after="0" w:line="8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owned and licensed patent portfolio may not provide us with sufficient and continuing rights to exclude others from commercializing products similar or</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9" w:name="page50"/>
    <w:bookmarkEnd w:id="4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identical to ours. For example, the patent covering obexelimab’s composition of matter expires in May 2028, excluding any extension of patent term that may be available.</w:t>
      </w:r>
    </w:p>
    <w:p>
      <w:pPr>
        <w:spacing w:after="0" w:line="126"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Obtaining and maintaining patent protection depends on compliance with various procedural, document submission, fee payment and other requirements imposed by government patent agencies, and our patent protection could be reduced or eliminated as a result of noncompliance with these requirements.</w:t>
      </w:r>
    </w:p>
    <w:p>
      <w:pPr>
        <w:spacing w:after="0" w:line="8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Periodic maintenance fees, renewal fees, annuity fees and various other government fees on patents and/or applications will be due to be paid to the USPTO and various government patent agencies outside of the United States over the lifetime of our owned or licensed patents and patent applications. We rely on our outside counsel or our licensing partners to pay these fees due to U.S. and non- U.S. patent agencies. The USPTO and various non-U.S. government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If we do not obtain patent term extension for our product candidates, our business may be materially harmed.</w:t>
      </w:r>
    </w:p>
    <w:p>
      <w:pPr>
        <w:spacing w:after="0" w:line="14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Depending upon the timing, duration and specifics of any FDA marketing approval of any of our product candidates, one or more of our or our licensors’ issued U.S. patents or issued U.S. patents that we may own in the future may be eligible for limited patent term extension under the Drug Price Competition and Patent Term Restoration Action of 1984 (the “Hatch- 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 -license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56"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If approved, our product candidates that are regulated as biological products (“biologics”), may face competition from biosimilars approved through an abbreviated regulatory pathway.</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Biologics Price Competition and Innovation Act of 2009 (“BPCIA”) was enacted as part of the Patient Protection and Affordable Care Act, as amended by the Health Care and Education Reconciliation Act of 2010 (collectively, the “ACA”), to establish an abbreviated pathway for the approval of biosimilar and interchangeable with an FDA-licensed reference biologic product. The regulatory pathway establishes legal authority for the FDA to review and approve biosimilar biologics, including the possible designation of a biosimilar as “interchangeable” based on its similarity to an approved biologic. Under the BPCIA, reference biological product is granted 12 years of non-patent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0" w:name="page51"/>
    <w:bookmarkEnd w:id="5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color w:val="auto"/>
        </w:rPr>
        <w:t>company may still develop and receive approval of a competing biologic, so long as their BLA does not rely on the reference product or sponsor’s data or submit the application as a biosimilar application. The law is complex and is still being interpreted and implemented by the FDA. As a result, its ultimate impact, implementation and meaning are subject to uncertainty, and any new policies or processes adopted by the FDA could have a material adverse effect on the future commercial prospects for our biological products.</w:t>
      </w:r>
    </w:p>
    <w:p>
      <w:pPr>
        <w:spacing w:after="0" w:line="9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The approval of a biosimilar of our product candidates could have a material adverse impact on our business due to increased competition and pricing pressure.</w:t>
      </w:r>
    </w:p>
    <w:p>
      <w:pPr>
        <w:spacing w:after="0" w:line="249"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If competitors are able to obtain regulatory approval for biosimilars referencing our product candidates, our product candidates may become subject to competition from such biosimilars, with the attendant competitive pressure and consequences.</w:t>
      </w:r>
    </w:p>
    <w:p>
      <w:pPr>
        <w:spacing w:after="0" w:line="9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Laws and regulations outside the United States differ, including the length and extent of patent and exclusivity protection and pathways for competition to enter the market. Other countries may have significantly shorter or longer periods of exclusivity. In addition, other countries may have different standards in determining similarity to a reference product. Any market entry of competing products to our product candidates in these other regions could adversely affect our business in those regions. To the extent that we do not receive any anticipated periods of regulatory exclusivity for our product candidates it could adversely affect our business, financial condition, results of operations and prospects.</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In China, the Fourth Amendments to the PRC Patent Law became effective on June 1, 2021, and for the first time, provides for PTE, PTA and a patent linkage system for eligible Chinese patents. To date, no PTE or PTA has been granted for any Chinese patent, and the patent linkage system is still in its early stage. In view of the potential changes and development in the implementation rules in PTE, PTA, patent linkage and data exclusivity in China, a lower-cost generic drug can emerge onto the market much more quickly, which would result in weaker protection for us against generic competition in China than could be available to us in the United States, and would materially harm our business, financial condition, results of operations, and prospects.</w:t>
      </w:r>
    </w:p>
    <w:p>
      <w:pPr>
        <w:spacing w:after="0" w:line="160"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protect the confidentiality of our trade secrets, our business and competitive position would be harmed.</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 viable terms, then we may not be able to launch our product candidate. 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our trade secrets and other confidential proprietary information could be disclosed or competitors could otherwise gain access to our trade secrets. If our trade secrets are not adequately protected, our business, financial condition, results of operations and prospects could be adversely affected.</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1" w:name="page52"/>
    <w:bookmarkEnd w:id="5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21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52"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94"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which could adversely affect our business, financial condition, results of operations and prospects. Even if we are successful in defending against such claims, litigation could result in substantial costs and be a distraction to management.</w:t>
      </w:r>
    </w:p>
    <w:p>
      <w:pPr>
        <w:spacing w:after="0" w:line="28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addition, former employees, consultants or other third parties may assert an ownership right in our owned or licensed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2" w:name="page53"/>
    <w:bookmarkEnd w:id="5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patent protection covering our product candidates. Such challenges may also result in our inability to develop, manufacture or commercialize our product candidates without infringing third- party patent rights. In addition, if the breadth or strength of protection provided by our owned or licensed patents and patent applications is threatened, it could dissuade companies from collaborating with us to license, develop or commercialize current or future product candidates. Any of the foregoing could adversely affect our business, financial condition, results of operations and prospects.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Government Regulation</w:t>
      </w:r>
    </w:p>
    <w:p>
      <w:pPr>
        <w:spacing w:after="0" w:line="177"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The regulatory approval process is highly uncertain, and we may be unable to obtain, or may be delayed in obtaining, U.S. or foreign regulatory approval and, as a result, unable to commercialize our product candidates or any future product candidates. Even if we believe our current, or planned clinical trials are successful, regulatory authorities may not agree that they provide adequate data on safety or efficacy.</w:t>
      </w:r>
    </w:p>
    <w:p>
      <w:pPr>
        <w:spacing w:after="0" w:line="94"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Our product candidates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preclinical studies and clinical trials and an extensive regulatory approval process are required to be completed successfully in the United States and in many foreign jurisdictions before a new product can be marketed. Satisfaction of these and other regulatory requirements is costly, time consuming, uncertain and subject to unanticipated delays. It is possible that none of our product candidates will obtain the regulatory approvals necessary for us to begin selling them.</w:t>
      </w:r>
    </w:p>
    <w:p>
      <w:pPr>
        <w:spacing w:after="0" w:line="98"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Our company has no prior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comparable foreign regulatory authorities use when regulating us require judgment and can change, which makes it difficult to predict with certainty their application. Any analysis we perform of data from preclinical studies and clinical trials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additional legislative changes will be enacted, or whether FDA or foreign regulations, guidance or interpretations will be changed, or the impact of such changes, if any. Any elongation or de-prioritization of preclinical studies or clinical trials or delay in regulatory review resulting from such disruptions could materially affect the development and study of obexelimab or any of our other product candidates or any future product candidates.</w:t>
      </w:r>
    </w:p>
    <w:p>
      <w:pPr>
        <w:spacing w:after="0" w:line="103"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Further, the FDA and its foreign counterparts may respond to any BLA that we may submit by requesting additional data or studies that we do not anticipate. Such responses could delay clinical development of our product candidates or any future product candidates. The FDA also may consider its approvals of competing products, which may alter the treatment landscape, and which may lead to changes in the FDA’s review requirements that have been previously communicated to us and our interpretation thereof, including changes to requirements for clinical data or clinical trial design. Such changes could delay approval or necessitate withdrawal of our BLA submissions.</w:t>
      </w:r>
    </w:p>
    <w:p>
      <w:pPr>
        <w:spacing w:after="0" w:line="99"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Any delay or failure in obtaining required approvals would adversely affect our ability to generate revenue from the particular product candidate for which we are seeking approval. Furthermore, any regulatory approval to market a product may be subject to limitations on the approved uses for which we may market the product or on the labeling or other restrictions.</w:t>
      </w:r>
    </w:p>
    <w:p>
      <w:pPr>
        <w:spacing w:after="0" w:line="9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also are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may differ from that required to obtain FDA approval. FDA approval does not ensure</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3" w:name="page54"/>
    <w:bookmarkEnd w:id="5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p>
    <w:p>
      <w:pPr>
        <w:spacing w:after="0" w:line="140"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We may also be subject to penalties if we fail to comply with regulatory requirements or experience unanticipated problems with our product candidates.</w:t>
      </w:r>
    </w:p>
    <w:p>
      <w:pPr>
        <w:spacing w:after="0" w:line="94"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Any regulatory approvals that we or our existing or future collaborators obtain for our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w:t>
      </w:r>
    </w:p>
    <w:p>
      <w:pPr>
        <w:spacing w:after="0" w:line="9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addition, if the FDA or a comparable foreign regulatory authority approves any of our product candidates, the manufacturing processes, labeling, packaging, distribution, post-approval monitoring and adverse event reporting, storage, import, export, advertising, promotion and recordkeeping for the product will be subject to extensive and ongoing regulatory requirements. The FDA has significant post -market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The manufacturing facilities we use to make a future product, if any, will also be subject to periodic review and inspection by the FDA and other regulatory authorities, including for continued compliance with cGMPs. The discovery of any new or previously unknown problems with our third-party manufacturers, manufacturing processes or facilities may result in restrictions on the product, manufacturer or facility, including withdrawal of the product from the market. We will not have complete control over compliance with applicable rules and regulations by such manufacturers.</w:t>
      </w:r>
    </w:p>
    <w:p>
      <w:pPr>
        <w:spacing w:after="0" w:line="97"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Any product promotion and advertising will also be subject to regulatory requirements and continuing regulatory review. The FDA imposes stringent restrictions on manufacturers’ communications regarding use of their products. Although clinicians may prescribe products for off-label uses as the FDA and other regulatory authorities do not regulate a physician’s choice of drug treatment made in the physician’s independent medical judgment, they do restrict promotional communications from companies or their sales force with respect to off-label uses of products. If we promote our products in a manner inconsistent with FDA-approved labeling or otherwise not in compliance with FDA regulations, we may be subject to enforcement action. The failure by us or our collaborators to comply with applicable regulatory requirements in the United States or foreign jurisdictions in which we seek to market our product candidates may result in, among other things, fines, warning or untitled letters, holds on clinical trials, delay of approval or refusal by the FDA or comparable foreign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9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also cannot predict the likelihood, nature or extent of government regulation that may arise from future legislation or administrative or executive action, either in the United States or abroad. Changes in FDA staffing could result in delays in the FDA’s responsiveness or in its ability to review submissions or applications, issue regulations or guidance, or implement or enforce regulatory requirements in a timely fashion or at all.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4" w:name="page55"/>
    <w:bookmarkEnd w:id="5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Disruptions at the FDA or comparable foreign regulatory authorities caused by funding shortages or global health concerns could hinder their ability to hire, retain or deploy key leadership and other personnel, or otherwise prevent new products from being developed, approved or commercialized in a timely manner or otherwise prevent those authorities from performing normal business functions on which the operation of our business may rely, which could negatively impact our business.</w:t>
      </w:r>
    </w:p>
    <w:p>
      <w:pPr>
        <w:spacing w:after="0" w:line="9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ability of the FDA and comparable foreign regulatory authorities to review and approve new products is affected by a variety of factors, including government budget and funding levels, statutory, regulatory and policy changes, the ability to hire and retain key personnel and accept the payment of user fees, and other events that may otherwise affect the regulatory authority’s ability to perform routine functions. Average review times at the FDA and other regulatory authorities have fluctuated in recent years. In addition, government funding of other authorities and agencies that fund research and development activities is subject to the political process, which is inherently fluid and unpredictable. Disruptions at the FDA and other regulatory authorities may also slow the time necessary for new biologics or modifications to approved or licensed biologics to be reviewed and/or approved, which would adversely affect our business. For example, over the last several years, the U.S. government has shut down several times and certain regulatory authorities, such as the FDA, have had to furlough critical employees and stop critical activities.</w:t>
      </w:r>
    </w:p>
    <w:p>
      <w:pPr>
        <w:spacing w:after="0" w:line="23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future pandemics may lead to similar inspectional delays. If any future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16"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Recently enacted legislation, future legislation and other healthcare reform measures may increase the difficulty and cost for us to obtain marketing approval for and commercialize our product candidates and may affect the prices we may set.</w:t>
      </w:r>
    </w:p>
    <w:p>
      <w:pPr>
        <w:spacing w:after="0" w:line="93"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 the United States and some foreign jurisdictions, there have been, and we expect there will continue to be, a number of legislative and regulatory changes to the delivery of, and payment for, healthcare services, including cost-containment measures that may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 See also “Business—Government Regulation-Healthcare Reform.”</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For example, in March 2010, the ACA was enacted in the United States, which substantially changed the way healthcare is financed by both governmental and private insurers in the United States and significantly affected the pharmaceutical industry. Since its enactment, there have been judicial, congressional, and executive branch challenges to the ACA. For example, tax reform legislation was enacted that eliminated the tax penalty established by ACA for individuals who do not maintain mandated health insurance coverage beginning in 2019 and, in 2021, the U.S. Supreme Court dismissed the latest judicial challenge to the ACA brought by several states without specifically ruling on the constitutionality of the ACA.</w:t>
      </w:r>
    </w:p>
    <w:p>
      <w:pPr>
        <w:spacing w:after="0" w:line="26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Beyond the ACA, there have been ongoing healthcare reform efforts, including under the Biden administration. Notably, the IRA includes a number of healthcare reform provisions, which have varying implementation dates. The IRA extends enhanced subsidies for individuals purchasing health insurance coverage in ACA marketplaces through plan year 2025; lowers the beneficiary maximum out -of-pocket cost; establishes a new manufacturer discount program; imposes new Medicare Part B and Part D drug price inflation rebates, and implements a drug price negotiation program for certain high spend Medicare Part B and D drugs. Such provisions have been and likely will continue to be subject to legal challenge.</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Further, there has been heightened governmental scrutiny in the United States of pharmaceutical pricing practices in light of the rising cost of prescription drugs. Such scrutiny has resulted in several congressional inquiries and proposed and enacted federal and state legislation designed to, among other things, bring more transparency to product pricing, review the relationship between pricing and manufacturer patient programs,</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5" w:name="page56"/>
    <w:bookmarkEnd w:id="5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and reform government program reimbursement methodologies for products. For example, in addition to the IRA drug pricing reforms, federal legislation enacted in 2021 eliminates the statutory cap on Medicaid drug rebate program rebates (currently set at 100% of a drug’s “average manufacturer price”), effective January 1, 2024.</w:t>
      </w:r>
    </w:p>
    <w:p>
      <w:pPr>
        <w:spacing w:after="0" w:line="100"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Legally mandated price controls on payment amounts by third-party payors or other restrictions could harm our business, financial condition, results of operations and prospects. In addition, hospitals and health systems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financial condition, results of operations and prospects.</w:t>
      </w:r>
    </w:p>
    <w:p>
      <w:pPr>
        <w:spacing w:after="0" w:line="28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General legislative cost control measures may also affect reimbursement for our product candidates. The Budget Control Act, as amended, resulted in the imposition of reductions in Medicare (but not Medicaid) payments to providers in 2013 that remain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91"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expect that current and any future healthcare or budget reform measures may result in more rigorous coverage criteria, new payment methodologies and additional downward pressure on the payment that we receive or price that we may charge for any approved product. The implementation of such reforms may prevent us from being able to generate revenue, attain profitability or commercialize our product candidates, if approved.</w:t>
      </w:r>
    </w:p>
    <w:p>
      <w:pPr>
        <w:spacing w:after="0" w:line="152"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we fail to comply with healthcare and other regulations, we could face substantial penalties and our business, operations and financial condition could be adversely affected.</w:t>
      </w:r>
    </w:p>
    <w:p>
      <w:pPr>
        <w:spacing w:after="0" w:line="8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marketing of biopharmaceutical products and related arrangements with healthcare providers, third-party payors, patients and other third parties in the healthcare industry are subject to a wide range of federal and state healthcare laws and regulations that may constrain our business and/or financial arrangements. Restrictions under applicable federal and state healthcare laws and regulations, some of which will apply only if and when we receive marketing approval for a product candidate, include the following:</w:t>
      </w:r>
    </w:p>
    <w:p>
      <w:pPr>
        <w:spacing w:after="0" w:line="248" w:lineRule="exact"/>
        <w:rPr>
          <w:sz w:val="20"/>
          <w:szCs w:val="20"/>
          <w:color w:val="auto"/>
        </w:rPr>
      </w:pPr>
    </w:p>
    <w:p>
      <w:pPr>
        <w:jc w:val="both"/>
        <w:ind w:left="1600" w:right="1179" w:hanging="143"/>
        <w:spacing w:after="0" w:line="252" w:lineRule="auto"/>
        <w:tabs>
          <w:tab w:leader="none" w:pos="16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66"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false claims, false statements and civil monetary penalties laws which prohibit, among other activities, any person from knowingly presenting, or causing to be presented, a false claim for payment of government funds or knowingly making, or causing to be made, a false statement to get a false claim paid and may be implicated if claims are submitted that result from a violation of the federal anti-kickback statute;</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6" w:name="page57"/>
    <w:bookmarkEnd w:id="5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hanging="143"/>
        <w:spacing w:after="0" w:line="257" w:lineRule="auto"/>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Food, Drug, and Cosmetic Act (“FDCA”), which among other things, strictly regulates drug marketing, prohibits manufacturers from marketing such products for off-label use and regulates the distribution of samples;</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50"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so-called “federal sunshine” law, which requires pharmaceutical and medical device companies to monitor and report certain financial interactions with physicians, certain non-physician healthcare practitioners and teaching hospitals to the federal government, as well as certain ownership and investment interests held by these physicians and their immediate family members for re-disclosure to the public;</w:t>
      </w:r>
    </w:p>
    <w:p>
      <w:pPr>
        <w:spacing w:after="0" w:line="57"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57"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analogous state and foreign laws and regulations, such as state anti-bribery, anti-kickback and false claims laws, which may apply to healthcare items or services that are reimbursed by non-governmental third-party payors, including private insurers.</w:t>
      </w:r>
    </w:p>
    <w:p>
      <w:pPr>
        <w:spacing w:after="0" w:line="7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Some state laws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 Other state laws may require pharmaceutical companies to file reports relating to pricing and marketing information, and state and local laws may require registration of pharmaceutical sales representatives.</w:t>
      </w:r>
    </w:p>
    <w:p>
      <w:pPr>
        <w:spacing w:after="0" w:line="23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Efforts to ensure that our business arrangements with third parties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significant civil and criminal penalties, damages, fines, disgorgement, exclusion from participation in government healthcare programs, such as Medicare and Medicaid, imprisonment, and the curtailment or restructuring of our operations, any of which could adversely affect our business, financial condition, results of operations, and prospects.</w:t>
      </w:r>
    </w:p>
    <w:p>
      <w:pPr>
        <w:spacing w:after="0" w:line="149"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Governments outside the United States tend to impose strict price controls, which may adversely affect our revenue, if any.</w:t>
      </w:r>
    </w:p>
    <w:p>
      <w:pPr>
        <w:spacing w:after="0" w:line="70"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some countries, particularly in the EU,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drugs such as our product candidates, with an emphasis on private payors for access to commercial products. If reimbursement of our products, if approved, is unavailable or limited in scope or amount, or if pricing is set at unsatisfactory levels, our business could be materially harmed.</w:t>
      </w:r>
    </w:p>
    <w:p>
      <w:pPr>
        <w:spacing w:after="0" w:line="161" w:lineRule="exact"/>
        <w:rPr>
          <w:sz w:val="20"/>
          <w:szCs w:val="20"/>
          <w:color w:val="auto"/>
        </w:rPr>
      </w:pPr>
    </w:p>
    <w:p>
      <w:pPr>
        <w:jc w:val="both"/>
        <w:ind w:left="1160" w:right="117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We are subject to stringent and evolving U.S. and foreign laws, regulations, rules, contractual obligations, and policies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6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the ordinary course of business, we collect, receive, store, process, generate, use, transfer, disclose, make accessible, protect, secure, dispose of, transmit, and share (collectively, process or processing) personal</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7" w:name="page58"/>
    <w:bookmarkEnd w:id="5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data and other sensitive information, including proprietary and confidential business data, trade secrets, employee data, intellectual property, data we collect about trial participants in connection with clinical trials, and other sensitive third-party data (collectively, sensitive data) .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Various federal, state, local and foreign legislative and regulatory bodies, or self-regulatory organizations, may expand current laws, rules or regulations, enact new laws, rules or regulations or issue revised rules or guidance regarding data privacy and security.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the Health Information Technology for Economic and Clinical Health Act (“HITECH”), imposes specific requirements relating to the privacy, security, and transmission of individually identifiable health information. Additionally, the California Consumer Privacy Act (“CCPA”) applies to personal information of consumers, business representatives, and employees, and among other things requires businesses to provide specific disclosures in privacy notices and honor requests of California residents to exercise certain privacy rights, including the right to opt out of certain disclosures of their information. The CCPA provides for civil penalties of up to $7,500 per violation as well as a private right of action with statutory damages for certain data breaches, thereby potentially increasing risks associated with a data breach. Although the law includes limited exceptions, including for certain information collected as part of clinical trials, the CCPA may impact our processing of personal information and increases our compliance costs. Additionally, the California Privacy Rights Act of 2020 (“CPRA”) significantly expands the CCPA, such as granting additional rights to California residents, including the right to correct personal information and additional opt-out rights. The CPRA also establishes a regulatory agency dedicated to enforcing the CCPA and the CPRA. At least 11 other states have also passed comprehensive privacy laws, and similar laws are being considered in several other states, as well as at the federal and local levels. While these state privacy laws, like the CCPA, also exempt some data processed in the context of clinical trials, these developments further complicate compliance efforts, and increase legal risk and compliance costs for us and the third parties upon whom we rely. In addition to government activity, privacy advocacy groups and technology and other industries are considering various new, additional or different self- regulatory standards that may place additional burdens on us.</w:t>
      </w:r>
    </w:p>
    <w:p>
      <w:pPr>
        <w:spacing w:after="0" w:line="181"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There are also various laws and regulations in other jurisdictions outside the United States relating to data privacy and security, with which we may need to comply. For example, the EU GDPR and the UK’s equivalent (“UK GDPR” and collectively, “GDPR”), impose strict requirements for processing personal data. We also have operations in Asia, and may be subject to new and emerging data privacy regimes such as Japan’s Act on the Protection of Personal Information and China’s Personal Information Protection Law. Notably, the EU GDPR and UK GDPR impose large penalties for noncompliance, including the potential for fines of up to €20 million under the EU GDPR / £17.5 million under the UK GDPR, or 4% of the annual global revenue of the noncompliant entity, whichever is greater. The EU GDPR and UK GDPR also provide for private litigation related to processing of personal data brought by classes of data subjects or consumer protection organizations authorized at law to represent their interests. Additionally, EU member states and other jurisdictions may introduce further conditions, including limitations, and make their own laws and regulations further limiting the processing of special categories of personal data, including personal data related to health, biometric data used for unique identification purposes and genetic information, which could limit our ability to collect, use and share data from the EU and other jurisdictions, and could cause our compliance costs to increase, ultimately adversely affecting our business, financial condition, results of operations and prospects.</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countries whose privacy laws it believes are inadequate. Case law from the Court of Justice of the European Union (“CJEU”), however, states that reliance on the standard contractual clauses—a standard form of contract approved by the European Commission as an</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8" w:name="page59"/>
    <w:bookmarkEnd w:id="5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adequate personal information transfer mechanism—alone may not necessarily be sufficient in all circumstances and that transfers must be assessed on a case-by-case basis. In October 2022, President Biden signed an Executive Order that introduced new mechanisms and safeguards to address the concerns raised by the CJEU in relation to data transfers from the EEA to the United States and which formed the basis of the new EU- US Data Privacy Framework (and corresponding UK data protection framework, collectively the “DPF”), as released on December 13, 2022. The European Commission adoption of its Adequacy Decision means the DPF is effective as an EU GDPR transfer mechanism to U.S. entities self-certified under the DPF. While we have certified as a participant in the DPF, we cannot guarantee that the validity of the DPF will not undergo further legal challenge as occurred with previous transfer mechanisms like the EU/US Privacy Shield.</w:t>
      </w:r>
    </w:p>
    <w:p>
      <w:pPr>
        <w:spacing w:after="0" w:line="249"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and the recently approved DPF,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EU GDPR’s cross-border data transfer limitations.</w:t>
      </w:r>
    </w:p>
    <w:p>
      <w:pPr>
        <w:spacing w:after="0" w:line="99"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In addition to data privacy and security laws, we are also bound by other contractual obligations related to data privacy and security, and our efforts to comply with such obligations may not be successful.</w:t>
      </w:r>
    </w:p>
    <w:p>
      <w:pPr>
        <w:spacing w:after="0" w:line="85"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Each of these laws, rules, regulations and contractual obligations relating to data privacy and security, and any other such changes or new laws, rules, regulations or contractual obligations could impose significant limitations, require changes to our business, or restrict our collection, use, storage or processing of personal information, which may increase our compliance expenses and make our business more costly or less efficient to conduct. In addition, any such changes could compromise our ability to develop an adequate marketing strategy and pursue our growth strategy effectively or even prevent us from providing certain products in jurisdictions in which we currently operate and in which we may operate in the future or incur potential liability in an effort to comply with such legislation, which, in turn, could adversely affect our business, financial condition, results of operations and prospects. Complying with these numerous, complex and often changing regulations is expensive and difficult, and failure to comply with any data privacy or security laws, whether by us, one of our CROs, CMOs or business associates or another third party, could adversely affect our business, financial condition, results of operations and prospects,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The implementation of the CCPA, GDPR and other similar laws have increased our responsibility and liability in relation to personal data that we process, including in clinical trials, and we may in the future be required to put in place additional mechanisms to ensure compliance with these and other applicable laws and regulations,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EEA and other jurisdictions, and we cannot determine the impact such future laws, regulations and standards may have on our business.</w:t>
      </w:r>
    </w:p>
    <w:p>
      <w:pPr>
        <w:spacing w:after="0" w:line="10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Any actual or perceived failure by us or our third-party service providers to comply with any federal, state or foreign laws, rules, regulations, industry self-regulatory principles, industry standards or codes of conduct,</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9" w:name="page60"/>
    <w:bookmarkEnd w:id="5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regulatory guidance, orders to which we may be subject or other legal obligations relating to privacy, data protection, data security or consumer protection could adversely affect our reputation, brand and business. We may also be contractually required to indemnify and hold harmless third parties from the costs or consequences of non-compliance with any laws, rules and regulations or other legal obligations relating to privacy or any inadvertent or unauthorized use or disclosure of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9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cannot assure you that our CROs, CMOs or other third-party service providers with access to our or our suppliers’, manufacturers’, trial participants’ and employees’ sensitive information for which we are responsible will not breach contractual obligations imposed by us, or that they will not experience data security incidents, which could have a corresponding effect on our business, including putting us in breach of our obligations under privacy laws and regulations and/or which could in turn adversely affect our business, financial condition, results of operations and prospects. We cannot assure you that our contractual measures and our own privacy and security-related safeguards will protect us from the risks associated with the third-party processing of such information. Any of the foregoing could adversely affect our business, financial condition, results of operations and prospects.</w:t>
      </w:r>
    </w:p>
    <w:p>
      <w:pPr>
        <w:spacing w:after="0" w:line="9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also publicly post our privacy policies and practices concerning our collection, use, disclosure and other processing of the personal information provided to us by our website visitors and by our customers. Although we endeavor to comply with our public statements and documentation, we may at times fail to do so or be perceived to have failed to do so. Our publication of our privacy policies and other statements we publish that provide promises and assurances about privacy and security can subject us to potential state and federal action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or transfer of personal information or other data, may result in enforcement actions and prosecutions, private litigation, significant fines, penalties and censure, claims for damages by customers and other affected individuals, regulatory inquiries and investigations or adverse publicity and could cause our customers to lose trust in us, any of which could adversely affect our business, financial condition, results of operations and prospects.</w:t>
      </w:r>
    </w:p>
    <w:p>
      <w:pPr>
        <w:spacing w:after="0" w:line="10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330"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8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0" w:name="page61"/>
    <w:bookmarkEnd w:id="6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Our Reliance on Third Parties</w:t>
      </w:r>
    </w:p>
    <w:p>
      <w:pPr>
        <w:spacing w:after="0" w:line="177" w:lineRule="exact"/>
        <w:rPr>
          <w:sz w:val="20"/>
          <w:szCs w:val="20"/>
          <w:color w:val="auto"/>
        </w:rPr>
      </w:pPr>
    </w:p>
    <w:p>
      <w:pPr>
        <w:jc w:val="both"/>
        <w:ind w:left="1160" w:right="1179"/>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We currently rely on a single third-party manufacturer, WuXi Biologics, to supply our product candidates, including certain drug substances and drug products used in our product candidates. If we are unable to source these supplies on a timely basis, at sufficient quantities or at acceptable quality or prices, establish longer-term contracts with our CMOs, or our third party manufacturers fail to comply with applicable regulatory requirements, we will not be able to complete our clinical trials on time and the development of our product candidates may be delayed.</w:t>
      </w:r>
    </w:p>
    <w:p>
      <w:pPr>
        <w:spacing w:after="0" w:line="6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do not own or operate facilities for drug manufacturing, storage, distribution or quality testing. We currently rely on a single third-party manufacturer, WuXi Biologics, located in China, to manufacture and supply the drug substances and drug products for our product candidates, and currently do not have any redundant supply outside of WuXi Biologics, for drug substance and drug product. Reliance on a single third-party manufacturer exposes us to different risks than if we were to manufacture product candidates ourselves. While we believe our current inventory of drug substance and drug product will be sufficient to complete our ongoing trials of obexelimab, our preclinical and clinical development product supplies may be limited, interrupted, terminated or be of unsatisfactory quality or unavailable at acceptable prices. WuXi Biologics does not solely hold any of the necessary intellectual property, technology or know-how required to manufacture our product candidates. However, while we are able to transfer our manufacturing process of our product candidates to another CMO without the involvement of WuXi Biologics, 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w:t>
      </w:r>
    </w:p>
    <w:p>
      <w:pPr>
        <w:spacing w:after="0" w:line="104"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order obexelimab drug substance and drug product pursuant to a master services agreement with WuXi Biologics. If any of our product candidates receives marketing approval, we intend to rely on third-party CMOs for commercial manufacturing. As our product candidates advance through development, we expect to enter into longer-term commercial supply agreements to fulfill and secure our production needs. We are in the process of establishing redundant manufacturing capacity for commercial drug substance and drug product at WuXi Biologics’ facilities in Europe. In addition, we are currently evaluating potential new CMOs not affiliated with WuXi Biologics in the United States and the EU to establish additional sources of supply for drug substance and drug product for both commercial and clinical use. We currently plan to select the additional suppliers for drug substance and drug product in the second half of 2024. For the medical device component of our product (i.e., prefilled syringe or autoinjector), we plan to utilize device assembly facilities in the United States or EU for the global supply.</w:t>
      </w:r>
    </w:p>
    <w:p>
      <w:pPr>
        <w:spacing w:after="0" w:line="101"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do not have long-term supply contracts with any of our CMOs, and they are not obligated to supply drug products to us for any period, in any specified quantity or at any certain price beyond the delivery contemplated by the relevant purchase orders. As a result, our suppliers could stop selling to us at commercially reasonable prices, or at all. Additionally, we have not entered into any agreements for commercial supply of our products, if approved. We may be unsuccessful in negotiating and entering into long-term master supply agreements with certain of our current or future CMOs on favorable terms or at all, which would likely jeopardize our ability to provide any product candidates to participants in clinical trials and products to patients, if approved. Any change in our relationship with our CMO or changes to contractual terms of our agreements with them could adversely affect our business, financial condition, results of operations and prospects. Additionally, legislation and regulations, such as the proposed BIOSECURE Act, a draft of which is in the legislative process in the U.S. Congress, could restrict our ability to enter into long-term commercial</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1" w:name="page62"/>
    <w:bookmarkEnd w:id="6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agreements with certain CMOs if the proposed legislation and regulations are enacted into law. Please see “—Risks Related to Our Reliance on Third Parties—The operations of our suppliers, many of which are located outside of the United States., including our current sole CMO for drug substance and drug product, WuXi Biologics, which is located in China, are subject to additional risks that are beyond our control and that could harm our business, financial condition, results of operations and prospects.”</w:t>
      </w:r>
    </w:p>
    <w:p>
      <w:pPr>
        <w:spacing w:after="0" w:line="10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Furthermore, any of the sole source and limited source suppliers upon whom we rely could stop producing our supplies, cease operations or be acquired by, or enter into exclusive arrangements with, our competitors. Any interruption or delay in the supply of sole source or limited source components for our product candidates, including as a result of us needing to seek alternative sources, which may not be available at reasonable prices or at all, would adversely affect our ability to meet scheduled timelines and budget for the development and commercialization of our product candidates, could result in higher expenses and delayed revenue, if our product candidates are approved,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w:t>
      </w:r>
    </w:p>
    <w:p>
      <w:pPr>
        <w:spacing w:after="0" w:line="103"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manufacturing process for our product candidates is subject to the FDA and comparable foreign regulatory authority review. We and our suppliers and manufacturers, some of which are currently our sole source of supply, must meet applicable manufacturing requirements and undergo rigorous facility and process validation tests required by regulatory authorities in order to comply with regulatory standards, such as cGMPs. If our CMOs cannot successfully manufacture material that conforms to our specifications and regulatory requirements of the FDA or comparable foreign regulatory authorities, we may not be able to rely on their facilities for the manufacture of elements of our product candidates. Additionally, our CMOs may face resource constraints due to labor disputes or unstable political environments that impact their ability to supply product candidates on schedule, which would impact the timing of our clinical trials or commercial supply for any products that may be approved.</w:t>
      </w:r>
    </w:p>
    <w:p>
      <w:pPr>
        <w:spacing w:after="0" w:line="9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expect to continue to rely on CMOs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 requirements,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comparable foreign regulatory authorities could adversely affect our business in a number of ways, including:</w:t>
      </w:r>
    </w:p>
    <w:p>
      <w:pPr>
        <w:spacing w:after="0" w:line="76" w:lineRule="exact"/>
        <w:rPr>
          <w:sz w:val="20"/>
          <w:szCs w:val="20"/>
          <w:color w:val="auto"/>
        </w:rPr>
      </w:pPr>
    </w:p>
    <w:p>
      <w:pPr>
        <w:ind w:left="1600" w:hanging="143"/>
        <w:spacing w:after="0"/>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initiate or continue preclinical studies or clinical trials of product candidates;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 in submitting regulatory applications, or receiving regulatory approvals, for product candidates;</w:t>
      </w:r>
    </w:p>
    <w:p>
      <w:pPr>
        <w:spacing w:after="0" w:line="256"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loss of the cooperation of existing or future collaborators;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requirements to cease distribution or to recall batches of our product candidates; and</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approval to market and commercialize a product candidate, an inability to meet commercial demands for our products.</w:t>
      </w:r>
    </w:p>
    <w:p>
      <w:pPr>
        <w:spacing w:after="0" w:line="8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the event that any of our manufacturers fails to comply with regulatory requirements or to perform its obligations in relation to quality, timing or otherwise, or if our projected manufacturing capacity or supply of materials becomes limited, interrupted or more costly than anticipated, we may need to secure manufacturing from a different third party, which we may not be able to do timely or on reasonable terms, if at all. 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The delays and costs</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2" w:name="page63"/>
    <w:bookmarkEnd w:id="6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associated with the verification of a new manufacturer could negatively affect our ability to develop product candidates in a timely manner or within budget.</w:t>
      </w:r>
    </w:p>
    <w:p>
      <w:pPr>
        <w:spacing w:after="0" w:line="137" w:lineRule="exact"/>
        <w:rPr>
          <w:sz w:val="20"/>
          <w:szCs w:val="20"/>
          <w:color w:val="auto"/>
        </w:rPr>
      </w:pPr>
    </w:p>
    <w:p>
      <w:pPr>
        <w:jc w:val="both"/>
        <w:ind w:left="1160" w:right="117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We have relied and expect to continue to rely on third parties to conduct our preclinical studies and clinical trials. If those third parties do not perform as contractually required, fail to satisfy legal or regulatory requirements, miss deadlines or terminate the relationship, our development programs could be delayed, more costly or unsuccessful, and we may never be able to seek or obtain regulatory approval for or commercialize our product candidates.</w:t>
      </w:r>
    </w:p>
    <w:p>
      <w:pPr>
        <w:spacing w:after="0" w:line="8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rely and intend to continue to rely on third-party clinical investigators, CROs and clinical data management organizations to conduct, supervise and monitor preclinical studies and clinical trials of our current and future product candidates. Because of this reliance, we have less control over the timing, quality and other aspects of preclinical studies and clinical trials than if we conduct them ourselves. Third parties are not our employees and we have limited control over the amount of time and resources that they dedicate to our programs. Additionally, such parties have contractual relationships with other entities, some of which may be our competitors, which may divert time and resources from our programs.</w:t>
      </w:r>
    </w:p>
    <w:p>
      <w:pPr>
        <w:spacing w:after="0" w:line="104"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Our reliance on third parties reduces our control over our development activities. Nevertheless, we are responsible for ensuring that each of our clinical trials is conducted in accordance with the applicable trial protocol and legal, regulatory and scientific standards. For example, we remain responsible for ensuring that each of our preclinical studies are conducted in accordance with good laboratory practices (“GLPs”) and clinical trials are conducted in accordance with GCPs. Moreover, the FDA and comparable foreign regulatory authorities require us to comply with GCP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submitted to the FDA) of trial sponsors, clinical investigators, trial sites and certain third parties including CROs.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Moreover, our business may be significantly impacted if our CROs, clinical investigators or other third parties violate federal or state healthcare fraud and abuse or false claims laws and regulations or healthcare privacy and security laws.</w:t>
      </w:r>
    </w:p>
    <w:p>
      <w:pPr>
        <w:spacing w:after="0" w:line="9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If our third party contractors do not successfully carry out their contractual duties, meet deadlines or conduct our clinical trials in accordance with regulatory requirements or our stated protocols, our clinical trials may need to be repeated, extended, delayed or terminated, we may not be able to obtain, or may be delayed in obtaining, marketing approvals for our product candidates,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w:t>
      </w:r>
    </w:p>
    <w:p>
      <w:pPr>
        <w:spacing w:after="0" w:line="279"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If any of our relationships with these third parties terminate, we may not be able to enter into alternative arrangements or do so on commercially reasonable terms. Switching or adding contractors involves cost, takes time and diverts management’s attention. In addition, there is a natural transition period when a new third party commences work. Delays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28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addition, principal investigators for our clinical trials may serve as scientific advisors or consultants to us from time to time and receive compensation in connection with such services. We may be required to report some of these relationships to the FDA, and the FDA may conclude that a financial relationship between us and/or a principal investigator has created a conflict of interest or otherwise affects interpretation of the study. The FDA may therefore question the integrity of the data generated at the applicable clinical trial site and the utility of the clinical trial itself may be jeopardized. This could result in a delay in approval, or rejection,</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3" w:name="page64"/>
    <w:bookmarkEnd w:id="6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of our marketing applications by the FDA and may ultimately lead to the denial of regulatory approval of one or more of our product candidates.</w:t>
      </w:r>
    </w:p>
    <w:p>
      <w:pPr>
        <w:spacing w:after="0" w:line="126"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may have conflicts with our current or future licensors or collaborators that could delay or prevent the development or commercialization of our product candidates.</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are currently party to license and collaboration agreements with Xencor and BMS, and we expect to enter into similar strategic transactions in the future. Our current or any future collaborators may act in a manner that is adverse to our best interests and our interests may conflict with theirs, including concerning the interpretation of preclinical or clinical data, the achievement of milestones, the interpretation of contractual obligations, payments for services, development obligations or the ownership of intellectual property developed during our collaboration. Any disagreement could result in one or more of the following, each of which could delay or prevent the development or commercialization of our product candidates, and in turn prevent us from generating revenue: disputes regarding milestone payments or royalties; uncertainty regarding ownership of intellectual property rights arising from our collaborative activities, which could prevent us from entering into additional collaborations; unwillingness by the collaborator to cooperate in the development or manufacture of a product candidate, including providing us with data or materials; unwillingness on the part of a collaborator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w:t>
      </w:r>
    </w:p>
    <w:p>
      <w:pPr>
        <w:spacing w:after="0" w:line="284"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Our rights to develop and commercialize our product candidates are subject, in large part, to the terms and conditions of licenses granted to us by others, such as Xencor. If we fail to comply with our obligations in the agreements under which we in-license or acquire development or commercialization rights to product candidates, or data from third parties, we could lose such rights that are important to our business.</w:t>
      </w:r>
    </w:p>
    <w:p>
      <w:pPr>
        <w:spacing w:after="0" w:line="9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are heavily reliant upon licenses to certain patent rights and other intellectual property that are important or necessary to the development of our current or future product candidates. For example, we depend on licenses from Xencor for certain intellectual property relating to the development and commercialization of obexelimab, ZB002 and ZB004. However, we have no development and commercialization rights for obexelimab in Japan, South Korea, Taiwan, Hong Kong, Singapore, and Australia, all of which rights have been sublicensed to BMS.</w:t>
      </w:r>
    </w:p>
    <w:p>
      <w:pPr>
        <w:spacing w:after="0" w:line="97"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Xencor may have relied upon, and any future licensors may rely upon, third-party companies, consultants or collaborators, or on funds from third parties such that our licensors are not the sole and exclusive owners of the patents we in-licensed. If our licensors, including Xencor, fail to prosecute, maintain, enforce, and defend such patents, or lose rights to those patents, the rights we have licensed may be reduced or eliminated, and our right to develop and commercialize our current or future product candidates that are or may be the subject of such licensed rights could be adversely affected. Further development and commercialization of our product candidates and development of any future product candidates may require us to enter into additional license or collaboration agreements. For example, our licensors or other third parties may obtain intellectual property covering our current or future product candidates which we have not licensed. Our future licenses may not provide us with exclusive rights to use the licensed patent rights and other intellectual property licensed thereunder, or may not provide us with exclusive rights to use such patent rights and intellectual property in all relevant fields of use and in all territories in which we wish to develop or commercialize our current or future product candidates.</w:t>
      </w:r>
    </w:p>
    <w:p>
      <w:pPr>
        <w:spacing w:after="0" w:line="9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spite of our efforts, Xencor or any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developing or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4" w:name="page65"/>
    <w:bookmarkEnd w:id="6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color w:val="auto"/>
        </w:rPr>
        <w:t>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and compete with our existing product candidates. Any of these events could adversely affect our business, financial condition, results of operations, and prospects.</w:t>
      </w:r>
    </w:p>
    <w:p>
      <w:pPr>
        <w:spacing w:after="0" w:line="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Disputes may arise regarding intellectual property subject to a licensing agreement, including:</w:t>
      </w:r>
    </w:p>
    <w:p>
      <w:pPr>
        <w:spacing w:after="0" w:line="80" w:lineRule="exact"/>
        <w:rPr>
          <w:sz w:val="20"/>
          <w:szCs w:val="20"/>
          <w:color w:val="auto"/>
        </w:rPr>
      </w:pPr>
    </w:p>
    <w:p>
      <w:pPr>
        <w:ind w:left="1600" w:hanging="143"/>
        <w:spacing w:after="0"/>
        <w:tabs>
          <w:tab w:leader="none" w:pos="16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of rights granted under the license agreement and other interpretation-related issues;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financial or other obligations under the license agreement;</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our processes infringe on intellectual property of the licensor that is not subject to the licensing agreement;</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sublicensing of patent and other rights under our collaborative development relationships;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diligence obligations under the license agreement and what activities satisfy those obligations;</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inventorship or ownership of inventions and know-how resulting from the joint creation or use of intellectual property by our licensors and us and our partners; and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priority of invention of patented technology.</w:t>
      </w:r>
    </w:p>
    <w:p>
      <w:pPr>
        <w:spacing w:after="0" w:line="11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increase what we believe to be our financial or other obligations under the relevant agreement, either of which could adversely affect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adversely affect our business, financial condition, results of operations, and prospects.</w:t>
      </w:r>
    </w:p>
    <w:p>
      <w:pPr>
        <w:spacing w:after="0" w:line="311"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The operations of our suppliers, many of which are located outside of the United States, including our current sole CMO for drug substance and drug product, WuXi Biologics, which is located in China, are subject to additional risks that are beyond our control and that could harm our business, financial condition, results of operations and prospects.</w:t>
      </w:r>
    </w:p>
    <w:p>
      <w:pPr>
        <w:spacing w:after="0" w:line="94"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Currently, many of our suppliers primarily operate outside of the United States, including our current sole CMO, WuXi Biologics, which provides its services to us from facilities located in China. As a result, we are subject to risks associated with doing business abroad, including:</w:t>
      </w:r>
    </w:p>
    <w:p>
      <w:pPr>
        <w:spacing w:after="0" w:line="63" w:lineRule="exact"/>
        <w:rPr>
          <w:sz w:val="20"/>
          <w:szCs w:val="20"/>
          <w:color w:val="auto"/>
        </w:rPr>
      </w:pPr>
    </w:p>
    <w:p>
      <w:pPr>
        <w:jc w:val="both"/>
        <w:ind w:left="1600" w:right="1179" w:hanging="143"/>
        <w:spacing w:after="0" w:line="262"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geopolitical tensions, political unrest, terrorism, labor disputes and economic instability resulting in the disruption of trade from foreign countries in which our products are manufactured, particularly China;</w:t>
      </w:r>
    </w:p>
    <w:p>
      <w:pPr>
        <w:spacing w:after="0" w:line="238"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imposition of new laws and regulations, including those relating to labor conditions and safety standards, information and data transfer, imports, duties, taxes, and other charges on imports, as well as trade restrictions and restrictions on currency exchange or the transfer of funds, particularly new or increased tariffs imposed on imports from countries where our suppliers operate, including China, pursuant to our master supply agreement with WuXi Biologics;</w:t>
      </w:r>
    </w:p>
    <w:p>
      <w:pPr>
        <w:spacing w:after="0" w:line="57"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greater challenges and increased costs with enforcing and periodically auditing or reviewing our suppliers’ and manufacturers’ compliance with cGMPs or status acceptable to the FDA or comparable foreign regulatory authorities;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protection for intellectual property rights, including trade secret protection, in some countries, particularly China;</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disruptions in operations due to global, regional, or local epidemics, pandemics and other public health crises, or other emergencies or natural disasters;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disruptions or delays in shipments; and</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5" w:name="page66"/>
    <w:bookmarkEnd w:id="6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  changes in local economic conditions in countries where our manufacturers or suppliers are located.</w:t>
      </w:r>
    </w:p>
    <w:p>
      <w:pPr>
        <w:spacing w:after="0" w:line="12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If enacted, the BIOSECURE Act, which was introduced this year in Congress, would prohibit U.S. federal agencies from entering into or renewing a contract with any company that uses biotechnology equipment or services produced or provided by a “biotechnology company of concern” in the performance of that contract. This legislation would restrict the ability of biopharmaceutical companies that enter into contracts with or receive funding from U.S. federal agencies from purchasing services or equipment from certain Chinese biotechnology companies, including those that are specifically named in the proposed BIOSECURE Act. The current version of the BIOSECURE Act introduced in the House of Representatives names WuXi Biologics as a “biotechnology company of concern.”</w:t>
      </w:r>
    </w:p>
    <w:p>
      <w:pPr>
        <w:spacing w:after="0" w:line="10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If adopted into law, the BIOSECURE Act in its current form would not prevent us from sourcing drug product from WuXi Biologics for clinical use, and we believe our current inventory of drug substance and drug product will be sufficient to complete our ongoing trials of obexelimab. Depending on the final language of the BIOSECURE Act, and how the law is interpreted by U.S. federal agencies, however, we could be potentially restricted from pursuing U.S. federal government business or government reimbursement for our products if we enter into long-term commercial arrangements with WuXi Biologics or other suppliers or partners determined to be “biotechnology companies of concern.” Additionally, the legislation could adversely impact WuXi Biologics’ operations or financial position, which, in turn, could impact its ability to supply us with product in the future. We may also face additional manufacturing and supply-chain risks due to the regulatory and political structure of China, or due to the deterioration of the relationship between China and the U.S., including but not limited to potential sanctions imposed by the U.S. government on WuXi Biologics, or any of the other countries in which our products are marketed.</w:t>
      </w:r>
    </w:p>
    <w:p>
      <w:pPr>
        <w:spacing w:after="0" w:line="9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also are currently evaluating potential new contract manufacturing organizations in the United States and the EU to establish additional sources or supply for drug substance and drug product for both commercial and clinical use with third-party manufacturers that are not affiliated with WuXi Biologics or another “biotechnology company of concern” identified in the proposed BIOSECURE Act. However, securing new manufacturers requires significant effort and time and there may be a limited number of qualified replacement CMOs, and a delay in securing, or inability to secure, a commercial supplier of drug substance or drug product for a product candidate, if approved, would delay commercialization timelines or prevent commercial sales if manufacturers cannot be qualified. For additional information on risks related to our current reliance on a sole manufacturer, please see “— Risks Related to Our Reliance on Third Parties — We currently rely on a single third-party manufacturer, WuXi Biologics, to supply our product candidates, including certain drug substances and drug products used in our product candidates. If we are unable to source these supplies on a timely basis, at sufficient quantities or at acceptable quality or prices, establish longer-term contracts with our CMOs, or our third party manufacturers fails to comply with applicable regulatory requirements, we will not be able to complete our clinical trials on time and the development of our product candidates may be delayed.”</w:t>
      </w:r>
    </w:p>
    <w:p>
      <w:pPr>
        <w:spacing w:after="0" w:line="282"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These and other factors beyond our control could interrupt our suppliers’ production, influence the ability of our suppliers to export our clinical supplies cost-effectively or at all and inhibit our suppliers’ ability to procure certain materials, any of which could delay our clinical trials or otherwise harm our business, financial condition, results of operations and prospects.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this Offering and Ownership of Our Common Stock</w:t>
      </w:r>
    </w:p>
    <w:p>
      <w:pPr>
        <w:spacing w:after="0" w:line="177"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An active and liquid trading market for our common stock may not develop, and you may not be able to resell your shares of common stock at or above the public offering price, if at all.</w:t>
      </w:r>
    </w:p>
    <w:p>
      <w:pPr>
        <w:spacing w:after="0" w:line="8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Prior to this offering, no market for shares of our common stock existed. We have applied to list our common stock on Nasdaq under the symbol “ZBIO,” and this offering is contingent upon obtaining such approval. Assuming that our common stock is listed, an active or liquid trading market for our common stock may never develop or be sustained following the completion of this offering. To the extent certain of our existing stockholders and their affiliated entities participate in this offering, such purchases would reduce the non-affiliated public float of our shares, meaning the number of shares of our common stock that are not held by officers, directors and affiliated stockholders. A reduction in the public float could reduce the number of shares that are available to be traded at any given time, thereby adversely impacting the liquidity of our</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6" w:name="page67"/>
    <w:bookmarkEnd w:id="6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common stock and depressing the price at which you may be able to sell your shares. Moreover, the initial public offering price for our common stock will be determined through negotiations with the underwriters, and may vary from the market price of our common stock following the completion of this offering. As a result of these and other factors, you may be unable to resell your shares of our common stock at or above the initial public offering price or at a price that you consider reasonable. Furthermore, an inactive market may reduce the fair market value of your shares, impair our ability to raise capital by selling shares of our common stock in the future, and may impair our ability to enter into strategic collaborations or acquire companies or products by using our shares of common stock as consideration.</w:t>
      </w:r>
    </w:p>
    <w:p>
      <w:pPr>
        <w:spacing w:after="0" w:line="152"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The market price of our common stock may be volatile, which could result in substantial losses for investors purchasing shares in this offering.</w:t>
      </w:r>
    </w:p>
    <w:p>
      <w:pPr>
        <w:spacing w:after="0" w:line="81"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The initial public offering price for our common stock was determined through negotiations with the underwriters. This initial public offering price may vary from the market price of our common stock after the offering. As a result, you may not be able to sell your common stock at or above the initial public offering price. Some of the factors that may cause the market price of our common stock to fluctuate include:</w:t>
      </w:r>
    </w:p>
    <w:p>
      <w:pPr>
        <w:spacing w:after="0" w:line="245" w:lineRule="exact"/>
        <w:rPr>
          <w:sz w:val="20"/>
          <w:szCs w:val="20"/>
          <w:color w:val="auto"/>
        </w:rPr>
      </w:pPr>
    </w:p>
    <w:p>
      <w:pPr>
        <w:ind w:left="1600" w:right="1179" w:hanging="143"/>
        <w:spacing w:after="0" w:line="269" w:lineRule="auto"/>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volatility in our operating results or the failure of our operating results to meet the expectations of investors or securities analysts;</w:t>
      </w:r>
    </w:p>
    <w:p>
      <w:pPr>
        <w:spacing w:after="0" w:line="63"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existing or new competitive product candidates or technologies;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and results of preclinical and clinical studies for any product candidates that we may develop;</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or discontinuation of any of our product development and research programs;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commercialize our product candidates;</w:t>
      </w:r>
    </w:p>
    <w:p>
      <w:pPr>
        <w:spacing w:after="0" w:line="10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the development of companion diagnostics, if required, for use with our product candidates;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62" w:lineRule="auto"/>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results of preclinical studies, clinical trials, or regulatory approvals of product candidates of our competitors, or announcements about new research programs or product candidates of our competitors;</w:t>
      </w:r>
    </w:p>
    <w:p>
      <w:pPr>
        <w:spacing w:after="0" w:line="238"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commencement or termination of collaborations for our product development and research programs;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or legal developments in the United States and other countries;</w:t>
      </w:r>
    </w:p>
    <w:p>
      <w:pPr>
        <w:spacing w:after="0" w:line="10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or disputes concerning patent applications, issued patents, or other proprietary rights;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recruitment or departure of key personnel;</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level of expenses related to any of our research programs or product candidates that we may develop;</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results of our efforts to develop additional product candidates or products;</w:t>
      </w:r>
    </w:p>
    <w:p>
      <w:pPr>
        <w:spacing w:after="0" w:line="10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changes in estimates as to financial results, development timelines, or recommendations by securities analysts;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 or expectation of additional financing efforts;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or perceived potential sales of our common stock by us, our insiders or other stockholders;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expiration of market stand-off or lock-up agreements;</w:t>
      </w:r>
    </w:p>
    <w:p>
      <w:pPr>
        <w:spacing w:after="0" w:line="102"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changes to our relationship with manufacturers, suppliers, collaborators or other strategic partners;</w:t>
      </w:r>
    </w:p>
    <w:p>
      <w:pPr>
        <w:spacing w:after="0" w:line="256"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manufacturing or supply shortages;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variations in our financial results or those of companies that are perceived to be similar to us;</w:t>
      </w:r>
    </w:p>
    <w:p>
      <w:pPr>
        <w:spacing w:after="0" w:line="10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estimates or recommendations by securities analysts, if any, that cover our stock;</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press reports, whether or not true, about our business;</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7" w:name="page68"/>
    <w:bookmarkEnd w:id="6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meet the estimates and projections of the investment community or that we may otherwise provide to the public;</w:t>
      </w:r>
    </w:p>
    <w:p>
      <w:pPr>
        <w:spacing w:after="0" w:line="63"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structure of healthcare payment systems;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the valuation of companies perceived by investors to be comparable to us;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 or expectation of additional financing efforts;</w:t>
      </w:r>
    </w:p>
    <w:p>
      <w:pPr>
        <w:spacing w:after="0" w:line="10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obtain additional funding;</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conditions in the pharmaceutical and biotechnology sectors;</w:t>
      </w:r>
    </w:p>
    <w:p>
      <w:pPr>
        <w:spacing w:after="0" w:line="10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global economic, industry, political and market conditions, such as military conflict or war, inflation and financial institution instability, or pandemic or epidemic disease outbreaks, such as COVID-19, many of which are beyond our control; and</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other factors described in this “Risk Factors” section and elsewhere in this prospectus, including those which are outside of our control.</w:t>
      </w:r>
    </w:p>
    <w:p>
      <w:pPr>
        <w:spacing w:after="0" w:line="8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the completion of this offering. The market price of our common stock may decline below the initial public offering price, and you may lose some or all of your investment.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You will incur immediate and substantial dilution as a result of the completion of this offering.</w:t>
      </w:r>
    </w:p>
    <w:p>
      <w:pPr>
        <w:spacing w:after="0" w:line="117"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If you purchase common stock in this offering, you will incur immediate and substantial dilution of $        per share, representing the difference between the assumed initial public offering price of $        per share, which is the midpoint of the estimated price range set forth on the cover page of this prospectus, and our pro forma net tangible book value per share as of June 30, 2024 after giving effect to the completion of this offering. To the extent that shares are issued upon the exercise of options or the underwriters exercise their over-allotment option, you will incur further dilution. For a further description of the dilution you will experience immediately after the completion of this offering, see the section titled “Dilution.”</w:t>
      </w:r>
    </w:p>
    <w:p>
      <w:pPr>
        <w:spacing w:after="0" w:line="155"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9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Sales of a substantial number of shares of our common stock in the public market could occur at any time. These sales upon the expiration of the lock-up agreements (described in the “Underwriting” section of this prospectus), the early release of the lock-ups, or the perception in the market that the holders of a large number of shares of common stock intend to sell shares, could reduce the market price of our common stock. After the completion of this offering, we will have                     shares of common stock outstanding, or            shares if the underwriters exercise their over-allotment option in full, in each case based on the</w:t>
      </w:r>
    </w:p>
    <w:p>
      <w:pPr>
        <w:spacing w:after="0" w:line="4" w:lineRule="exact"/>
        <w:rPr>
          <w:sz w:val="20"/>
          <w:szCs w:val="20"/>
          <w:color w:val="auto"/>
        </w:rPr>
      </w:pPr>
    </w:p>
    <w:p>
      <w:pPr>
        <w:jc w:val="right"/>
        <w:ind w:left="1160" w:right="1179"/>
        <w:spacing w:after="0" w:line="244" w:lineRule="auto"/>
        <w:rPr>
          <w:sz w:val="20"/>
          <w:szCs w:val="20"/>
          <w:color w:val="auto"/>
        </w:rPr>
      </w:pPr>
      <w:r>
        <w:rPr>
          <w:rFonts w:ascii="Times New Roman" w:cs="Times New Roman" w:eastAsia="Times New Roman" w:hAnsi="Times New Roman"/>
          <w:sz w:val="15"/>
          <w:szCs w:val="15"/>
          <w:color w:val="auto"/>
        </w:rPr>
        <w:t>shares of our common stock outstanding as of                     2024. Of these shares, the        shares (or shares if the underwriters exercise their over-allotment option in full) we are selling in this offering may be resold in the public market immediately, unless purchased by our affiliates. The remaining shares</w:t>
      </w:r>
    </w:p>
    <w:p>
      <w:pPr>
        <w:spacing w:after="0" w:line="1" w:lineRule="exact"/>
        <w:rPr>
          <w:sz w:val="20"/>
          <w:szCs w:val="20"/>
          <w:color w:val="auto"/>
        </w:rPr>
      </w:pPr>
    </w:p>
    <w:p>
      <w:pPr>
        <w:jc w:val="both"/>
        <w:ind w:left="1160" w:right="1179"/>
        <w:spacing w:after="0" w:line="245" w:lineRule="auto"/>
        <w:rPr>
          <w:sz w:val="20"/>
          <w:szCs w:val="20"/>
          <w:color w:val="auto"/>
        </w:rPr>
      </w:pPr>
      <w:r>
        <w:rPr>
          <w:rFonts w:ascii="Times New Roman" w:cs="Times New Roman" w:eastAsia="Times New Roman" w:hAnsi="Times New Roman"/>
          <w:sz w:val="15"/>
          <w:szCs w:val="15"/>
          <w:color w:val="auto"/>
        </w:rPr>
        <w:t>are currently restricted under securities laws or as a result of lock-up or other agreements, but will be able to be sold after the completion of this offering as described in the “Shares Eligible for Future Sale” section of this prospectus. The representatives of the underwriters may release some or all of the shares of common stock subject to lock-up agreements at any time in their sole discretion and without notice, except for directors and officers, which would allow for earlier sales of shares in the public market.</w:t>
      </w: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8" w:name="page69"/>
    <w:bookmarkEnd w:id="6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Moreover, after the completion of this offering, holders of an aggregate of                    shares of our common stock will have rights, subject to conditions, to require us to file registration statements covering their shares or to include their shares in registration statements that we may file for ourselves or other stockholders. We also plan to register all shares of common stock that we may issue under our equity compensation plans or that are issuable upon exercise of outstanding options. Once we register these shares, they can be freely sold in the public market upon issuance and once vested, subject to volume limitations applicable to affiliates and the lock-up agreements described in the “Underwriting” section of this prospectus. If any of these additional shares are sold, or if it is perceived that they will be sold, in the public market, the market price of our common stock could decline.</w:t>
      </w:r>
    </w:p>
    <w:p>
      <w:pPr>
        <w:spacing w:after="0" w:line="148"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Insiders will continue to have substantial influence over us after the completion of this offering, which could limit your ability to affect the outcome of key transactions, including a change of control.</w:t>
      </w:r>
    </w:p>
    <w:p>
      <w:pPr>
        <w:spacing w:after="0" w:line="70"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After the completion of this offering, our directors, executive officers and greater than 5% stockholders and their affiliates, in the aggregate, will beneficially own shares representing approximately         % of our outstanding common stock (assuming no exercise of the underwriters’ over-allotment option and no exercise of outstanding options). As a result, these stockholders, if they act together, will be able to influence our management and affairs and all matters requiring stockholder approval, including the election of directors and approval of significant corporate transactions. The interests of these holders may not always coincide with our corporate interests or the interests of other stockholders, and they may act in a manner with which you may not agree or that may not be in the best interests of our other stockholders. This concentration of ownership may have the effect of delaying or preventing a change in control of our company and might affect the market price of our common stock.</w:t>
      </w:r>
    </w:p>
    <w:p>
      <w:pPr>
        <w:spacing w:after="0" w:line="149"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Because we do not anticipate paying any cash dividends on our common stock in the foreseeable future, capital appreciation, if any, will be your sole source of gain.</w:t>
      </w:r>
    </w:p>
    <w:p>
      <w:pPr>
        <w:spacing w:after="0" w:line="82"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We have never declared or paid any cash dividends on our common stock. We currently anticipate that we will retain future earnings for the development, operation and expansion of our business and do not anticipate declaring or paying any cash dividends in the foreseeable future. As a result, capital appreciation, if any, of our common stock will be your sole source of gain on an investment in our common stock in the foreseeable future. See the section titled “Dividend Policy” for additional information.</w:t>
      </w:r>
    </w:p>
    <w:p>
      <w:pPr>
        <w:spacing w:after="0" w:line="159"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are an “emerging growth company,” and the reduced disclosure requirements applicable to emerging growth companies may make our common stock less attractive to investors.</w:t>
      </w:r>
    </w:p>
    <w:p>
      <w:pPr>
        <w:spacing w:after="0" w:line="8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are an “emerging growth company,” as defined in the JOBS Act and we may remain an emerging growth company until December 31, 2029.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05"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9" w:name="page70"/>
    <w:bookmarkEnd w:id="6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financial statements may not be directly comparable to those of other public companies.</w:t>
      </w:r>
    </w:p>
    <w:p>
      <w:pPr>
        <w:spacing w:after="0" w:line="320"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Provisions in our Restated Charter, our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8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Restated Charter and Restated Bylaws, which will become effective prior to the completion of this offering,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Restated Charter and Restated Bylaws, which will become effective prior to the completion of this offering, include provisions that:</w:t>
      </w:r>
    </w:p>
    <w:p>
      <w:pPr>
        <w:spacing w:after="0" w:line="225" w:lineRule="exact"/>
        <w:rPr>
          <w:sz w:val="20"/>
          <w:szCs w:val="20"/>
          <w:color w:val="auto"/>
        </w:rPr>
      </w:pPr>
    </w:p>
    <w:p>
      <w:pPr>
        <w:jc w:val="both"/>
        <w:ind w:left="1600" w:right="1179" w:hanging="143"/>
        <w:spacing w:after="0" w:line="257" w:lineRule="auto"/>
        <w:tabs>
          <w:tab w:leader="none" w:pos="1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 “blank check” preferred stock, which could be issued by our board of directors without stockholder approval and may contain voting, liquidation, dividend and other rights superior to our common stock;</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create a classified board of directors whose members serve staggered three-year terms;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specify that special meetings of our stockholders can be called only by our board of directors;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prohibit stockholder action by written consent;</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that vacancies on our board of directors may be filled only by a majority of directors then in office, even though less than a quorum;</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that our directors may be removed only for cause;</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specify that no stockholder is permitted to cumulate votes at any election of directors;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expressly authorize our board of directors to modify, alter or repeal our Restated Bylaws; and</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 supermajority votes of the holders of our common stock to amend specified provisions of our Restated Charter and Restated Bylaws.</w:t>
      </w:r>
    </w:p>
    <w:p>
      <w:pPr>
        <w:spacing w:after="0" w:line="8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spacing w:after="0" w:line="96"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In addition, because we are incorporated in the State of Delaware, we are governed by the provisions of Section 203 of the General Corporation Law of the State of Delaware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94"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Any provision of our Restated Charter,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46"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Our Restated Charter will designate specific courts as the sole and exclusive forum for certain claims or causes of action that may be brought by our stockholders, which could discourage lawsuits against us and our directors and officers.</w:t>
      </w:r>
    </w:p>
    <w:p>
      <w:pPr>
        <w:spacing w:after="0" w:line="87"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Our Restated Charter will provide that, subject to limited exceptions, the Court of Chancery of the State of Delaware (or, if, and only if, the Court of Chancery of the State of Delaware dismisses a Covered Claim (as defined below) for lack of subject matter jurisdiction, any other state or federal court in the State of Delaware</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0" w:name="page71"/>
    <w:bookmarkEnd w:id="7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that does have subject matter jurisdiction) will, to the fullest extent permitted by applicable law, be the sole and exclusive forum for the following types of claims: (i) any derivative claim brought in the right of the Company, (ii) any claim asserting a breach of a fiduciary duty to the Company or the Company’s stockholders owed by any current or former director, officer or other employee or stockholder of the Company, (iii) any claim against the Company arising pursuant to any provision of the DGCL, our Restated Charter or Restated Bylaws, (iv) any claim to interpret, apply, enforce or determine the validity of our Restated Charter or Restated Bylaws, (v) any claim against the Company governed by the internal affairs doctrine, and (vi) any other claim, not subject to exclusive federal jurisdiction and not asserting a cause of action arising under the Securities Act of 1933, as amended (the “Securities Act”), brought in any action asserting one or more of the claims specified in clauses (a)(i) through (v) herein above (each a “Covered Claim”). This provision would not apply to claims brought to enforce a duty or liability created by the Exchange Act.</w:t>
      </w:r>
    </w:p>
    <w:p>
      <w:pPr>
        <w:spacing w:after="0" w:line="24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Restated Charter will further provide that the federal district courts of the United States of America will be the exclusive forum for resolving any complaint asserting a cause of action arising under the Securities Act. In addition, our Restated Charter will provide that any person or entity purchasing or otherwise acquiring any interest in the shares of capital stock of the Company will be deemed to have notice of and consented to these choice-of-forum provisions and waived any argument relating to the inconvenience of the forums in connection with any Covered Claim.</w:t>
      </w:r>
    </w:p>
    <w:p>
      <w:pPr>
        <w:spacing w:after="0" w:line="97"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The choice of forum provisions to be contained in our Restated Charter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While the Delaware courts have determined that such choice of forum provisions are facially valid, it is possible that a court of law in another jurisdiction could rule that the choice of forum provisions to be contained in our Restated Charter are inapplicable or unenforceable if they are challenged in a proceeding or otherwise, which could cause us to incur additional costs associated with resolving such action in other jurisdictions. The choice of forum provisions may also impose additional litigation costs on stockholders who assert that the provisions are not enforceable or invalid.</w:t>
      </w:r>
    </w:p>
    <w:p>
      <w:pPr>
        <w:spacing w:after="0" w:line="1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cannot specify with certainty the particular uses of the net proceeds we will receive from this offering. Our management will have broad discretion in the application of the net proceeds, including for any of the purposes described in the “Use of Proceeds” section of this prospectus. Accordingly, you will have to rely upon the judgment of our management with respect to the use of the proceeds, with only limited information concerning management’s specific intentions.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148"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Participation in this offering by our existing stockholders and/or their affiliated entities may reduce the public float for our common stock.</w:t>
      </w:r>
    </w:p>
    <w:p>
      <w:pPr>
        <w:spacing w:after="0" w:line="70"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General Risk Factors</w:t>
      </w:r>
    </w:p>
    <w:p>
      <w:pPr>
        <w:spacing w:after="0" w:line="17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Unstable economic and market conditions may have serious adverse consequences on our business, financial condition and stock price.</w:t>
      </w:r>
    </w:p>
    <w:p>
      <w:pPr>
        <w:spacing w:after="0" w:line="82"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Global economic and business activities continue to face widespread uncertainties, and global credit and financial markets have experienced extreme volatility and disruptions in the past several years, including</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1" w:name="page72"/>
    <w:bookmarkEnd w:id="7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(for example, related to the ongoing Russia-Ukraine conflict).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There can be no assurance that further deterioration in economic or market conditions will not occur, or how long these challenges will persist. If the current equity and credit markets further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4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If securities or industry analysts do not publish research or reports about our business, or if they publish inaccurate or unfavorable research about our business, our stock price and trading volume could decline.</w:t>
      </w:r>
    </w:p>
    <w:p>
      <w:pPr>
        <w:spacing w:after="0" w:line="82"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commence coverage of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148"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7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After the completion of this offering, as a public company, and particularly after we are no longer an emerging growth company, we will incur significant legal, accounting and other expenses that we did not incur as a private company. The Securities Act, the Exchange Act, Sarbanes-Oxley Act, the Dodd -Frank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56"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spacing w:after="0" w:line="8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are not currently required to comply with the rules of the Securities and Exchange Commission (“SEC”) implementing Section 404 of the Sarbanes -Oxley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2" w:name="page73"/>
    <w:bookmarkEnd w:id="7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in our quarterly and annual reports and provide an annual management report on the effectiveness of internal control over financial reporting. Although we will be required to disclose changes made in our internal control over financial reporting on a quarterly basis, we will not be required to make our first annual assessment of our internal control over financial reporting until our second annual report on Form 10 -K. However, as an emerging growth company, our independent registered public accounting firm will not be required to formally attest to the effectiveness of our internal control over financial reporting until the later of the year following our first annual report required to be filed with the SEC or the date we are no longer an emerging growth company. At such time, our independent registered public accounting firm would need to issue a report that is adverse in the event that there are material weaknesses in our internal control over financial reporting.</w:t>
      </w:r>
    </w:p>
    <w:p>
      <w:pPr>
        <w:spacing w:after="0" w:line="249"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As a private company, we do not currently have any internal audit function. 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controls can divert our management’s attention from other matters that are important to the operation of our business.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disclosure controls and procedures may not prevent or detect all errors or acts of fraud.</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disclosure controls and procedures, no matter how well-conceived and operated, can provide only reasonable, not absolute, assurance that the objectives of the control system are met.</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These inherent limitations include the realities that judgments in decision -making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149"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Our insurance policies are expensive and only protect us from some business risks, which will leave us exposed to significant uninsured liabilities.</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do not carry insurance for all categories of risk that our business may encounter. Some of the policies we currently maintain include workers’ compensation, clinical trials, and directors’ and officers’ liability insurance. We do not know, however, if we will be able to maintain insurance with adequate levels of coverage. Any significant uninsured liability may require us to pay substantial amounts, which would adversely affect our business, financial condition, results of operations and prospects. We may be subject to securities litigation, which is expensive and could divert management attention.</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market price of our common stock is likely to be volatile. The stock market in general, and Nasdaq and biopharmaceutical companies in particular, have experienced significant price and volume fluctuations that have often been unrelated or disproportionate to the operating performance of companies. In the past, companies that have experienced volatility in the market price of their stock have been subject to securities class action litigation. We may be the target of this type of litigation in the future. Securities litigation (including the cost to defend against, and any potential adverse outcome resulting from any such proceeding) can be expensive, time-consuming, damage our reputation and divert our management’s attention from other business concerns, which could seriously harm our business.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could be subject to securities class action litigation.</w:t>
      </w:r>
    </w:p>
    <w:p>
      <w:pPr>
        <w:spacing w:after="0" w:line="11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the past, securities class action litigation has often been instituted against companies following periods of volatility in the trading price of a company’s securities. This type of litigation, if instituted, could result in</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3" w:name="page74"/>
    <w:bookmarkEnd w:id="7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150"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could be subject to changes in tax rates, the adoption of new tax legislation or could otherwise have exposure to additional tax liabilities, which could harm our business.</w:t>
      </w:r>
    </w:p>
    <w:p>
      <w:pPr>
        <w:spacing w:after="0" w:line="8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Changes to tax laws or regulations in the jurisdictions in which we operate, or in the interpretation of such laws or regulations, could significantly increase our effective tax rate, and otherwise materially affect our financial condition. In addition, other factors or events, including business combinations and investments, changes in stock-based compensation,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 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4" w:name="page75"/>
    <w:bookmarkEnd w:id="74"/>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This prospectus contains forward-looking statements. All statements other than statements of historical facts contained in this prospectus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spacing w:after="0" w:line="69" w:lineRule="exact"/>
        <w:rPr>
          <w:sz w:val="20"/>
          <w:szCs w:val="20"/>
          <w:color w:val="auto"/>
        </w:rPr>
      </w:pPr>
    </w:p>
    <w:p>
      <w:pPr>
        <w:ind w:left="1600" w:right="1179" w:hanging="143"/>
        <w:spacing w:after="0" w:line="254" w:lineRule="auto"/>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commercial opportunities stemming from the development of obexelimab for multiple I&amp;I diseases;</w:t>
      </w:r>
    </w:p>
    <w:p>
      <w:pPr>
        <w:spacing w:after="0" w:line="25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and, if approved, ultimately commercialize obexelimab and, with partners, our other programs;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or maintain orphan drug designation for certain of our product candidates;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initiation, timing, progress, results, and cost of our development programs, and our current and future preclinical and clinical studies, including statements regarding the timing of initiation and completion of our clinical trials, and the period during which the results of the trials will become available;</w:t>
      </w:r>
    </w:p>
    <w:p>
      <w:pPr>
        <w:spacing w:after="0" w:line="77"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cost and timing of our clinical development of our product candidates;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clinical differentiation of our product candidates;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product candidates that have broad therapeutic potential;</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utilize our business development strategy and expertise to build a balanced portfolio;</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identify collaborations and strategic partnerships to maximize the value of our portfolio;</w:t>
      </w:r>
    </w:p>
    <w:p>
      <w:pPr>
        <w:spacing w:after="0" w:line="25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build our operational and commercial capabilities for supplying and marketing our products, if approved, in key markets;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conditions in the biopharmaceutical sector and issuance of securities analysts’ reports or recommendations;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trading volume of our common stock;</w:t>
      </w:r>
    </w:p>
    <w:p>
      <w:pPr>
        <w:spacing w:after="0" w:line="10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obtain additional funding;</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initiate, recruit and enroll patients in and conduct our clinical trials at the pace that we project;</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and maintain regulatory approval of our product candidates, and any related restrictions, limitations or warnings in the label of any of our product candidates, if approved;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reliance on third parties to manufacture drug substance for use in our clinical trials;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retain and recruit key personnel;</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and maintain adequate intellectual property rights;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government and third-party payor coverage and reimbursement;</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estimates of our expenses, ongoing losses, capital requirements and our needs for or ability to obtain additional financing;</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expected uses of the net proceeds to us from this offering and our existing cash and the sufficiency of our existing cash and proceeds from this offering to fund our future operating expenses and capital expenditure requirements;</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benefits of strategic collaboration agreements;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enter into strategic collaborations or arrangements, including potential business development opportunities and potential licensing partnerships, and our ability to attract collaborators with development, regulatory and commercialization expertise;</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5" w:name="page76"/>
    <w:bookmarkEnd w:id="7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our stock by us, our insiders or our stockholders, as well as the anticipation of lock-up releases or expiration of market stand-off or lock-up agreements;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time during which we will be an emerging growth company and smaller reporting company under the JOBS Act;</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industry, geopolitical and market conditions, such as military conflict or war, inflation and financial institution instability, or pandemic or epidemic disease outbreaks, many of which are beyond our control;</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or departures of senior management, directors or key personnel;</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financial performance;</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and projections relating to our competitors or our industry;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including those included in the section titled “Risk Factors.”</w:t>
      </w:r>
    </w:p>
    <w:p>
      <w:pPr>
        <w:spacing w:after="0" w:line="124"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The forward-looking statements in this prospectus may prove incorrect. These forward-looking statements speak only as of the date of this prospectus and are subject to a number of known and unknown risks, uncertainties and assumptions, including those described under the sections in this prospectus titled “Risk Factors” and “Management’s Discussion and Analysis of Financial Condition and Results of Operations” and elsewhere in this prospectus.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on these statements. Because forward-looking statements are inherently subject to risks and uncertainties, some of which cannot be predicted or quantified and some of which are beyond our control, you should not rely on these forward-looking statements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6" w:name="page77"/>
    <w:bookmarkEnd w:id="76"/>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MARKET AND INDUSTRY DATA</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Unless otherwise indicated, market and industry data contained in this prospectus, including potential market opportunities, is based on our management’s estimates and research, as well as industry and general publications and research and studies conducted by third parties. Although we believe that the information from these third-party publications, research and studies included in this prospectus is reliable, neither we nor the underwriters have independently verified the accuracy or completeness of this information. Management’s estimates are derived from publicly available information, their knowledge of our industry and their assumptions based on such information and knowledge, which we believe to be reasonable. This data involves a number of assumptions and limitations and the industry in which we operate is subject to a high degree of uncertainty and risk due to a variety of factors, including those described in the sections titled “Risk Factors” and “Special Note Regarding Forward-Looking Statements.” These and other factors could cause our future performance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7" w:name="page78"/>
    <w:bookmarkEnd w:id="77"/>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82"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We estimate that the net proceeds from this offering will be approximately $          million, or approximately $          million if the underwriters exercise their over-allotment option in full, assuming an initial public offering price of $          per share, which is the midpoint of the price range set forth on the cover page of this prospectus, and after deducting estimated underwriting discounts and commissions and estimated offering expenses payable by us.</w:t>
      </w:r>
    </w:p>
    <w:p>
      <w:pPr>
        <w:spacing w:after="0" w:line="53"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Each $1.00 increase or decrease in the assumed initial public offering price of $          per share, which is the midpoint of the price range set forth on the cover page of this prospectus, would increase or decrease, as applicable, the net proceeds to us from this offering by approximately $          million, assuming that the number of shares offered by us, as set forth on the cover page of this prospectus, remains the same, and after deducting estimated underwriting discounts and commissions and estimated offering expenses payable by us. Similarly, each increase or decrease of 1,000,000 shares in the number of shares offered by us, as set forth on the cover page of this prospectus, would increase or decrease, as applicable, the net proceeds to us from this offering by approximately $          million, assuming no change in the assumed initial public offering price per share, and after deducting the estimated underwriting discounts and commissions and estimated offering expenses payable by us.</w:t>
      </w:r>
    </w:p>
    <w:p>
      <w:pPr>
        <w:spacing w:after="0" w:line="9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As of June 30, 2024, we had $183.9 million in cash.</w:t>
      </w:r>
    </w:p>
    <w:p>
      <w:pPr>
        <w:spacing w:after="0" w:line="12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currently intend to use the net proceeds from this offering, together with our existing cash, as follows:</w:t>
      </w:r>
    </w:p>
    <w:p>
      <w:pPr>
        <w:spacing w:after="0" w:line="257" w:lineRule="exact"/>
        <w:rPr>
          <w:sz w:val="20"/>
          <w:szCs w:val="20"/>
          <w:color w:val="auto"/>
        </w:rPr>
      </w:pPr>
    </w:p>
    <w:p>
      <w:pPr>
        <w:jc w:val="both"/>
        <w:ind w:left="1600" w:right="1179" w:hanging="143"/>
        <w:spacing w:after="0" w:line="257" w:lineRule="auto"/>
        <w:tabs>
          <w:tab w:leader="none" w:pos="16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approximately $          million to advance the clinical development of obexelimab, including to advance the Phase 3 trial for patients with IgG4-RD, the Phase 2 trial for patients with MS, the Phase 2 trial for patients with SLE and the Phase 2/3 trial for patients with wAIHA; and</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remainder for working capital and other general corporate purposes.</w:t>
      </w:r>
    </w:p>
    <w:p>
      <w:pPr>
        <w:spacing w:after="0" w:line="69"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also may also use a portion of the net proceeds from this offering to acquire, in-license or invest in products, technologies or businesses. The amounts and timing of our actual expenditures will depend on numerous factors, including the progress of our preclinical development efforts, our operating costs and other factors described under “Risk Factors” in this prospectus.</w:t>
      </w:r>
    </w:p>
    <w:p>
      <w:pPr>
        <w:spacing w:after="0" w:line="100"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Based upon our current operating plan, we believe that the anticipated net proceeds from this offering, together with our existing cash, will be sufficient to fund our operating expenses and capital expenditure requirements for at least the next                      months from the date of this prospectus and will enable us to complete our Phase 3 trial for patients with IgG4-RD, and our Phase 2 trials for patients with MS, SLE and wAIHA. These estimates, including our expectation regarding the sufficiency of the net proceeds from this offering to advance the clinical development of obexelimab for IgG4-RD, MS, SLE and wAIHA, are based on assumptions that may prove to be wrong, and we could exhaust our available capital resources sooner than we expect. We do not anticipate that the expected net proceeds from this offering, together with our existing cash, will be sufficient for us to fund all of our product candidates through regulatory approval, and we will need to raise substantial additional capital to complete the development and commercialization of our product candidates. We may satisfy our future cash needs through the sale of equity securities, debt financings, working capital lines of credit, corporate collaborations or license agreements, grant funding, interest income earned on invested cash balances or a combination of one or more of these sources.</w:t>
      </w:r>
    </w:p>
    <w:p>
      <w:pPr>
        <w:spacing w:after="0" w:line="10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Our expected use of net proceeds from this offering represents our current intentions based upon our present plans and business condition. As of the date of this prospectus, we cannot predict with complete certainty all of the particular uses for the net proceeds to be received upon the completion of this offering or the actual amounts that we will spend on the uses set forth above.</w:t>
      </w:r>
    </w:p>
    <w:p>
      <w:pPr>
        <w:spacing w:after="0" w:line="89"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the anticipated growth of our business, and we may find it necessary or advisable to use the net proceeds for other purposes. Pending the uses described above, we plan to invest the net proceeds from this offering in short-term, interest-bearing obligations, investment-grade instruments, certificates of deposit or direct or guaranteed obligations of the U.S. government.</w:t>
      </w: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8" w:name="page79"/>
    <w:bookmarkEnd w:id="78"/>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have never declared or paid any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the restrictions contained in any future financing instruments. Our ability to pay cash dividends on our capital stock in the future may also be limited by the terms of any preferred securities we may issue or agreements governing any indebtedness we may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9" w:name="page80"/>
    <w:bookmarkEnd w:id="79"/>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5"/>
          <w:szCs w:val="15"/>
          <w:b w:val="1"/>
          <w:bCs w:val="1"/>
          <w:color w:val="auto"/>
        </w:rPr>
        <w:t>CAPITALIZATION</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following table sets forth our cash and capitalization as of June 30, 2024:</w:t>
      </w:r>
    </w:p>
    <w:p>
      <w:pPr>
        <w:spacing w:after="0" w:line="91" w:lineRule="exact"/>
        <w:rPr>
          <w:sz w:val="20"/>
          <w:szCs w:val="20"/>
          <w:color w:val="auto"/>
        </w:rPr>
      </w:pPr>
    </w:p>
    <w:p>
      <w:pPr>
        <w:ind w:left="1600" w:hanging="143"/>
        <w:spacing w:after="0"/>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an actual basis;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49" w:lineRule="auto"/>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pro forma basis, giving effect to (i) the automatic conversion of all outstanding shares of our convertible preferred stock as of June 30, 2024 into an aggregate of 216,892,920 shares of our common stock immediately prior to the completion of this offering, (ii) the reclassification of the carrying value of the convertible preferred stock to permanent equity immediately prior to the completion of this offering and (iii) the filing and effectiveness of our Restated Charter, which will be effective immediately prior to the completion of this offering; and</w:t>
      </w:r>
    </w:p>
    <w:p>
      <w:pPr>
        <w:spacing w:after="0" w:line="68"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pro forma as adjusted basis giving effect to: (i) the pro forma adjustments set forth above and</w:t>
      </w:r>
    </w:p>
    <w:p>
      <w:pPr>
        <w:spacing w:after="0" w:line="17" w:lineRule="exact"/>
        <w:rPr>
          <w:rFonts w:ascii="Times New Roman" w:cs="Times New Roman" w:eastAsia="Times New Roman" w:hAnsi="Times New Roman"/>
          <w:sz w:val="15"/>
          <w:szCs w:val="15"/>
          <w:color w:val="auto"/>
        </w:rPr>
      </w:pPr>
    </w:p>
    <w:p>
      <w:pPr>
        <w:jc w:val="both"/>
        <w:ind w:left="1600" w:right="1179" w:firstLine="4"/>
        <w:spacing w:after="0" w:line="246" w:lineRule="auto"/>
        <w:tabs>
          <w:tab w:leader="none" w:pos="1851"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sale and issuance of               shares of our common stock in this offering at an assumed initial public offering price of $            per share, which is the midpoint of the price range set forth on the cover page of this prospectus, after deducting estimated underwriting discounts and commissions and estimated offering expenses payable by us.</w:t>
      </w:r>
    </w:p>
    <w:p>
      <w:pPr>
        <w:spacing w:after="0" w:line="10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pro forma as adjusted information below is illustrative only and our capitalization following the completion of this offering will change based on the initial public offering price and other terms of this offering determined at pricing. You should read the information in this table together with the financial statements and related notes as appearing at the end of this prospectus and the information set forth under the sections titled “Selected Financial Data” and “Management’s Discussion and Analysis of Financial Condition and Results of Operations.”</w:t>
      </w:r>
    </w:p>
    <w:p>
      <w:pPr>
        <w:spacing w:after="0" w:line="11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tcPr>
          <w:p>
            <w:pPr>
              <w:spacing w:after="0"/>
              <w:rPr>
                <w:sz w:val="16"/>
                <w:szCs w:val="16"/>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As of June 30, 2024</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7"/>
        </w:trPr>
        <w:tc>
          <w:tcPr>
            <w:tcW w:w="10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Pro Forma</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5"/>
                <w:szCs w:val="15"/>
                <w:color w:val="auto"/>
              </w:rPr>
            </w:pPr>
          </w:p>
        </w:tc>
        <w:tc>
          <w:tcPr>
            <w:tcW w:w="3100" w:type="dxa"/>
            <w:vAlign w:val="bottom"/>
            <w:gridSpan w:val="9"/>
          </w:tcPr>
          <w:p>
            <w:pPr>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Actual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Pro Forma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As Adjusted</w:t>
            </w:r>
            <w:r>
              <w:rPr>
                <w:rFonts w:ascii="Times New Roman" w:cs="Times New Roman" w:eastAsia="Times New Roman" w:hAnsi="Times New Roman"/>
                <w:sz w:val="13"/>
                <w:szCs w:val="13"/>
                <w:b w:val="1"/>
                <w:bCs w:val="1"/>
                <w:color w:val="auto"/>
                <w:vertAlign w:val="superscript"/>
              </w:rPr>
              <w:t>(1)</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20" w:type="dxa"/>
            <w:vAlign w:val="bottom"/>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w:t>
            </w:r>
          </w:p>
        </w:tc>
        <w:tc>
          <w:tcPr>
            <w:tcW w:w="1740" w:type="dxa"/>
            <w:vAlign w:val="bottom"/>
            <w:gridSpan w:val="9"/>
            <w:shd w:val="clear" w:color="auto" w:fill="CCEEFF"/>
          </w:tcPr>
          <w:p>
            <w:pPr>
              <w:ind w:left="40"/>
              <w:spacing w:after="0" w:line="211"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183,930</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183,930</w:t>
            </w:r>
            <w:r>
              <w:rPr>
                <w:rFonts w:ascii="Times New Roman" w:cs="Times New Roman" w:eastAsia="Times New Roman" w:hAnsi="Times New Roman"/>
                <w:sz w:val="24"/>
                <w:szCs w:val="24"/>
                <w:color w:val="auto"/>
                <w:vertAlign w:val="subscript"/>
              </w:rPr>
              <w:t>​​ ​</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xml:space="preserve">​$         </w:t>
            </w:r>
          </w:p>
        </w:tc>
        <w:tc>
          <w:tcPr>
            <w:tcW w:w="140" w:type="dxa"/>
            <w:vAlign w:val="bottom"/>
            <w:tcBorders>
              <w:right w:val="single" w:sz="8" w:color="CCEEFF"/>
            </w:tcBorders>
            <w:shd w:val="clear" w:color="auto" w:fill="CCEEFF"/>
          </w:tcPr>
          <w:p>
            <w:pPr>
              <w:spacing w:after="0"/>
              <w:rPr>
                <w:sz w:val="21"/>
                <w:szCs w:val="21"/>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spacing w:after="0" w:line="154" w:lineRule="exact"/>
              <w:rPr>
                <w:sz w:val="20"/>
                <w:szCs w:val="20"/>
                <w:color w:val="auto"/>
              </w:rPr>
            </w:pPr>
            <w:r>
              <w:rPr>
                <w:rFonts w:ascii="Times New Roman" w:cs="Times New Roman" w:eastAsia="Times New Roman" w:hAnsi="Times New Roman"/>
                <w:sz w:val="15"/>
                <w:szCs w:val="15"/>
                <w:color w:val="auto"/>
              </w:rPr>
              <w:t>Series Seed convertible preferred stock, par value $0.0001 per share;</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020" w:type="dxa"/>
            <w:vAlign w:val="bottom"/>
          </w:tcPr>
          <w:p>
            <w:pPr>
              <w:spacing w:after="0"/>
              <w:rPr>
                <w:sz w:val="9"/>
                <w:szCs w:val="9"/>
                <w:color w:val="auto"/>
              </w:rPr>
            </w:pPr>
          </w:p>
        </w:tc>
        <w:tc>
          <w:tcPr>
            <w:tcW w:w="4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1,785,714 shares authorized, issued and outstanding, actual; no</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shares authorized, issued and outstanding, pro forma and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 forma as adjusted</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956​​ ​​$</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A convertible preferred stock, par value $0.0001 per share;</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17,589,380 shares authorized, issued and outstanding, actual; no</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shares authorized, issued and outstanding, pro forma and pro forma</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as adjusted</w:t>
            </w:r>
          </w:p>
        </w:tc>
        <w:tc>
          <w:tcPr>
            <w:tcW w:w="120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 55,840​​ ​​ ​</w:t>
            </w: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Series B convertible preferred stock, par value $0.0001 per share;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81,242,587 shares authorized, issued and outstanding, actual; no</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shares authorized, issued and outstanding, pro forma and pro forma</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as adjusted</w:t>
            </w:r>
          </w:p>
        </w:tc>
        <w:tc>
          <w:tcPr>
            <w:tcW w:w="1200" w:type="dxa"/>
            <w:vAlign w:val="bottom"/>
            <w:gridSpan w:val="6"/>
          </w:tcPr>
          <w:p>
            <w:pPr>
              <w:ind w:left="40"/>
              <w:spacing w:after="0"/>
              <w:rPr>
                <w:sz w:val="20"/>
                <w:szCs w:val="20"/>
                <w:color w:val="auto"/>
              </w:rPr>
            </w:pPr>
            <w:r>
              <w:rPr>
                <w:rFonts w:ascii="Times New Roman" w:cs="Times New Roman" w:eastAsia="Times New Roman" w:hAnsi="Times New Roman"/>
                <w:sz w:val="15"/>
                <w:szCs w:val="15"/>
                <w:color w:val="auto"/>
              </w:rPr>
              <w:t>​ ​​ ​193,290​​ ​​ ​</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C convertible preferred stock, par value $0.0001 per share;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116,275,239 shares authorized, issued and outstanding, actual; no</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shares authorized, issued and outstanding, pro forma and</w:t>
            </w:r>
          </w:p>
        </w:tc>
        <w:tc>
          <w:tcPr>
            <w:tcW w:w="1200" w:type="dxa"/>
            <w:vAlign w:val="bottom"/>
            <w:gridSpan w:val="6"/>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​199,526​​ ​​ ​</w:t>
            </w:r>
          </w:p>
        </w:tc>
        <w:tc>
          <w:tcPr>
            <w:tcW w:w="5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 forma as adjusted</w:t>
            </w:r>
          </w:p>
        </w:tc>
        <w:tc>
          <w:tcPr>
            <w:tcW w:w="1200" w:type="dxa"/>
            <w:vAlign w:val="bottom"/>
            <w:gridSpan w:val="6"/>
            <w:vMerge w:val="continue"/>
            <w:shd w:val="clear" w:color="auto" w:fill="CCEEFF"/>
          </w:tcPr>
          <w:p>
            <w:pPr>
              <w:spacing w:after="0"/>
              <w:rPr>
                <w:sz w:val="16"/>
                <w:szCs w:val="16"/>
                <w:color w:val="auto"/>
              </w:rPr>
            </w:pPr>
          </w:p>
        </w:tc>
        <w:tc>
          <w:tcPr>
            <w:tcW w:w="540" w:type="dxa"/>
            <w:vAlign w:val="bottom"/>
            <w:gridSpan w:val="3"/>
            <w:vMerge w:val="continue"/>
            <w:shd w:val="clear" w:color="auto" w:fill="CCEEFF"/>
          </w:tcPr>
          <w:p>
            <w:pPr>
              <w:spacing w:after="0"/>
              <w:rPr>
                <w:sz w:val="16"/>
                <w:szCs w:val="16"/>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Stockholders’ (deficit) equity:</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4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 ​​ ​</w:t>
            </w:r>
          </w:p>
        </w:tc>
        <w:tc>
          <w:tcPr>
            <w:tcW w:w="30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Common stock, $0.0001 par value; 175,000,000 shares authorized,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13,705,292 shares issued and outstanding, actual;            shares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authorized, 230,598,212 shares issued and outstanding,</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pro forma and                     pro forma as adjusted</w:t>
            </w: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 ​​ ​</w:t>
            </w: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23​​ ​</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Preferred stock, $0.0001 par value; no shares authorized, issued or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3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outstanding, actual;            shares authorized and no 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43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issued or outstanding, pro forma and pro forma as adjusted</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 ​​ ​</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144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7,293​​ ​​ ​456,883​​ ​</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527"/>
        </w:trPr>
        <w:tc>
          <w:tcPr>
            <w:tcW w:w="1020" w:type="dxa"/>
            <w:vAlign w:val="bottom"/>
          </w:tcPr>
          <w:p>
            <w:pPr>
              <w:spacing w:after="0"/>
              <w:rPr>
                <w:sz w:val="24"/>
                <w:szCs w:val="24"/>
                <w:color w:val="auto"/>
              </w:rPr>
            </w:pPr>
          </w:p>
        </w:tc>
        <w:tc>
          <w:tcPr>
            <w:tcW w:w="4300" w:type="dxa"/>
            <w:vAlign w:val="bottom"/>
          </w:tcPr>
          <w:p>
            <w:pPr>
              <w:ind w:left="3240"/>
              <w:spacing w:after="0"/>
              <w:rPr>
                <w:sz w:val="20"/>
                <w:szCs w:val="20"/>
                <w:color w:val="auto"/>
              </w:rPr>
            </w:pPr>
            <w:r>
              <w:rPr>
                <w:rFonts w:ascii="Times New Roman" w:cs="Times New Roman" w:eastAsia="Times New Roman" w:hAnsi="Times New Roman"/>
                <w:sz w:val="15"/>
                <w:szCs w:val="15"/>
                <w:color w:val="auto"/>
              </w:rPr>
              <w:t>77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-3689985</wp:posOffset>
            </wp:positionV>
            <wp:extent cx="378841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78841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0" w:name="page81"/>
    <w:bookmarkEnd w:id="8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4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 ​</w:t>
            </w:r>
          </w:p>
        </w:tc>
        <w:tc>
          <w:tcPr>
            <w:tcW w:w="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As of June 30, 2024</w:t>
            </w: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6"/>
        </w:trPr>
        <w:tc>
          <w:tcPr>
            <w:tcW w:w="4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2"/>
                <w:szCs w:val="12"/>
                <w:b w:val="1"/>
                <w:bCs w:val="1"/>
                <w:color w:val="auto"/>
                <w:w w:val="88"/>
              </w:rPr>
              <w:t>Pro Forma</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tc>
        <w:tc>
          <w:tcPr>
            <w:tcW w:w="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Actual   </w:t>
            </w:r>
            <w:r>
              <w:rPr>
                <w:rFonts w:ascii="Times New Roman" w:cs="Times New Roman" w:eastAsia="Times New Roman" w:hAnsi="Times New Roman"/>
                <w:sz w:val="20"/>
                <w:szCs w:val="20"/>
                <w:b w:val="1"/>
                <w:bCs w:val="1"/>
                <w:color w:val="auto"/>
                <w:vertAlign w:val="subscript"/>
              </w:rPr>
              <w:t>​ ​</w:t>
            </w:r>
          </w:p>
        </w:tc>
        <w:tc>
          <w:tcPr>
            <w:tcW w:w="1460" w:type="dxa"/>
            <w:vAlign w:val="bottom"/>
            <w:gridSpan w:val="7"/>
          </w:tcPr>
          <w:p>
            <w:pPr>
              <w:jc w:val="right"/>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Pro Forma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As Adjusted</w:t>
            </w:r>
            <w:r>
              <w:rPr>
                <w:rFonts w:ascii="Times New Roman" w:cs="Times New Roman" w:eastAsia="Times New Roman" w:hAnsi="Times New Roman"/>
                <w:sz w:val="13"/>
                <w:szCs w:val="13"/>
                <w:b w:val="1"/>
                <w:bCs w:val="1"/>
                <w:color w:val="auto"/>
                <w:vertAlign w:val="superscript"/>
              </w:rPr>
              <w:t>(1)</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104​​ ​​ ​</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 ​</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5"/>
        </w:trPr>
        <w:tc>
          <w:tcPr>
            <w:tcW w:w="4260" w:type="dxa"/>
            <w:vAlign w:val="bottom"/>
          </w:tcPr>
          <w:p>
            <w:pPr>
              <w:ind w:left="160"/>
              <w:spacing w:after="0" w:line="165" w:lineRule="exact"/>
              <w:rPr>
                <w:sz w:val="20"/>
                <w:szCs w:val="20"/>
                <w:color w:val="auto"/>
              </w:rPr>
            </w:pPr>
            <w:r>
              <w:rPr>
                <w:rFonts w:ascii="Times New Roman" w:cs="Times New Roman" w:eastAsia="Times New Roman" w:hAnsi="Times New Roman"/>
                <w:sz w:val="15"/>
                <w:szCs w:val="15"/>
                <w:color w:val="auto"/>
              </w:rPr>
              <w:t>Accumulated deficit</w:t>
            </w:r>
          </w:p>
        </w:tc>
        <w:tc>
          <w:tcPr>
            <w:tcW w:w="1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​(296,180)</w:t>
            </w:r>
          </w:p>
        </w:tc>
        <w:tc>
          <w:tcPr>
            <w:tcW w:w="780" w:type="dxa"/>
            <w:vAlign w:val="bottom"/>
            <w:gridSpan w:val="3"/>
          </w:tcPr>
          <w:p>
            <w:pPr>
              <w:ind w:left="60"/>
              <w:spacing w:after="0" w:line="165" w:lineRule="exact"/>
              <w:rPr>
                <w:sz w:val="20"/>
                <w:szCs w:val="20"/>
                <w:color w:val="auto"/>
              </w:rPr>
            </w:pPr>
            <w:r>
              <w:rPr>
                <w:rFonts w:ascii="Times New Roman" w:cs="Times New Roman" w:eastAsia="Times New Roman" w:hAnsi="Times New Roman"/>
                <w:sz w:val="15"/>
                <w:szCs w:val="15"/>
                <w:color w:val="auto"/>
              </w:rPr>
              <w:t>​(296,180)</w:t>
            </w:r>
          </w:p>
        </w:tc>
        <w:tc>
          <w:tcPr>
            <w:tcW w:w="26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vMerge w:val="restart"/>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55"/>
        </w:trPr>
        <w:tc>
          <w:tcPr>
            <w:tcW w:w="42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line="55" w:lineRule="exact"/>
              <w:rPr>
                <w:sz w:val="20"/>
                <w:szCs w:val="20"/>
                <w:color w:val="auto"/>
              </w:rPr>
            </w:pPr>
            <w:r>
              <w:rPr>
                <w:rFonts w:ascii="Times New Roman" w:cs="Times New Roman" w:eastAsia="Times New Roman" w:hAnsi="Times New Roman"/>
                <w:sz w:val="6"/>
                <w:szCs w:val="6"/>
                <w:color w:val="auto"/>
              </w:rPr>
              <w:t>​​ ​​</w:t>
            </w: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 ​</w:t>
            </w:r>
          </w:p>
        </w:tc>
        <w:tc>
          <w:tcPr>
            <w:tcW w:w="26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60" w:type="dxa"/>
            <w:vAlign w:val="bottom"/>
            <w:shd w:val="clear" w:color="auto" w:fill="CCEEFF"/>
          </w:tcPr>
          <w:p>
            <w:pPr>
              <w:ind w:left="300"/>
              <w:spacing w:after="0" w:line="156" w:lineRule="exact"/>
              <w:rPr>
                <w:sz w:val="20"/>
                <w:szCs w:val="20"/>
                <w:color w:val="auto"/>
              </w:rPr>
            </w:pPr>
            <w:r>
              <w:rPr>
                <w:rFonts w:ascii="Times New Roman" w:cs="Times New Roman" w:eastAsia="Times New Roman" w:hAnsi="Times New Roman"/>
                <w:sz w:val="15"/>
                <w:szCs w:val="15"/>
                <w:color w:val="auto"/>
              </w:rPr>
              <w:t>Total stockholders’ (deficit) equity</w:t>
            </w:r>
          </w:p>
        </w:tc>
        <w:tc>
          <w:tcPr>
            <w:tcW w:w="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right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​(288,782)</w:t>
            </w:r>
          </w:p>
        </w:tc>
        <w:tc>
          <w:tcPr>
            <w:tcW w:w="600" w:type="dxa"/>
            <w:vAlign w:val="bottom"/>
            <w:tcBorders>
              <w:right w:val="single" w:sz="8" w:color="CCEEFF"/>
            </w:tcBorders>
            <w:gridSpan w:val="2"/>
            <w:shd w:val="clear" w:color="auto" w:fill="CCEEFF"/>
          </w:tcPr>
          <w:p>
            <w:pPr>
              <w:ind w:left="60"/>
              <w:spacing w:after="0" w:line="156" w:lineRule="exact"/>
              <w:rPr>
                <w:sz w:val="20"/>
                <w:szCs w:val="20"/>
                <w:color w:val="auto"/>
              </w:rPr>
            </w:pPr>
            <w:r>
              <w:rPr>
                <w:rFonts w:ascii="Times New Roman" w:cs="Times New Roman" w:eastAsia="Times New Roman" w:hAnsi="Times New Roman"/>
                <w:sz w:val="15"/>
                <w:szCs w:val="15"/>
                <w:color w:val="auto"/>
              </w:rPr>
              <w:t>​160,830</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5"/>
        </w:trPr>
        <w:tc>
          <w:tcPr>
            <w:tcW w:w="42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80" w:type="dxa"/>
            <w:vAlign w:val="bottom"/>
            <w:tcBorders>
              <w:right w:val="single" w:sz="8" w:color="CCEEFF"/>
            </w:tcBorders>
            <w:vMerge w:val="continue"/>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line="55" w:lineRule="exact"/>
              <w:rPr>
                <w:sz w:val="20"/>
                <w:szCs w:val="20"/>
                <w:color w:val="auto"/>
              </w:rPr>
            </w:pPr>
            <w:r>
              <w:rPr>
                <w:rFonts w:ascii="Times New Roman" w:cs="Times New Roman" w:eastAsia="Times New Roman" w:hAnsi="Times New Roman"/>
                <w:sz w:val="6"/>
                <w:szCs w:val="6"/>
                <w:color w:val="auto"/>
              </w:rPr>
              <w:t>​​ ​​</w:t>
            </w:r>
          </w:p>
        </w:tc>
        <w:tc>
          <w:tcPr>
            <w:tcW w:w="220" w:type="dxa"/>
            <w:vAlign w:val="bottom"/>
            <w:shd w:val="clear" w:color="auto" w:fill="CCEEFF"/>
          </w:tcPr>
          <w:p>
            <w:pPr>
              <w:spacing w:after="0"/>
              <w:rPr>
                <w:sz w:val="4"/>
                <w:szCs w:val="4"/>
                <w:color w:val="auto"/>
              </w:rPr>
            </w:pPr>
          </w:p>
        </w:tc>
        <w:tc>
          <w:tcPr>
            <w:tcW w:w="380" w:type="dxa"/>
            <w:vAlign w:val="bottom"/>
            <w:tcBorders>
              <w:right w:val="single" w:sz="8" w:color="CCEEFF"/>
            </w:tcBorders>
            <w:shd w:val="clear" w:color="auto" w:fill="CCEEFF"/>
          </w:tcPr>
          <w:p>
            <w:pPr>
              <w:spacing w:after="0"/>
              <w:rPr>
                <w:sz w:val="4"/>
                <w:szCs w:val="4"/>
                <w:color w:val="auto"/>
              </w:rPr>
            </w:pPr>
          </w:p>
        </w:tc>
        <w:tc>
          <w:tcPr>
            <w:tcW w:w="180" w:type="dxa"/>
            <w:vAlign w:val="bottom"/>
            <w:tcBorders>
              <w:right w:val="single" w:sz="8" w:color="CCEEFF"/>
            </w:tcBorders>
            <w:vMerge w:val="continue"/>
            <w:shd w:val="clear" w:color="auto" w:fill="CCEEFF"/>
          </w:tcPr>
          <w:p>
            <w:pPr>
              <w:spacing w:after="0"/>
              <w:rPr>
                <w:sz w:val="4"/>
                <w:szCs w:val="4"/>
                <w:color w:val="auto"/>
              </w:rPr>
            </w:pPr>
          </w:p>
        </w:tc>
        <w:tc>
          <w:tcPr>
            <w:tcW w:w="260" w:type="dxa"/>
            <w:vAlign w:val="bottom"/>
            <w:vMerge w:val="continue"/>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Total capitalization</w:t>
            </w:r>
          </w:p>
        </w:tc>
        <w:tc>
          <w:tcPr>
            <w:tcW w:w="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6"/>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$ 160,830</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$ 160,830</w:t>
            </w:r>
            <w:r>
              <w:rPr>
                <w:rFonts w:ascii="Times New Roman" w:cs="Times New Roman" w:eastAsia="Times New Roman" w:hAnsi="Times New Roman"/>
                <w:sz w:val="23"/>
                <w:szCs w:val="23"/>
                <w:color w:val="auto"/>
                <w:vertAlign w:val="subscript"/>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-320040</wp:posOffset>
            </wp:positionV>
            <wp:extent cx="424180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-599440</wp:posOffset>
            </wp:positionV>
            <wp:extent cx="381635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104775</wp:posOffset>
            </wp:positionV>
            <wp:extent cx="44640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37" w:lineRule="exact"/>
        <w:rPr>
          <w:sz w:val="20"/>
          <w:szCs w:val="20"/>
          <w:color w:val="auto"/>
        </w:rPr>
      </w:pPr>
    </w:p>
    <w:p>
      <w:pPr>
        <w:jc w:val="both"/>
        <w:ind w:left="1460" w:right="1179" w:hanging="296"/>
        <w:spacing w:after="0"/>
        <w:tabs>
          <w:tab w:leader="none" w:pos="146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$1.00 increase or decrease in the assumed initial public offering price of $            per share, which is the midpoint of the price range set forth on the cover page of this prospectus, would increase or decrease, as applicable, each of cash, additional paid-in capital, total stockholders’ (deficit) equity and total capitalization on a pro forma as adjusted basis by approximately $            million, assuming that the number of shares offered by us, as set forth on the cover page of this prospectus, remains the same, and after deducting estimated underwriting discounts and commissions and estimated offering expenses. Similarly, each increase or decrease of 1,000,000 shares in the number of shares offered by us, as set forth on the cover page of this prospectus, would increase or decrease, as applicable, each of cash, additional paid-in capital, total stockholders’ (deficit) equity and total capitalization on a pro forma as adjusted basis by approximately $            million, assuming that the assumed initial public offering price remains the same, and after deducting the estimated underwriting discounts and commissions and estimated offering expenses.</w:t>
      </w:r>
    </w:p>
    <w:p>
      <w:pPr>
        <w:spacing w:after="0" w:line="200"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If the underwriters’ over-allotment option is exercised in full, our pro forma as adjusted cash, additional paid-in capital, total stockholders’ (deficit) equity and total capitalization as of June 30, 2024, would be $            million, $            million, $            million and $            million, respectively.</w:t>
      </w:r>
    </w:p>
    <w:p>
      <w:pPr>
        <w:spacing w:after="0" w:line="9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number of shares of our common stock to be outstanding after this offering on a pro forma and pro forma as adjusted basis is based on 230,598,212 shares of common stock outstanding as of June 30, 2024 (including 13,086 shares of unvested restricted common stock) after giving effect to the automatic conversion of all outstanding shares of our convertible preferred stock as of June 30, 2024 into an aggregate of 216,892,920 shares of our common stock immediately prior to the completion of this offering, and excludes:</w:t>
      </w:r>
    </w:p>
    <w:p>
      <w:pPr>
        <w:spacing w:after="0" w:line="248" w:lineRule="exact"/>
        <w:rPr>
          <w:sz w:val="20"/>
          <w:szCs w:val="20"/>
          <w:color w:val="auto"/>
        </w:rPr>
      </w:pPr>
    </w:p>
    <w:p>
      <w:pPr>
        <w:ind w:left="1600" w:right="1179" w:hanging="143"/>
        <w:spacing w:after="0" w:line="269" w:lineRule="auto"/>
        <w:tabs>
          <w:tab w:leader="none" w:pos="16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37,077,687 shares of common stock issuable upon the exercise of stock options outstanding as of June 30, 2024, with a weighted-average exercise price of $1.06 per share;</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310,396 shares of common stock reserved for issuance as of June 30, 2024 under the 2020 Plan;</w:t>
      </w:r>
    </w:p>
    <w:p>
      <w:pPr>
        <w:spacing w:after="0" w:line="91" w:lineRule="exact"/>
        <w:rPr>
          <w:rFonts w:ascii="Times New Roman" w:cs="Times New Roman" w:eastAsia="Times New Roman" w:hAnsi="Times New Roman"/>
          <w:sz w:val="15"/>
          <w:szCs w:val="15"/>
          <w:color w:val="auto"/>
        </w:rPr>
      </w:pPr>
    </w:p>
    <w:p>
      <w:pPr>
        <w:ind w:left="2280" w:hanging="823"/>
        <w:spacing w:after="0"/>
        <w:tabs>
          <w:tab w:leader="none" w:pos="228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common stock issuable upon the exercise of stock options granted subsequent to</w:t>
      </w:r>
    </w:p>
    <w:p>
      <w:pPr>
        <w:spacing w:after="0" w:line="18" w:lineRule="exact"/>
        <w:rPr>
          <w:sz w:val="20"/>
          <w:szCs w:val="20"/>
          <w:color w:val="auto"/>
        </w:rPr>
      </w:pPr>
    </w:p>
    <w:p>
      <w:pPr>
        <w:ind w:left="1600"/>
        <w:spacing w:after="0"/>
        <w:tabs>
          <w:tab w:leader="none" w:pos="6900" w:val="left"/>
        </w:tabs>
        <w:rPr>
          <w:sz w:val="20"/>
          <w:szCs w:val="20"/>
          <w:color w:val="auto"/>
        </w:rPr>
      </w:pPr>
      <w:r>
        <w:rPr>
          <w:rFonts w:ascii="Times New Roman" w:cs="Times New Roman" w:eastAsia="Times New Roman" w:hAnsi="Times New Roman"/>
          <w:sz w:val="15"/>
          <w:szCs w:val="15"/>
          <w:color w:val="auto"/>
        </w:rPr>
        <w:t>June 30, 2024, under the 2020 Plan, with a weighted-average exercise price of $</w:t>
      </w:r>
      <w:r>
        <w:rPr>
          <w:sz w:val="20"/>
          <w:szCs w:val="20"/>
          <w:color w:val="auto"/>
        </w:rPr>
        <w:tab/>
      </w:r>
      <w:r>
        <w:rPr>
          <w:rFonts w:ascii="Times New Roman" w:cs="Times New Roman" w:eastAsia="Times New Roman" w:hAnsi="Times New Roman"/>
          <w:sz w:val="15"/>
          <w:szCs w:val="15"/>
          <w:color w:val="auto"/>
        </w:rPr>
        <w:t>per share;</w:t>
      </w:r>
    </w:p>
    <w:p>
      <w:pPr>
        <w:spacing w:after="0" w:line="76" w:lineRule="exact"/>
        <w:rPr>
          <w:sz w:val="20"/>
          <w:szCs w:val="20"/>
          <w:color w:val="auto"/>
        </w:rPr>
      </w:pPr>
    </w:p>
    <w:p>
      <w:pPr>
        <w:jc w:val="both"/>
        <w:ind w:left="1600" w:right="1179" w:hanging="143"/>
        <w:spacing w:after="0" w:line="250" w:lineRule="auto"/>
        <w:tabs>
          <w:tab w:leader="none" w:pos="2072"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common stock reserved for issuance under the 2024 Plan, which will become effective in connection with this offering (which includes up to approximately            million shares of common stock underlying stock option awards that our board of directors may grant under the 2024 Plan upon the pricing of this offering with an exercise price per share equal to the initial public offering price per share); and</w:t>
      </w:r>
    </w:p>
    <w:p>
      <w:pPr>
        <w:spacing w:after="0" w:line="68"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96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common stock reserved for issuance under the ESPP, which will become effective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1" w:name="page82"/>
    <w:bookmarkEnd w:id="81"/>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DILUTION</w:t>
      </w:r>
    </w:p>
    <w:p>
      <w:pPr>
        <w:spacing w:after="0" w:line="124"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i w:val="1"/>
          <w:iCs w:val="1"/>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after this offering.</w:t>
      </w:r>
    </w:p>
    <w:p>
      <w:pPr>
        <w:spacing w:after="0" w:line="9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historical net tangible book value (deficit) as of June 30, 2024 was $(292.5) million, or $(21.34) per share of common stock. Our historical net tangible book value (deficit) is the amount of our total tangible assets less our total liabilities and the carrying value of our convertible preferred stock, which is not included within stockholders’ (deficit) equity. Historical net tangible book value (deficit) per share represents historical net tangible book value (deficit) divided by the 13,705,292 shares of common stock outstanding as of June 30, 2024, which includes 13,086 shares of unvested restricted common stock.</w:t>
      </w:r>
    </w:p>
    <w:p>
      <w:pPr>
        <w:spacing w:after="0" w:line="91"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Our pro forma net tangible book value as of June 30, 2024 was $157.1 million, or $0.68 per share of common stock. Pro forma net tangible book value represents the amount of our total tangible assets less our liabilities, after giving effect to the automatic conversion of all outstanding shares of our convertible preferred stock as of June 30, 2024 into an aggregate of 216,892,920 shares of our common stock immediately prior to the completion of this offering.</w:t>
      </w:r>
    </w:p>
    <w:p>
      <w:pPr>
        <w:spacing w:after="0" w:line="10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After giving further effect to our issuance and sale of           shares of common stock in this offering at an assumed initial public offering price of $            per share, which is the midpoint of the price range set forth on the cover page of this prospectus, and after deducting estimated underwriting discounts and commissions and estimated offering expenses payable by us, our pro forma as adjusted net tangible book value as of June 30, 2024 would have been $            million, or $            per share. This represents an immediate increase in pro forma as adjusted net tangible book value of $            per share to existing stockholders and an immediate dilution of $            in pro forma as adjusted net tangible book value per share to new investors participating in 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297"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​Assumed initial public offering price per share</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3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5"/>
        </w:trPr>
        <w:tc>
          <w:tcPr>
            <w:tcW w:w="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5260" w:type="dxa"/>
            <w:vAlign w:val="bottom"/>
          </w:tcPr>
          <w:p>
            <w:pPr>
              <w:ind w:left="60"/>
              <w:spacing w:after="0" w:line="165" w:lineRule="exact"/>
              <w:rPr>
                <w:sz w:val="20"/>
                <w:szCs w:val="20"/>
                <w:color w:val="auto"/>
              </w:rPr>
            </w:pPr>
            <w:r>
              <w:rPr>
                <w:rFonts w:ascii="Times New Roman" w:cs="Times New Roman" w:eastAsia="Times New Roman" w:hAnsi="Times New Roman"/>
                <w:sz w:val="15"/>
                <w:szCs w:val="15"/>
                <w:color w:val="auto"/>
              </w:rPr>
              <w:t>Historical net tangible book value (deficit) per share as of June 30, 2024</w:t>
            </w:r>
          </w:p>
        </w:tc>
        <w:tc>
          <w:tcPr>
            <w:tcW w:w="800" w:type="dxa"/>
            <w:vAlign w:val="bottom"/>
            <w:gridSpan w:val="4"/>
          </w:tcPr>
          <w:p>
            <w:pPr>
              <w:ind w:left="180"/>
              <w:spacing w:after="0" w:line="165" w:lineRule="exact"/>
              <w:rPr>
                <w:sz w:val="20"/>
                <w:szCs w:val="20"/>
                <w:color w:val="auto"/>
              </w:rPr>
            </w:pPr>
            <w:r>
              <w:rPr>
                <w:rFonts w:ascii="Times New Roman" w:cs="Times New Roman" w:eastAsia="Times New Roman" w:hAnsi="Times New Roman"/>
                <w:sz w:val="15"/>
                <w:szCs w:val="15"/>
                <w:color w:val="auto"/>
              </w:rPr>
              <w:t>$(21.34)</w:t>
            </w:r>
          </w:p>
        </w:tc>
        <w:tc>
          <w:tcPr>
            <w:tcW w:w="80" w:type="dxa"/>
            <w:vAlign w:val="bottom"/>
          </w:tcPr>
          <w:p>
            <w:pPr>
              <w:spacing w:after="0"/>
              <w:rPr>
                <w:sz w:val="14"/>
                <w:szCs w:val="14"/>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4"/>
                <w:szCs w:val="14"/>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4"/>
        </w:trPr>
        <w:tc>
          <w:tcPr>
            <w:tcW w:w="100" w:type="dxa"/>
            <w:vAlign w:val="bottom"/>
            <w:vMerge w:val="continue"/>
          </w:tcPr>
          <w:p>
            <w:pPr>
              <w:spacing w:after="0"/>
              <w:rPr>
                <w:sz w:val="3"/>
                <w:szCs w:val="3"/>
                <w:color w:val="auto"/>
              </w:rPr>
            </w:pPr>
          </w:p>
        </w:tc>
        <w:tc>
          <w:tcPr>
            <w:tcW w:w="5260" w:type="dxa"/>
            <w:vAlign w:val="bottom"/>
          </w:tcPr>
          <w:p>
            <w:pPr>
              <w:spacing w:after="0"/>
              <w:rPr>
                <w:sz w:val="3"/>
                <w:szCs w:val="3"/>
                <w:color w:val="auto"/>
              </w:rPr>
            </w:pPr>
          </w:p>
        </w:tc>
        <w:tc>
          <w:tcPr>
            <w:tcW w:w="320" w:type="dxa"/>
            <w:vAlign w:val="bottom"/>
            <w:gridSpan w:val="2"/>
          </w:tcPr>
          <w:p>
            <w:pPr>
              <w:ind w:left="40"/>
              <w:spacing w:after="0" w:line="44" w:lineRule="exact"/>
              <w:rPr>
                <w:sz w:val="20"/>
                <w:szCs w:val="20"/>
                <w:color w:val="auto"/>
              </w:rPr>
            </w:pPr>
            <w:r>
              <w:rPr>
                <w:rFonts w:ascii="Times New Roman" w:cs="Times New Roman" w:eastAsia="Times New Roman" w:hAnsi="Times New Roman"/>
                <w:sz w:val="5"/>
                <w:szCs w:val="5"/>
                <w:color w:val="auto"/>
              </w:rPr>
              <w:t>​ ​​</w:t>
            </w:r>
          </w:p>
        </w:tc>
        <w:tc>
          <w:tcPr>
            <w:tcW w:w="320" w:type="dxa"/>
            <w:vAlign w:val="bottom"/>
          </w:tcPr>
          <w:p>
            <w:pPr>
              <w:spacing w:after="0"/>
              <w:rPr>
                <w:sz w:val="3"/>
                <w:szCs w:val="3"/>
                <w:color w:val="auto"/>
              </w:rPr>
            </w:pPr>
          </w:p>
        </w:tc>
        <w:tc>
          <w:tcPr>
            <w:tcW w:w="240" w:type="dxa"/>
            <w:vAlign w:val="bottom"/>
            <w:gridSpan w:val="2"/>
          </w:tcPr>
          <w:p>
            <w:pPr>
              <w:spacing w:after="0" w:line="44" w:lineRule="exact"/>
              <w:rPr>
                <w:sz w:val="20"/>
                <w:szCs w:val="20"/>
                <w:color w:val="auto"/>
              </w:rPr>
            </w:pPr>
            <w:r>
              <w:rPr>
                <w:rFonts w:ascii="Times New Roman" w:cs="Times New Roman" w:eastAsia="Times New Roman" w:hAnsi="Times New Roman"/>
                <w:sz w:val="5"/>
                <w:szCs w:val="5"/>
                <w:color w:val="auto"/>
              </w:rPr>
              <w:t>​​ ​​</w:t>
            </w:r>
          </w:p>
        </w:tc>
        <w:tc>
          <w:tcPr>
            <w:tcW w:w="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Increase per share attributable to pro forma adjustments as described above</w:t>
            </w:r>
          </w:p>
        </w:tc>
        <w:tc>
          <w:tcPr>
            <w:tcW w:w="880" w:type="dxa"/>
            <w:vAlign w:val="bottom"/>
            <w:gridSpan w:val="5"/>
            <w:shd w:val="clear" w:color="auto" w:fill="CCEEFF"/>
          </w:tcPr>
          <w:p>
            <w:pPr>
              <w:ind w:left="4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​22.02</w:t>
            </w:r>
            <w:r>
              <w:rPr>
                <w:rFonts w:ascii="Times New Roman" w:cs="Times New Roman" w:eastAsia="Times New Roman" w:hAnsi="Times New Roman"/>
                <w:sz w:val="13"/>
                <w:szCs w:val="13"/>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Pro forma net tangible book value per share as of June 30, 2024</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0.68​​ ​​ ​</w:t>
            </w:r>
          </w:p>
        </w:tc>
        <w:tc>
          <w:tcPr>
            <w:tcW w:w="38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100" w:type="dxa"/>
            <w:vAlign w:val="bottom"/>
            <w:shd w:val="clear" w:color="auto" w:fill="CCEEFF"/>
          </w:tcPr>
          <w:p>
            <w:pPr>
              <w:spacing w:after="0"/>
              <w:rPr>
                <w:sz w:val="15"/>
                <w:szCs w:val="15"/>
                <w:color w:val="auto"/>
              </w:rPr>
            </w:pPr>
          </w:p>
        </w:tc>
        <w:tc>
          <w:tcPr>
            <w:tcW w:w="5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Increase in pro forma net tangible book value per share attributable to new investors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participating in this offering</w:t>
            </w:r>
          </w:p>
        </w:tc>
        <w:tc>
          <w:tcPr>
            <w:tcW w:w="9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​          ​​ ​​ ​</w:t>
            </w:r>
          </w:p>
        </w:tc>
        <w:tc>
          <w:tcPr>
            <w:tcW w:w="3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53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Pro forma as adjusted net tangible book value per share immediately after this</w:t>
            </w: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offering</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32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0" w:type="dxa"/>
            <w:vAlign w:val="bottom"/>
          </w:tcPr>
          <w:p>
            <w:pPr>
              <w:spacing w:after="0"/>
              <w:rPr>
                <w:sz w:val="1"/>
                <w:szCs w:val="1"/>
                <w:color w:val="auto"/>
              </w:rPr>
            </w:pPr>
          </w:p>
        </w:tc>
      </w:tr>
      <w:tr>
        <w:trPr>
          <w:trHeight w:val="167"/>
        </w:trPr>
        <w:tc>
          <w:tcPr>
            <w:tcW w:w="536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Dilution per share to new investors participating in this offering</w:t>
            </w:r>
          </w:p>
        </w:tc>
        <w:tc>
          <w:tcPr>
            <w:tcW w:w="320" w:type="dxa"/>
            <w:vAlign w:val="bottom"/>
            <w:tcBorders>
              <w:top w:val="single" w:sz="8" w:color="CCEEFF"/>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5"/>
                <w:szCs w:val="15"/>
                <w:color w:val="auto"/>
              </w:rPr>
              <w:t xml:space="preserve">         </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4"/>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rPr>
              <w:t>​</w:t>
            </w:r>
          </w:p>
        </w:tc>
        <w:tc>
          <w:tcPr>
            <w:tcW w:w="5260" w:type="dxa"/>
            <w:vAlign w:val="bottom"/>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
                <w:szCs w:val="2"/>
                <w:b w:val="1"/>
                <w:bCs w:val="1"/>
                <w:color w:val="auto"/>
              </w:rPr>
              <w:t>​</w:t>
            </w:r>
            <w:r>
              <w:rPr>
                <w:rFonts w:ascii="Times New Roman" w:cs="Times New Roman" w:eastAsia="Times New Roman" w:hAnsi="Times New Roman"/>
                <w:sz w:val="2"/>
                <w:szCs w:val="2"/>
                <w:color w:val="auto"/>
              </w:rPr>
              <w:t>​ ​​</w:t>
            </w:r>
          </w:p>
        </w:tc>
        <w:tc>
          <w:tcPr>
            <w:tcW w:w="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391350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913505" cy="6985"/>
                    </a:xfrm>
                    <a:prstGeom prst="rect">
                      <a:avLst/>
                    </a:prstGeom>
                    <a:noFill/>
                  </pic:spPr>
                </pic:pic>
              </a:graphicData>
            </a:graphic>
          </wp:anchor>
        </w:drawing>
      </w:r>
    </w:p>
    <w:p>
      <w:pPr>
        <w:spacing w:after="0" w:line="163"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dilution information discussed above is illustrative only and will change based on the actual initial public offering price and other terms of this offering determined at pricing. Each $1.00 increase or decrease in the assumed initial price to the public of $            per share, which is the midpoint of the price range set forth on the cover page of this prospectus, would increase or decrease, as applicable, the pro forma as adjusted net tangible book value by approximately $            million, or approximately $            per share, and increase or decrease, as applicable, the dilution per share to investors participating in this offering by approximately $            per share, assuming that the number of shares offered by us, as set forth on the cover page of this prospectus, remains the same, and after deducting the estimated underwriting discounts and commissions and estimated offering expenses payable by us. Similarly, each increase or decrease of 1,000,000 in the number of shares offered by us, as set forth on the cover page of this prospectus, would increase or decrease, as applicable, the pro forma as adjusted net tangible book value by approximately $            million, or approximately $            per share, and the dilution per share to new investors participating in this offering would be approximately $            per share, assuming that the assumed initial price to the public remains the same, and after deducting the estimated underwriting discounts and commissions and estimated offering expenses payable by us.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2" w:name="page83"/>
    <w:bookmarkEnd w:id="8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If the underwriters exercise in full their over-allotment option of common stock from us in this offering, our pro forma as adjusted net tangible book value per share after the offering would be approximately $            , representing an immediate increase in pro forma as adjusted net tangible book value per share of approximately $            to existing stockholders and immediate dilution in pro forma as adjusted net tangible book value per share of approximately $            to new investors purchasing common stock in this offering, assuming an initial public offering price of approximately $            per share, which is the midpoint of the price range set forth on the cover page of this prospectus, and after deducting estimated underwriting discounts and commissions and estimated offering expenses payable by us.</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following table summarizes, as of June 30, 2024, on the pro forma as adjusted basis described above, the total number of shares of common stock purchased from us, the total consideration and the weighted-average price per share (1) paid by existing stockholders and (2) to be paid by new investors participating in this offering at the assumed initial public offering price of $            per share, which is the midpoint of the price range set forth on the cover page of this prospectus, before deducting estimated underwriting discounts and commissions and estimated offering expenses payable by us. As the table shows, new investors purchasing common stock in this offering will pay an average price per share substantially higher than our existing stockholders paid.</w:t>
      </w:r>
    </w:p>
    <w:p>
      <w:pPr>
        <w:spacing w:after="0" w:line="12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Weighted-</w:t>
            </w:r>
          </w:p>
        </w:tc>
        <w:tc>
          <w:tcPr>
            <w:tcW w:w="0" w:type="dxa"/>
            <w:vAlign w:val="bottom"/>
          </w:tcPr>
          <w:p>
            <w:pPr>
              <w:spacing w:after="0"/>
              <w:rPr>
                <w:sz w:val="1"/>
                <w:szCs w:val="1"/>
                <w:color w:val="auto"/>
              </w:rPr>
            </w:pPr>
          </w:p>
        </w:tc>
      </w:tr>
      <w:tr>
        <w:trPr>
          <w:trHeight w:val="132"/>
        </w:trPr>
        <w:tc>
          <w:tcPr>
            <w:tcW w:w="34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gridSpan w:val="5"/>
            <w:vMerge w:val="restart"/>
          </w:tcPr>
          <w:p>
            <w:pPr>
              <w:ind w:left="40"/>
              <w:spacing w:after="0" w:line="229"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Shares Purchased</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Total Consideration</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88"/>
              </w:rPr>
              <w:t>Average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340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160" w:type="dxa"/>
            <w:vAlign w:val="bottom"/>
            <w:gridSpan w:val="5"/>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48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6"/>
              </w:rPr>
              <w:t>Price Per</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3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0" w:type="dxa"/>
            <w:vAlign w:val="bottom"/>
            <w:tcBorders>
              <w:right w:val="single" w:sz="8" w:color="auto"/>
            </w:tcBorders>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gridSpan w:val="2"/>
          </w:tcPr>
          <w:p>
            <w:pPr>
              <w:ind w:left="40"/>
              <w:spacing w:after="0" w:line="185"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Number</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Percent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Percent</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spacing w:after="0" w:line="185"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Share</w:t>
            </w:r>
          </w:p>
        </w:tc>
        <w:tc>
          <w:tcPr>
            <w:tcW w:w="4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Existing stockholders</w:t>
            </w:r>
          </w:p>
        </w:tc>
        <w:tc>
          <w:tcPr>
            <w:tcW w:w="6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
                <w:szCs w:val="1"/>
                <w:color w:val="auto"/>
                <w:w w:val="4294942296"/>
              </w:rPr>
              <w:t>​</w:t>
            </w:r>
          </w:p>
        </w:tc>
        <w:tc>
          <w:tcPr>
            <w:tcW w:w="70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right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480" w:type="dxa"/>
            <w:vAlign w:val="bottom"/>
            <w:shd w:val="clear" w:color="auto" w:fill="CCEEFF"/>
          </w:tcPr>
          <w:p>
            <w:pPr>
              <w:ind w:lef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3"/>
                <w:szCs w:val="1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4"/>
        </w:trPr>
        <w:tc>
          <w:tcPr>
            <w:tcW w:w="3400" w:type="dxa"/>
            <w:vAlign w:val="bottom"/>
            <w:shd w:val="clear" w:color="auto" w:fill="CCEEFF"/>
          </w:tcPr>
          <w:p>
            <w:pPr>
              <w:spacing w:after="0"/>
              <w:rPr>
                <w:sz w:val="3"/>
                <w:szCs w:val="3"/>
                <w:color w:val="auto"/>
              </w:rPr>
            </w:pPr>
          </w:p>
        </w:tc>
        <w:tc>
          <w:tcPr>
            <w:tcW w:w="620" w:type="dxa"/>
            <w:vAlign w:val="bottom"/>
            <w:gridSpan w:val="3"/>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80" w:type="dxa"/>
            <w:vAlign w:val="bottom"/>
            <w:tcBorders>
              <w:right w:val="single" w:sz="8" w:color="CCEEFF"/>
            </w:tcBorders>
            <w:vMerge w:val="continue"/>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ind w:left="40"/>
              <w:spacing w:after="0" w:line="44" w:lineRule="exact"/>
              <w:rPr>
                <w:sz w:val="20"/>
                <w:szCs w:val="20"/>
                <w:color w:val="auto"/>
              </w:rPr>
            </w:pPr>
            <w:r>
              <w:rPr>
                <w:rFonts w:ascii="Times New Roman" w:cs="Times New Roman" w:eastAsia="Times New Roman" w:hAnsi="Times New Roman"/>
                <w:sz w:val="5"/>
                <w:szCs w:val="5"/>
                <w:color w:val="auto"/>
              </w:rPr>
              <w:t>​</w:t>
            </w:r>
          </w:p>
        </w:tc>
        <w:tc>
          <w:tcPr>
            <w:tcW w:w="120" w:type="dxa"/>
            <w:vAlign w:val="bottom"/>
            <w:tcBorders>
              <w:right w:val="single" w:sz="8" w:color="CCEEFF"/>
            </w:tcBorders>
            <w:shd w:val="clear" w:color="auto" w:fill="CCEEFF"/>
          </w:tcPr>
          <w:p>
            <w:pPr>
              <w:ind w:left="20"/>
              <w:spacing w:after="0" w:line="44" w:lineRule="exact"/>
              <w:rPr>
                <w:sz w:val="20"/>
                <w:szCs w:val="20"/>
                <w:color w:val="auto"/>
              </w:rPr>
            </w:pPr>
            <w:r>
              <w:rPr>
                <w:rFonts w:ascii="Times New Roman" w:cs="Times New Roman" w:eastAsia="Times New Roman" w:hAnsi="Times New Roman"/>
                <w:sz w:val="5"/>
                <w:szCs w:val="5"/>
                <w:color w:val="auto"/>
              </w:rPr>
              <w:t>​​</w:t>
            </w:r>
          </w:p>
        </w:tc>
        <w:tc>
          <w:tcPr>
            <w:tcW w:w="480" w:type="dxa"/>
            <w:vAlign w:val="bottom"/>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60" w:type="dxa"/>
            <w:vAlign w:val="bottom"/>
            <w:gridSpan w:val="2"/>
            <w:shd w:val="clear" w:color="auto" w:fill="CCEEFF"/>
          </w:tcPr>
          <w:p>
            <w:pPr>
              <w:ind w:left="40"/>
              <w:spacing w:after="0" w:line="44" w:lineRule="exact"/>
              <w:rPr>
                <w:sz w:val="20"/>
                <w:szCs w:val="20"/>
                <w:color w:val="auto"/>
              </w:rPr>
            </w:pPr>
            <w:r>
              <w:rPr>
                <w:rFonts w:ascii="Times New Roman" w:cs="Times New Roman" w:eastAsia="Times New Roman" w:hAnsi="Times New Roman"/>
                <w:sz w:val="5"/>
                <w:szCs w:val="5"/>
                <w:color w:val="auto"/>
              </w:rPr>
              <w:t>​ ​ ​</w:t>
            </w:r>
          </w:p>
        </w:tc>
        <w:tc>
          <w:tcPr>
            <w:tcW w:w="40" w:type="dxa"/>
            <w:vAlign w:val="bottom"/>
            <w:shd w:val="clear" w:color="auto" w:fill="CCEEFF"/>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New investors</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4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 xml:space="preserve">​ 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4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 xml:space="preserve"> ​          </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ind w:left="40"/>
              <w:spacing w:after="0" w:line="165" w:lineRule="exact"/>
              <w:rPr>
                <w:sz w:val="20"/>
                <w:szCs w:val="20"/>
                <w:color w:val="auto"/>
              </w:rPr>
            </w:pPr>
            <w:r>
              <w:rPr>
                <w:rFonts w:ascii="Times New Roman" w:cs="Times New Roman" w:eastAsia="Times New Roman" w:hAnsi="Times New Roman"/>
                <w:sz w:val="15"/>
                <w:szCs w:val="15"/>
                <w:color w:val="auto"/>
              </w:rPr>
              <w:t xml:space="preserve">​           </w:t>
            </w: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4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 xml:space="preserve">​           </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ind w:left="40"/>
              <w:spacing w:after="0" w:line="165" w:lineRule="exact"/>
              <w:rPr>
                <w:sz w:val="20"/>
                <w:szCs w:val="20"/>
                <w:color w:val="auto"/>
              </w:rPr>
            </w:pPr>
            <w:r>
              <w:rPr>
                <w:rFonts w:ascii="Times New Roman" w:cs="Times New Roman" w:eastAsia="Times New Roman" w:hAnsi="Times New Roman"/>
                <w:sz w:val="15"/>
                <w:szCs w:val="15"/>
                <w:color w:val="auto"/>
              </w:rPr>
              <w:t xml:space="preserve">$         </w:t>
            </w: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55"/>
        </w:trPr>
        <w:tc>
          <w:tcPr>
            <w:tcW w:w="34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gridSpan w:val="2"/>
          </w:tcPr>
          <w:p>
            <w:pPr>
              <w:jc w:val="right"/>
              <w:ind w:right="327"/>
              <w:spacing w:after="0" w:line="55"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vMerge w:val="continue"/>
          </w:tcPr>
          <w:p>
            <w:pPr>
              <w:spacing w:after="0"/>
              <w:rPr>
                <w:sz w:val="4"/>
                <w:szCs w:val="4"/>
                <w:color w:val="auto"/>
              </w:rPr>
            </w:pPr>
          </w:p>
        </w:tc>
        <w:tc>
          <w:tcPr>
            <w:tcW w:w="520" w:type="dxa"/>
            <w:vAlign w:val="bottom"/>
            <w:gridSpan w:val="2"/>
          </w:tcPr>
          <w:p>
            <w:pPr>
              <w:jc w:val="right"/>
              <w:ind w:right="369"/>
              <w:spacing w:after="0" w:line="55"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gridSpan w:val="2"/>
          </w:tcPr>
          <w:p>
            <w:pPr>
              <w:ind w:left="20"/>
              <w:spacing w:after="0" w:line="55"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vMerge w:val="continue"/>
          </w:tcPr>
          <w:p>
            <w:pPr>
              <w:spacing w:after="0"/>
              <w:rPr>
                <w:sz w:val="4"/>
                <w:szCs w:val="4"/>
                <w:color w:val="auto"/>
              </w:rPr>
            </w:pPr>
          </w:p>
        </w:tc>
        <w:tc>
          <w:tcPr>
            <w:tcW w:w="480" w:type="dxa"/>
            <w:vAlign w:val="bottom"/>
          </w:tcPr>
          <w:p>
            <w:pPr>
              <w:spacing w:after="0" w:line="55"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shd w:val="clear" w:color="auto" w:fill="CCEEFF"/>
          </w:tcPr>
          <w:p>
            <w:pPr>
              <w:ind w:left="160"/>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27"/>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right w:val="single" w:sz="8" w:color="CCEEFF"/>
            </w:tcBorders>
            <w:shd w:val="clear" w:color="auto" w:fill="CCEEFF"/>
          </w:tcPr>
          <w:p>
            <w:pPr>
              <w:spacing w:after="0"/>
              <w:rPr>
                <w:sz w:val="13"/>
                <w:szCs w:val="13"/>
                <w:color w:val="auto"/>
              </w:rPr>
            </w:pPr>
          </w:p>
        </w:tc>
        <w:tc>
          <w:tcPr>
            <w:tcW w:w="11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 100.0% $</w:t>
            </w:r>
          </w:p>
        </w:tc>
        <w:tc>
          <w:tcPr>
            <w:tcW w:w="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 100.0%</w:t>
            </w:r>
          </w:p>
        </w:tc>
        <w:tc>
          <w:tcPr>
            <w:tcW w:w="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 ​ ​</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55"/>
        </w:trPr>
        <w:tc>
          <w:tcPr>
            <w:tcW w:w="340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20" w:type="dxa"/>
            <w:vAlign w:val="bottom"/>
            <w:gridSpan w:val="2"/>
            <w:shd w:val="clear" w:color="auto" w:fill="CCEEFF"/>
          </w:tcPr>
          <w:p>
            <w:pPr>
              <w:jc w:val="right"/>
              <w:ind w:right="327"/>
              <w:spacing w:after="0" w:line="55"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vMerge w:val="continue"/>
            <w:shd w:val="clear" w:color="auto" w:fill="CCEEFF"/>
          </w:tcPr>
          <w:p>
            <w:pPr>
              <w:spacing w:after="0"/>
              <w:rPr>
                <w:sz w:val="4"/>
                <w:szCs w:val="4"/>
                <w:color w:val="auto"/>
              </w:rPr>
            </w:pPr>
          </w:p>
        </w:tc>
        <w:tc>
          <w:tcPr>
            <w:tcW w:w="520" w:type="dxa"/>
            <w:vAlign w:val="bottom"/>
            <w:gridSpan w:val="2"/>
            <w:shd w:val="clear" w:color="auto" w:fill="CCEEFF"/>
          </w:tcPr>
          <w:p>
            <w:pPr>
              <w:jc w:val="right"/>
              <w:ind w:right="369"/>
              <w:spacing w:after="0" w:line="55"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shd w:val="clear" w:color="auto" w:fill="CCEEFF"/>
          </w:tcPr>
          <w:p>
            <w:pPr>
              <w:spacing w:after="0" w:line="55"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tcBorders>
              <w:right w:val="single" w:sz="8" w:color="CCEEFF"/>
            </w:tcBorders>
            <w:shd w:val="clear" w:color="auto" w:fill="CCEEFF"/>
          </w:tcPr>
          <w:p>
            <w:pPr>
              <w:ind w:left="20"/>
              <w:spacing w:after="0" w:line="55" w:lineRule="exact"/>
              <w:rPr>
                <w:sz w:val="20"/>
                <w:szCs w:val="20"/>
                <w:color w:val="auto"/>
              </w:rPr>
            </w:pPr>
            <w:r>
              <w:rPr>
                <w:rFonts w:ascii="Times New Roman" w:cs="Times New Roman" w:eastAsia="Times New Roman" w:hAnsi="Times New Roman"/>
                <w:sz w:val="6"/>
                <w:szCs w:val="6"/>
                <w:color w:val="auto"/>
              </w:rPr>
              <w:t>​​</w:t>
            </w:r>
          </w:p>
        </w:tc>
        <w:tc>
          <w:tcPr>
            <w:tcW w:w="48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20" w:type="dxa"/>
            <w:vAlign w:val="bottom"/>
            <w:gridSpan w:val="2"/>
            <w:shd w:val="clear" w:color="auto" w:fill="CCEEFF"/>
          </w:tcPr>
          <w:p>
            <w:pPr>
              <w:ind w:left="20"/>
              <w:spacing w:after="0" w:line="55"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tcBorders>
              <w:right w:val="single" w:sz="8" w:color="CCEEFF"/>
            </w:tcBorders>
            <w:shd w:val="clear" w:color="auto" w:fill="CCEEFF"/>
          </w:tcPr>
          <w:p>
            <w:pPr>
              <w:spacing w:after="0" w:line="55" w:lineRule="exact"/>
              <w:rPr>
                <w:sz w:val="20"/>
                <w:szCs w:val="20"/>
                <w:color w:val="auto"/>
              </w:rPr>
            </w:pPr>
            <w:r>
              <w:rPr>
                <w:rFonts w:ascii="Times New Roman" w:cs="Times New Roman" w:eastAsia="Times New Roman" w:hAnsi="Times New Roman"/>
                <w:sz w:val="6"/>
                <w:szCs w:val="6"/>
                <w:color w:val="auto"/>
              </w:rPr>
              <w:t>​​</w:t>
            </w:r>
          </w:p>
        </w:tc>
        <w:tc>
          <w:tcPr>
            <w:tcW w:w="480" w:type="dxa"/>
            <w:vAlign w:val="bottom"/>
            <w:vMerge w:val="continue"/>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-153035</wp:posOffset>
            </wp:positionV>
            <wp:extent cx="44640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46405" cy="698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-153035</wp:posOffset>
            </wp:positionV>
            <wp:extent cx="11874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-153035</wp:posOffset>
            </wp:positionV>
            <wp:extent cx="306959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069590" cy="698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-431800</wp:posOffset>
            </wp:positionV>
            <wp:extent cx="11176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-431800</wp:posOffset>
            </wp:positionV>
            <wp:extent cx="390652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906520" cy="6985"/>
                    </a:xfrm>
                    <a:prstGeom prst="rect">
                      <a:avLst/>
                    </a:prstGeom>
                    <a:noFill/>
                  </pic:spPr>
                </pic:pic>
              </a:graphicData>
            </a:graphic>
          </wp:anchor>
        </w:drawing>
      </w:r>
    </w:p>
    <w:p>
      <w:pPr>
        <w:spacing w:after="0" w:line="15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table above assumes no exercise of the underwriters’ over-allotment option in this offering. If the underwriters’ over-allotment option is exercised in full, the number of shares of common stock held by existing stockholders would be reduced to        % of the total number of shares of common stock to be outstanding upon completion of this offering, and the number of shares of common stock held by new investors participating in this offering will be increased to        % of the total number of shares of our common stock to be outstanding upon completion of the offering.</w:t>
      </w:r>
    </w:p>
    <w:p>
      <w:pPr>
        <w:spacing w:after="0" w:line="10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Each $1.00 increase or decrease in the assumed initial public offering price of $            per share, which is the midpoint of the price range set forth on the cover page of this prospectus, would increase or decrease, as applicable, the total consideration paid by new investors by approximately $            million, assuming that the number of shares offered by us, as set forth on the cover page of this prospectus, remains the same. We may also increase or decrease the number of shares we are offering. Similarly, each increase or decrease of 1,000,000 in the number of shares offered by us would increase or decrease, as applicable, total consideration paid by new investors by approximately $            million, assuming no change in the assumed initial public offering price.</w:t>
      </w:r>
    </w:p>
    <w:p>
      <w:pPr>
        <w:spacing w:after="0" w:line="90"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foregoing tables and calculations (other than historical net tangible book value) are based on 230,598,212 shares outstanding as of June 30, 2024 (including 13,086 shares of unvested restricted common stock), after giving effect to (i) the automatic conversion of all outstanding shares of our convertible preferred stock as of June 30, 2024 into an aggregate of 216,892,920 shares of our common stock immediately prior to the completion of this offering and (ii) the reclassification of the carrying value of the convertible preferred stock to permanent equity immediately prior to the completion of this offering, and excludes:</w:t>
      </w:r>
    </w:p>
    <w:p>
      <w:pPr>
        <w:spacing w:after="0" w:line="245" w:lineRule="exact"/>
        <w:rPr>
          <w:sz w:val="20"/>
          <w:szCs w:val="20"/>
          <w:color w:val="auto"/>
        </w:rPr>
      </w:pPr>
    </w:p>
    <w:p>
      <w:pPr>
        <w:ind w:left="1600" w:right="1179" w:hanging="143"/>
        <w:spacing w:after="0" w:line="269" w:lineRule="auto"/>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37,077,687 shares of common stock issuable upon the exercise of stock options outstanding as of June 30, 2024, with a weighted-average exercise price of $1.06 per share;</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310,396 shares of common stock reserved for issuance as of June 30, 2024 under the 2020 Plan;</w:t>
      </w:r>
    </w:p>
    <w:p>
      <w:pPr>
        <w:spacing w:after="0" w:line="91" w:lineRule="exact"/>
        <w:rPr>
          <w:rFonts w:ascii="Times New Roman" w:cs="Times New Roman" w:eastAsia="Times New Roman" w:hAnsi="Times New Roman"/>
          <w:sz w:val="15"/>
          <w:szCs w:val="15"/>
          <w:color w:val="auto"/>
        </w:rPr>
      </w:pPr>
    </w:p>
    <w:p>
      <w:pPr>
        <w:ind w:left="2220" w:hanging="763"/>
        <w:spacing w:after="0"/>
        <w:tabs>
          <w:tab w:leader="none" w:pos="22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common stock issuable upon the exercise of stock options granted subsequent to</w:t>
      </w:r>
    </w:p>
    <w:p>
      <w:pPr>
        <w:spacing w:after="0" w:line="18" w:lineRule="exact"/>
        <w:rPr>
          <w:sz w:val="20"/>
          <w:szCs w:val="20"/>
          <w:color w:val="auto"/>
        </w:rPr>
      </w:pPr>
    </w:p>
    <w:p>
      <w:pPr>
        <w:ind w:left="1600"/>
        <w:spacing w:after="0"/>
        <w:tabs>
          <w:tab w:leader="none" w:pos="6900" w:val="left"/>
        </w:tabs>
        <w:rPr>
          <w:sz w:val="20"/>
          <w:szCs w:val="20"/>
          <w:color w:val="auto"/>
        </w:rPr>
      </w:pPr>
      <w:r>
        <w:rPr>
          <w:rFonts w:ascii="Times New Roman" w:cs="Times New Roman" w:eastAsia="Times New Roman" w:hAnsi="Times New Roman"/>
          <w:sz w:val="15"/>
          <w:szCs w:val="15"/>
          <w:color w:val="auto"/>
        </w:rPr>
        <w:t>June 30, 2024, under the 2020 Plan, with a weighted-average exercise price of $</w:t>
      </w:r>
      <w:r>
        <w:rPr>
          <w:sz w:val="20"/>
          <w:szCs w:val="20"/>
          <w:color w:val="auto"/>
        </w:rPr>
        <w:tab/>
      </w:r>
      <w:r>
        <w:rPr>
          <w:rFonts w:ascii="Times New Roman" w:cs="Times New Roman" w:eastAsia="Times New Roman" w:hAnsi="Times New Roman"/>
          <w:sz w:val="15"/>
          <w:szCs w:val="15"/>
          <w:color w:val="auto"/>
        </w:rPr>
        <w:t>per share;</w:t>
      </w:r>
    </w:p>
    <w:p>
      <w:pPr>
        <w:spacing w:after="0" w:line="76" w:lineRule="exact"/>
        <w:rPr>
          <w:sz w:val="20"/>
          <w:szCs w:val="20"/>
          <w:color w:val="auto"/>
        </w:rPr>
      </w:pPr>
    </w:p>
    <w:p>
      <w:pPr>
        <w:jc w:val="both"/>
        <w:ind w:left="1600" w:right="1179" w:hanging="143"/>
        <w:spacing w:after="0" w:line="262" w:lineRule="auto"/>
        <w:tabs>
          <w:tab w:leader="none" w:pos="2072"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common stock reserved for issuance under the 2024 Plan, which will become effective in connection with this offering (which includes up to approximately            million shares of</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3" w:name="page84"/>
    <w:bookmarkEnd w:id="8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spacing w:after="0" w:line="257" w:lineRule="auto"/>
        <w:rPr>
          <w:sz w:val="20"/>
          <w:szCs w:val="20"/>
          <w:color w:val="auto"/>
        </w:rPr>
      </w:pPr>
      <w:r>
        <w:rPr>
          <w:rFonts w:ascii="Times New Roman" w:cs="Times New Roman" w:eastAsia="Times New Roman" w:hAnsi="Times New Roman"/>
          <w:sz w:val="15"/>
          <w:szCs w:val="15"/>
          <w:color w:val="auto"/>
        </w:rPr>
        <w:t>common stock underlying stock option awards that our board of directors may grant under the 2024 Plan upon the pricing of this offering with an exercise price per share equal to the initial public offering price per share); and</w:t>
      </w:r>
    </w:p>
    <w:p>
      <w:pPr>
        <w:spacing w:after="0" w:line="61" w:lineRule="exact"/>
        <w:rPr>
          <w:sz w:val="20"/>
          <w:szCs w:val="20"/>
          <w:color w:val="auto"/>
        </w:rPr>
      </w:pPr>
    </w:p>
    <w:p>
      <w:pPr>
        <w:ind w:left="1600" w:right="1179" w:hanging="143"/>
        <w:spacing w:after="0" w:line="269" w:lineRule="auto"/>
        <w:tabs>
          <w:tab w:leader="none" w:pos="196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common stock reserved for issuance under the ESPP, which will become effective in connection with this offering.</w:t>
      </w:r>
    </w:p>
    <w:p>
      <w:pPr>
        <w:spacing w:after="0" w:line="8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New investors participating in this offering will experience further dilution when any new options are issued and exercised under our equity incentive plans or we issue additional shares of common stock, other equity securities or convertible debt securities for lower consideration per share than in this offering in the future. In addition, we may choose to raise additional capital through the sale of equity or convertible debt securities due to market conditions or strategic considerations, even if we believe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4" w:name="page85"/>
    <w:bookmarkEnd w:id="84"/>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5"/>
          <w:szCs w:val="15"/>
          <w:b w:val="1"/>
          <w:bCs w:val="1"/>
          <w:color w:val="auto"/>
        </w:rPr>
        <w:t>MANAGEMENT’S DISCUSSION AND ANALYSIS OF</w:t>
      </w:r>
    </w:p>
    <w:p>
      <w:pPr>
        <w:spacing w:after="0" w:line="2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5"/>
          <w:szCs w:val="15"/>
          <w:b w:val="1"/>
          <w:bCs w:val="1"/>
          <w:color w:val="auto"/>
        </w:rPr>
        <w:t>FINANCIAL CONDITION AND RESULTS OF OPERATIONS</w:t>
      </w:r>
    </w:p>
    <w:p>
      <w:pPr>
        <w:spacing w:after="0" w:line="9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uncertainties and assumptions. Our actual results and the timing of events could differ materially from those anticipated in these forward-looking statements as a result of various factors, including those set forth under “Risk Factors” and elsewhere in this prospectus. See “Special Note Regarding Forward-Looking Statements” and “Risk Factors” for a discussion of forward-looking statements and important factors that could cause actual results to differ materially from the results described in or implied by these forward-looking statements.</w:t>
      </w:r>
    </w:p>
    <w:p>
      <w:pPr>
        <w:spacing w:after="0" w:line="2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are a clinical-stage global biopharmaceutical company committed to being a leader in the development and commercialization of transformative immunology-based therapies for patients in need. With the evolving understanding of the pathogenesis of autoimmune diseases, along with the expansion of promising immunology-based pharmacologic targets, we are building an I&amp;I focused biopharmaceutical company. Our core business strategy combines disciplined product candidate acquisition with strategic deployment of internal expertise and effective use of external resources. We leverage our experienced executive management team and our established networks throughout the biopharmaceutical industry to identify, acquire and develop product candidates that we believe can provide superior clinical benefits to patients living with autoimmune diseases.</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lead I&amp;I product candidate, obexelimab, is a bifunctional monoclonal antibody designed to bind both CD19 and FcγRIIb, which are broadly present across B cell lineage, in order to inhibit the activity of cells that are implicated in many autoimmune diseases without depleting them. Based on existing clinical data generated to date, we believe that targeting B cell lineage via CD19 and FcγRIIb can inhibit B cells and has been shown to be well- tolerated. While anti-CD20 or other anti-CD19 targeting agents may effectively deplete B cells in systemic circulation, these agents do not fully impact B cells in relevant tissue, and the intermittent dosing regimens of these agents may not provide optimal benefits for all patients. In addition, anti-CD20 and other anti-CD19 targeting agents cause prolonged depletion of circulating B cells for six months or longer, placing patients at higher risk of opportunistic infections and potentially reducing their ability to respond to, and receive full benefit from vaccines. We believe obexelimab’s mechanism of action and chronic dosing regimen may broadly and effectively address the pathogenic role of B cell lineage in chronic autoimmune disease. Across five clinical trials in which 198 subjects were dosed, obexelimab was well-tolerated and demonstrated clinical activity that we believe provides POC for obexelimab as a B cell inhibitor for the treatment of patients living with certain autoimmune diseases and, together with its mechanism of action, positions obexelimab to be a potentially differentiated B cell therapy for the treatment of such patients.</w:t>
      </w:r>
    </w:p>
    <w:p>
      <w:pPr>
        <w:spacing w:after="0" w:line="21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are developing obexelimab as a potential I&amp;I franchise for patients in several autoimmune diseases, representing substantial commercial opportunities individually and in the aggregate. The first four indications we are pursuing include IgG4-RD through an ongoing registration-directed Phase 3 trial, MS and SLE through planned Phase 2, double-blind, randomized, placebo-controlled trials, each of which we plan to commence in the third quarter of 2024, and wAIHA through an ongoing Phase 2/3 trial, currently in the Phase 2 open label portion.</w:t>
      </w:r>
    </w:p>
    <w:p>
      <w:pPr>
        <w:spacing w:after="0" w:line="9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Beyond our lead product candidate, obexelimab, we are advancing a pipeline of clinical programs for the potential treatment of other I&amp;I indications that we may continue to develop and ultimately commercialize with partners. Our pipeline includes two global programs, ZB002 (an anti-TNFα monoclonal antibody) and ZB004 (a CTLA-4-Ig fusion), and two regional programs, ZB001 (also known as VRDN -001, an IGF-1R monoclonal antibody), and related programs, and ZB005 (also known as DNTH103, an anti-active C1s monoclonal antibody), both of which we hold the development and commercialization rights for in greater China. Based on the ongoing clinical studies and clinical data generated to date, we intend to determine future potential indications in which to pursue further clinical development of these programs, and ultimately, if approved, commercialization with one or more partners.</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5" w:name="page86"/>
    <w:bookmarkEnd w:id="8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Since inception, our operations have focused on research and development activities with respect to our product candidates as described above, as well as raising capital, business planning, organizing and staffing our company, establishing our intellectual property portfolio, establishing arrangements with third parties for the manufacture of our product candidates and related raw materials, and providing general and administrative support for these operations. Through June 30, 2024, we have financed our operations primarily with the proceeds from the issuance of shares of our common stock and Series Seed convertible preferred stock (“Series Seed Preferred Stock”), Series A convertible preferred stock (“Series A Preferred Stock”), Series B convertible preferred stock (“Series B Preferred Stock”), and Series C convertible preferred stock (“Series C Preferred Stock”), which we refer to collectively as our “Preferred Stock”, and from payments received under our strategic license and collaboration agreement with BMS (the “BMS Agreement”), and from the issuance of our convertible notes. From inception through June 30, 2024, we have raised aggregate gross proceeds of $358.3 million through the sale and issuance of our common stock, Preferred Stock, convertible promissory notes, and $50.0 million through our BMS Agreement.</w:t>
      </w:r>
    </w:p>
    <w:p>
      <w:pPr>
        <w:spacing w:after="0" w:line="108"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To date, we have no product candidates approved for commercial sale in any country and have not generated any revenue from product sales.</w:t>
      </w:r>
    </w:p>
    <w:p>
      <w:pPr>
        <w:spacing w:after="0" w:line="8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have incurred significant operating losses and negative cash flows since inception. Our ability to generate product revenue sufficient to achieve profitability will depend heavily on the successful development and eventual commercialization of one or more of our product candidates. Our net losses for the six months ended June 30, 2024 and 2023 were $65.8 million and $48.1 million, respectively. Our net losses for the years ended December 31, 2023 and 2022 were $37.1 million and $119.3 million, respectively. As of June 30, 2024, we had an accumulated deficit of $296.2 million. We expect to continue to incur significant and increasing losses for the foreseeable future. We expect that our expenses and capital requirements will increase substantially in connection with our ongoing activities, particularly if and as we:</w:t>
      </w:r>
    </w:p>
    <w:p>
      <w:pPr>
        <w:spacing w:after="0" w:line="68" w:lineRule="exact"/>
        <w:rPr>
          <w:sz w:val="20"/>
          <w:szCs w:val="20"/>
          <w:color w:val="auto"/>
        </w:rPr>
      </w:pPr>
    </w:p>
    <w:p>
      <w:pPr>
        <w:ind w:left="1600" w:hanging="143"/>
        <w:spacing w:after="0"/>
        <w:tabs>
          <w:tab w:leader="none" w:pos="1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clinical development of obexelimab and our other programs;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advance our obexelimab program and our other product candidates through preclinical development and clinical trials;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additional product candidates and acquire rights from third parties to those product candidates through licenses or acquisitions and conduct development activities, including preclinical studies and clinical trials;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royalty, milestone or other payments under current, and any future, license or collaboration agreements;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procure the manufacturing of preclinical, clinical and commercial supply of our current or any future product candidates;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marketing regulatory approvals for our current or any future product candidates that successfully complete clinical trials;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commercialize our current or any future product candidates, if approved;</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take steps toward our goal of being an integrated biopharma company capable of supporting commercial activities, including establishing sales, marketing and distribution infrastructure;</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develop, maintain and defend our intellectual property portfolio, including against third-party interference, infringement and other intellectual property claims, if any;</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to attract, hire and retain qualified clinical, scientific, operations and management personnel;</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 and maintain operational, financial and information management systems;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attempt to address any competing therapies and market developments;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experience delays in our preclinical studies, clinical trials or regulatory approval for our current or any future product candidates, including with respect to failed studies, inconclusive results, safety issues or other regulatory challenges;</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agreements with CROs and CMOs; and</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6" w:name="page87"/>
    <w:bookmarkEnd w:id="8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hanging="143"/>
        <w:spacing w:after="0" w:line="257" w:lineRule="auto"/>
        <w:tabs>
          <w:tab w:leader="none" w:pos="160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additional costs associated with being a public company, including audit, legal, regulatory, and tax-related services associated with maintaining compliance with an exchange listing and the SEC requirements, director and officer insurance premiums and investor relations costs.</w:t>
      </w:r>
    </w:p>
    <w:p>
      <w:pPr>
        <w:spacing w:after="0" w:line="94"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color w:val="auto"/>
        </w:rPr>
        <w:t>We will not generate revenue from product sales unless and until we successfully complete clinical development and obtain regulatory approval for a product candidate, and we cannot assure you that we will ever generate significant revenue or profits. In addition,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Our net losses may fluctuate significantly from period to period, depending on the timing of our planned clinical studies and expenditures related to our research and development activities.</w:t>
      </w:r>
    </w:p>
    <w:p>
      <w:pPr>
        <w:spacing w:after="0" w:line="93"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Furthermore, following the closing of this offering, we expect to incur additional costs associated with operating as a public company, including significant audit, legal, regulatory and tax-related expenses, as well as director and officer insurance premiums and investor relations costs that we did not incur as a private company. As a result, we will need substantial additional funding to support our continuing operations and pursue our growth strategy as a public company. Until such time as we can generate significant revenue from product sales, if ever, we expect to finance our operations through a combination of public or private equity financings, debt financings or other capital sources, which could include collaborations with other companies, or other strategic transactions and licensing agreements. We may be unable to obtain financing on acceptable terms, or at all, and we may be unable to enter into collaborations or other arrangements. Our failure to raise capital or enter into such agreements as, and when, needed, could have a material adverse effect on our business, results of operations, and financial condition, including requiring us to have to delay, reduce or eliminate product development or future commercialization efforts, or grant rights to develop and market potential future product candidates that we would otherwise prefer to develop and market ourselves.</w:t>
      </w:r>
    </w:p>
    <w:p>
      <w:pPr>
        <w:spacing w:after="0" w:line="289"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As there are numerous risks and uncertainties associated with development of I&amp;I therapeutics, we are unable to predict the timing or amount of increased expenses, or when or if we will be able to achieve or maintain profitability. Even if we are able to generate product sales, we may not become profitable. We will need to generate significant revenue to achieve profitability, and we may never do so. If we fail to become profitable or are unable to sustain profitability on a continuing basis, then we may be unable to continue our operations at planned levels and be forced to reduce or terminate our operations.</w:t>
      </w:r>
    </w:p>
    <w:p>
      <w:pPr>
        <w:spacing w:after="0" w:line="96"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As of June 30, 2024, we had $183.9 million in cash. We believe that our existing cash as of June 30, 2024, together with the anticipated net proceeds from this offering will be sufficient to fund our operations and capital expenditure requirements through at least the next         months. We have based this estimate on our current assumptions, which may prove to be wrong, and we may exhaust our available capital resources sooner than we expect. See section titled “—Liquidity and Capital Resources.”</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Redomicile</w:t>
      </w:r>
    </w:p>
    <w:p>
      <w:pPr>
        <w:spacing w:after="0" w:line="117"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On August 2, 2023, we (“Zenas BioPharma Cayman Limited” or “Zenas Cayman”) de-registered in the Cayman Islands and registered by way of continuation in the State of Delaware, whereby we filed a Certificate of Domestication to incorporate in the State of Delaware under the name of Zenas BioPharma, Inc. In connection with this redomicile, (i) the existing shares of convertible preferred stock and ordinary shares of Zenas Cayman automatically converted into the same number and classes of common stock and convertible preferred stock of Zenas BioPharma, Inc. on a one-to-one basis, with rights substantially similar to the converted shares of Zenas Cayman; and (ii) all of our outstanding stock under the 2020 Plan, previously exercisable for ordinary stock, were automatically converted into outstanding awards of Zenas BioPharma, Inc., exercisable for our common stock, with no other changes to the underlying terms of our awards.</w:t>
      </w:r>
    </w:p>
    <w:p>
      <w:pPr>
        <w:spacing w:after="0" w:line="282" w:lineRule="exact"/>
        <w:rPr>
          <w:sz w:val="20"/>
          <w:szCs w:val="20"/>
          <w:color w:val="auto"/>
        </w:rPr>
      </w:pPr>
    </w:p>
    <w:p>
      <w:pPr>
        <w:jc w:val="both"/>
        <w:ind w:left="1160" w:right="1179" w:firstLine="293"/>
        <w:spacing w:after="0" w:line="272" w:lineRule="auto"/>
        <w:rPr>
          <w:sz w:val="20"/>
          <w:szCs w:val="20"/>
          <w:color w:val="auto"/>
        </w:rPr>
      </w:pPr>
      <w:r>
        <w:rPr>
          <w:rFonts w:ascii="Times New Roman" w:cs="Times New Roman" w:eastAsia="Times New Roman" w:hAnsi="Times New Roman"/>
          <w:sz w:val="15"/>
          <w:szCs w:val="15"/>
          <w:color w:val="auto"/>
        </w:rPr>
        <w:t>Upon the completion of the redomicile and name change, the historical consolidated financial statements of Zenas Cayman became the historical financial statements of Zenas BioPharma, Inc. There was no impact on our consolidated financial statements as a result of the redomicile.</w:t>
      </w: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7" w:name="page88"/>
    <w:bookmarkEnd w:id="8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Components of Our Results of Operations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Revenue</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To date, we have no product candidates approved for commercial sale in any country, and we have not generated any revenues from the sale of products. Our revenue has been derived from collaboration arrangements and license fees.</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Collaboration Revenue</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Collaboration revenue is generated exclusively from our collaboration arrangement with BMS. Pursuant to the BMS Agreement, we sublicensed the rights to develop and commercialize obexelimab in Japan, South Korea, Taiwan, Singapore, Hong Kong and Australia (the “BMS Territory”). We retain exclusive rights to commercialize the licensed products containing obexelimab outside of the BMS Territory. The revenue recognized to date pursuant to this arrangement relates to the license of obexelimab and the related technology transfer, which was recognized upon delivery of the license. This arrangement includes the participation by BMS in certain joint global studies of obexelimab in accordance with the terms of the BMS Agreement, in which BMS will reimburse us for its share of the related study costs. Such reimbursements will be classified as a reduction to research and development expense in the period such costs are incurred. We will recognize development and regulatory milestones defined in the BMS Agreement when the achievement of the underlying milestone events is deemed probable, which is expected to be upon achievement. Sales milestones and royalties on future sales will be recognized in the period the related sales occur.</w:t>
      </w:r>
    </w:p>
    <w:p>
      <w:pPr>
        <w:spacing w:after="0" w:line="237"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For a more detailed description of this agreement, see the section titled “Business—Licensing and Collaborations,” Note 7 to our unaudited condensed consolidated financial statements and Note 8 to our audited consolidated financial statements included elsewhere in this prospectus.</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117"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Our operating expenses consists of (i) research and development expenses, (ii) general and administrative expenses and (iii) acquired in-process research and development expenses.</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Research and Development Expenses</w:t>
      </w:r>
    </w:p>
    <w:p>
      <w:pPr>
        <w:spacing w:after="0" w:line="11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Research and development expenses account for a significant portion of our operating expenses and consist primarily of external and internal costs incurred in connection with the preclinical and clinical development of obexelimab, ZB002, ZB004, ZB001 and ZB005, and include:</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Direct Costs:</w:t>
      </w:r>
    </w:p>
    <w:p>
      <w:pPr>
        <w:spacing w:after="0" w:line="93" w:lineRule="exact"/>
        <w:rPr>
          <w:sz w:val="20"/>
          <w:szCs w:val="20"/>
          <w:color w:val="auto"/>
        </w:rPr>
      </w:pPr>
    </w:p>
    <w:p>
      <w:pPr>
        <w:ind w:left="1600" w:right="1179" w:hanging="143"/>
        <w:spacing w:after="0" w:line="269" w:lineRule="auto"/>
        <w:tabs>
          <w:tab w:leader="none" w:pos="1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external research and development expenses incurred under agreements with CROs and consultants that conduct our clinical studies and other scientific development services;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incurred under agreements with CMOs for manufacturing material for our preclinical studies and clinical trials;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to obtain and maintain licenses to intellectual property, and related future payments should milestones described in those agreements be achieved; and</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related to compliance with regulatory requirements.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Indirect Costs:</w:t>
      </w:r>
    </w:p>
    <w:p>
      <w:pPr>
        <w:spacing w:after="0" w:line="93" w:lineRule="exact"/>
        <w:rPr>
          <w:sz w:val="20"/>
          <w:szCs w:val="20"/>
          <w:color w:val="auto"/>
        </w:rPr>
      </w:pPr>
    </w:p>
    <w:p>
      <w:pPr>
        <w:ind w:left="1600" w:right="1179" w:hanging="143"/>
        <w:spacing w:after="0" w:line="269" w:lineRule="auto"/>
        <w:tabs>
          <w:tab w:leader="none" w:pos="16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employee-related expenses including salaries, bonuses, benefits, stock-based compensation and other related costs for those employees involved in research and development activities;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of outside consultants, including their fees, stock-based compensation and related travel expenses.</w:t>
      </w:r>
    </w:p>
    <w:p>
      <w:pPr>
        <w:spacing w:after="0" w:line="290"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We expense research and development costs as incurred. We recognize external development costs based on an evaluation of the progress to completion of specific tasks using information provided to us by our vendors or our estimate of the level of service that has been performed at each reporting date. Payments for</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8" w:name="page89"/>
    <w:bookmarkEnd w:id="8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these external development activities are based on the terms of the individual agreements, which may differ from the pattern of costs incurred, and are reflected in our consolidated financial statements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A significant portion of our research and development costs have been external costs, which we track on an individual product candidate basis after a clinical product candidate has been identified. We utilize third party contractors for our research and development activities and CMOs for our manufacturing activities and we do not have our own laboratory or manufacturing facilities. Therefore, we have no material facilities expenses attributed to research and development. Our internal research and development costs are primarily personnel-related costs and other indirect costs. We do not track internal costs on a program specific or stage of program basis because these costs are deployed across multiple programs and, as such, are not separately classified.</w:t>
      </w:r>
    </w:p>
    <w:p>
      <w:pPr>
        <w:spacing w:after="0" w:line="99"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Where we share costs with our collaboration partners, such as in our BMS Agreement, research and development expenses may include cost sharing reimbursements from our partner.</w:t>
      </w:r>
    </w:p>
    <w:p>
      <w:pPr>
        <w:spacing w:after="0" w:line="7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Research and development activities are central to our business model. We expect that our research and development expenses will continue to increase for the foreseeable future as we advance clinical trials for our product candidates, pursue additional indications, continue to develop additional product candidates, expand our headcount and maintain, expand and enforce our intellectual property portfolio. We also expect our manufacturing costs to increase with our CMOs as we scale up our processes for commercial manufacturing. Product candidates in later stages of clinical development will generally have higher development costs than those in earlier stages of clinical development, primarily due to the increased size and duration of later-stage clinical trials and additional manufacturing activities. There are numerous factors associated with the successful development and commercialization of any product candidates we may develop, including the safety and efficacy of our product candidates, investment in our clinical programs, manufacturing capability and competition with other products, and future commercial and regulatory factors beyond our control that will impact our clinical development program and plans.</w:t>
      </w:r>
    </w:p>
    <w:p>
      <w:pPr>
        <w:spacing w:after="0" w:line="9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successful development of our current product candidates, or any product candidates we may develop in the future is highly uncertain. Therefore, we cannot reasonably estimate or know the nature, timing and estimated costs of the efforts that will be necessary to complete the development and commercialization of our product candidates, if approved, and any other product candidates that we may develop. We are also unable to predict when, if ever, material net cash inflows will commence from the sale of any current or future product candidate, if approved. This is due to the numerous risks and uncertainties associated with product development, including the uncertainty of:</w:t>
      </w:r>
    </w:p>
    <w:p>
      <w:pPr>
        <w:spacing w:after="0" w:line="66" w:lineRule="exact"/>
        <w:rPr>
          <w:sz w:val="20"/>
          <w:szCs w:val="20"/>
          <w:color w:val="auto"/>
        </w:rPr>
      </w:pPr>
    </w:p>
    <w:p>
      <w:pPr>
        <w:ind w:left="1600" w:right="1179" w:hanging="143"/>
        <w:spacing w:after="0" w:line="269" w:lineRule="auto"/>
        <w:tabs>
          <w:tab w:leader="none" w:pos="16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timing and progress of our ongoing obexelimab clinical studies and other research and development activities associated with the development of our other and future product candidates;</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and scope of preclinical and clinical programs we decide to pursue;</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our current research and development programs and to establish new programs;</w:t>
      </w:r>
    </w:p>
    <w:p>
      <w:pPr>
        <w:spacing w:after="0" w:line="245"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and successful patient enrollment in, and the initiation and completion of, clinical trials;</w:t>
      </w:r>
    </w:p>
    <w:p>
      <w:pPr>
        <w:spacing w:after="0" w:line="245"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successful completion of clinical trials with safety, tolerability and efficacy profiles that are satisfactory to the FDA, or any comparable foreign regulatory authority;</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receipt and terms of any marketing approvals from applicable regulatory authorities;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new licensing or collaboration arrangements;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of our future collaborators, if any;</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arrangements with third-party manufacturers for the commercial supply of products that receive marketing approval, if any;</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 and timely delivery of commercial-grade drug formulations that can be used in our planned clinical trials and for commercialization;</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9" w:name="page90"/>
    <w:bookmarkEnd w:id="8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hanging="143"/>
        <w:spacing w:after="0"/>
        <w:tabs>
          <w:tab w:leader="none" w:pos="16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maintaining, defending and enforcing patent claims and other intellectual property rights;</w:t>
      </w:r>
    </w:p>
    <w:p>
      <w:pPr>
        <w:spacing w:after="0" w:line="69"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hire additional personnel and consultants as our business grows, including additional executive officers and clinical development, regulatory, chemistry, manufacturing and controls (“CMC”), quality and commercial personnel;</w:t>
      </w:r>
    </w:p>
    <w:p>
      <w:pPr>
        <w:spacing w:after="0" w:line="39"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commercializing product candidates, if approved, whether alone or in collaboration with others;</w:t>
      </w:r>
    </w:p>
    <w:p>
      <w:pPr>
        <w:spacing w:after="0" w:line="69"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and timing of establishing or securing sales and marketing capabilities for our product candidates if approved;</w:t>
      </w:r>
    </w:p>
    <w:p>
      <w:pPr>
        <w:spacing w:after="0" w:line="3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achieve sufficient market acceptance, coverage and adequate reimbursement from third-party payors and adequate market share and revenue for any approved products; and</w:t>
      </w:r>
    </w:p>
    <w:p>
      <w:pPr>
        <w:spacing w:after="0" w:line="3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maintaining a continued acceptable safety profile of the product candidates following approval.</w:t>
      </w:r>
    </w:p>
    <w:p>
      <w:pPr>
        <w:spacing w:after="0" w:line="124"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Any changes in the outcome of any of these variables with respect to the development of our current product candidates or any future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anticipate would be required for the completion of clinical development, or if we experience significant delays in enrollment in any clinical trials following the FDA’s acceptance and clearance of an IND application, we could be required to expend significant additional financial resources and time to complete clinical development than we currently expect. We may never obtain regulatory approval for any product candidates that we develop.</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General and Administrative Expenses</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General and administrative expenses consist primarily of personnel-related expenses, including salaries, bonuses, benefits, and stock-based compensation expenses for personnel in executive, finance, accounting, human resources and other administrative functions. Other significant general and administrative expenses include legal fees relating to intellectual property and corporate matters, professional fees paid for accounting, auditing, tax and consulting and other professional services, and expenses for rent, insurance and other operating costs not otherwise classified as research and development expenses.</w:t>
      </w:r>
    </w:p>
    <w:p>
      <w:pPr>
        <w:spacing w:after="0" w:line="261"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anticipate that our general and administrative expenses will increase in the next few years as we increase our headcount to support our continued research and development activities of our product candidates. These increases will likely include increased costs related to the hiring of additional personnel and fees to outside consultants, among other expenses. We also anticipate increased expenses associated with being a public company, including costs for accounting, audit, legal, regulatory and tax-related services associated with maintaining compliance with the rules and regulations of the SEC, listing standards applicable to companies listed on a national securities exchange, director and officer insurance costs, and investor and public relations costs. In addition, if we obtain regulatory approval for our current product candidates or any product candidates we may develop in the future and do not enter into a third-party commercialization collaboration, we expect to incur significant expenses related to building a sales and marketing team to support product sales, marketing and distribution activities.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Acquired In-Process Research and Development Expenses</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expense acquisition costs for assets purchased for use in research and development activities that have no alternative future use as in-process research and development (“IPR&amp;D”) expense as of the acquisition date. When we become obligated to make contingent milestone payments under the terms of the agreements by which we acquired the IPR&amp;D assets, we will recognize additional IPR&amp;D expense. We measure and recognize contingent consideration in the period in which the related milestone is achieved and becomes payable.</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Total Other Income (Expense), Net</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Other Income (Expense), Net</w:t>
      </w:r>
    </w:p>
    <w:p>
      <w:pPr>
        <w:spacing w:after="0" w:line="11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Other income (expense), net primarily consists of interest income generated from interest bearing cash accounts and realized and unrealized gains and losses on foreign currency transactions.</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0" w:name="page91"/>
    <w:bookmarkEnd w:id="9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Change in Fair Value of Convertible Notes</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November 2021, we closed the sale and issuance of our convertible promissory notes (the “2021 Notes”) for proceeds of $58.0 million. We elected to record the 2021 Notes at fair value upon issuance and to remeasure the fair value at every subsequent reporting date until the 2021 Notes were converted. In November 2022, concurrent with our issuance of Series B Preferred Stock which was deemed to be a qualified financing pursuant to the terms of the 2021 Notes, the 2021 Notes were converted into 37,471,107 shares of our Series B Preferred Stock. We reassessed the estimated fair value immediately prior to the conversion and recorded the change in fair value as component of other income (expense), net in our consolidated statement of operations and comprehensive loss during the year ended December 31, 2022.</w:t>
      </w:r>
    </w:p>
    <w:p>
      <w:pPr>
        <w:spacing w:after="0" w:line="10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In August 2023, we issued a convertible note to BMS (the “BMS Note”) in connection with the BMS Agreement as described above. We elected to record the BMS Note at fair value upon issuance and will subsequently remeasure the note at fair value at the end of each reporting period and will record the change in fair value as a component of other expense in our consolidated statement of operations and comprehensive loss. In May 2024, in connection with our Series C Preferred Stock financing, the BMS Note plus accrued interest was automatically converted into 12,284,686 shares of Series C Preferred Stock. For additional details, see Note 3 to our unaudited condensed consolidated financial statements included elsewhere in this prospectus. We reassessed the estimated fair value of the BMS Note immediately prior to the conversion utilizing the fair value of the shares of Series C Preferred Stock for which the note subsequently converted into and recorded the change in fair value as a component of other income (expense), net in our condensed consolidated statement of operations and comprehensive loss during the six months ended June 30, 2024.</w:t>
      </w:r>
    </w:p>
    <w:p>
      <w:pPr>
        <w:spacing w:after="0" w:line="3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Change in Fair Value of Warrant Liability</w:t>
      </w:r>
    </w:p>
    <w:p>
      <w:pPr>
        <w:spacing w:after="0" w:line="115"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May 2021, we issued a warrant with a fair value of $20.7 million to Xencor (the “Xencor Warrant”) in connection with the 2021 Xencor Agreement (as defined herein). We elected to record the Xencor Warrant at fair value upon issuance and to remeasure the fair value at every subsequent reporting date until the Xencor Warrant was settled or exercised. In November 2022, concurrent with our issuance of Series B Preferred Stock, the Xencor Warrant was exercised and Xencor received 14,441,793 shares of our Series B Preferred Stock. We reassessed the estimated fair value immediately prior to the conversion and recorded the change in fair value as component of other expense in our consolidated statement of operations and comprehensive loss during the year ended December 31, 2022.</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Since our inception, we have not recorded income tax benefits for any of our deferred tax assets, including the net operating losses (“NOLs”) incurred or the research and development tax credits generated in each year, as we have concluded that it is more likely than not that these deferred tax assets will not be realized.</w:t>
      </w:r>
    </w:p>
    <w:p>
      <w:pPr>
        <w:spacing w:after="0" w:line="100"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did not record an income tax provision for the six months ended June 30, 2024. We generated taxable income in the U.S. for the year ended December 31, 2023 as a result of the up-front payment received pursuant to the BMS Agreement and the required capitalization of research and development expenses pursuant to Internal Revenue Code Section 174 (“Section 174”). This resulted in an income tax provision of $0.3 million for the year ended December 31, 2023 related to current federal taxes. As of December 31, 2023, we had approximately $2.3 million of U.S. federal NOL carryforwards. We had no state NOL carryforwards as of December 31, 2023. As of December 31, 2022, we had approximately $22.9 million and $22.2 million of U.S. federal and state NOL carryforwards, respectively. We utilized our available NOL carryforwards to offset the taxable income generated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1" w:name="page92"/>
    <w:bookmarkEnd w:id="9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Six Months Ended June 30, 2024 and 2023</w:t>
      </w:r>
    </w:p>
    <w:p>
      <w:pPr>
        <w:spacing w:after="0" w:line="128"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summarizes our results of operations for each of the periods presented (in thousands):</w:t>
      </w:r>
    </w:p>
    <w:p>
      <w:pPr>
        <w:spacing w:after="0" w:line="296"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2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60" w:type="dxa"/>
            <w:vAlign w:val="bottom"/>
          </w:tcPr>
          <w:p>
            <w:pPr>
              <w:ind w:left="220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Six Months Ended June 30,</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 ​ ​</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2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60" w:type="dxa"/>
            <w:vAlign w:val="bottom"/>
          </w:tcPr>
          <w:p>
            <w:pPr>
              <w:ind w:left="220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 ​</w:t>
            </w:r>
          </w:p>
        </w:tc>
        <w:tc>
          <w:tcPr>
            <w:tcW w:w="600" w:type="dxa"/>
            <w:vAlign w:val="bottom"/>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Change</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-6350</wp:posOffset>
            </wp:positionV>
            <wp:extent cx="4241800" cy="139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Operating expenses: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General and administrative</w:t>
      </w:r>
    </w:p>
    <w:p>
      <w:pPr>
        <w:spacing w:after="0" w:line="3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5"/>
          <w:szCs w:val="15"/>
          <w:color w:val="auto"/>
        </w:rPr>
        <w:t>Acquired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536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41800" cy="153670"/>
                    </a:xfrm>
                    <a:prstGeom prst="rect">
                      <a:avLst/>
                    </a:prstGeom>
                    <a:noFill/>
                  </pic:spPr>
                </pic:pic>
              </a:graphicData>
            </a:graphic>
          </wp:anchor>
        </w:drawing>
      </w:r>
    </w:p>
    <w:p>
      <w:pPr>
        <w:spacing w:after="0" w:line="3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Total operating expenses</w:t>
      </w:r>
    </w:p>
    <w:p>
      <w:pPr>
        <w:spacing w:after="0" w:line="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39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 income (expense), net:</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Fair value adjustments to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Other income (expense), net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Total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606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Net loss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6"/>
                <w:szCs w:val="16"/>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8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 ​$ 56,452 ​​</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​$ 30,262 ​​</w:t>
            </w:r>
          </w:p>
        </w:tc>
        <w:tc>
          <w:tcPr>
            <w:tcW w:w="680" w:type="dxa"/>
            <w:vAlign w:val="bottom"/>
            <w:gridSpan w:val="5"/>
          </w:tcPr>
          <w:p>
            <w:pPr>
              <w:ind w:left="40"/>
              <w:spacing w:after="0"/>
              <w:rPr>
                <w:sz w:val="20"/>
                <w:szCs w:val="20"/>
                <w:color w:val="auto"/>
              </w:rPr>
            </w:pPr>
            <w:r>
              <w:rPr>
                <w:rFonts w:ascii="Times New Roman" w:cs="Times New Roman" w:eastAsia="Times New Roman" w:hAnsi="Times New Roman"/>
                <w:sz w:val="15"/>
                <w:szCs w:val="15"/>
                <w:color w:val="auto"/>
              </w:rPr>
              <w:t>​​$ 26,190​</w:t>
            </w:r>
          </w:p>
        </w:tc>
        <w:tc>
          <w:tcPr>
            <w:tcW w:w="0" w:type="dxa"/>
            <w:vAlign w:val="bottom"/>
          </w:tcPr>
          <w:p>
            <w:pPr>
              <w:spacing w:after="0"/>
              <w:rPr>
                <w:sz w:val="1"/>
                <w:szCs w:val="1"/>
                <w:color w:val="auto"/>
              </w:rPr>
            </w:pPr>
          </w:p>
        </w:tc>
      </w:tr>
      <w:tr>
        <w:trPr>
          <w:trHeight w:val="209"/>
        </w:trPr>
        <w:tc>
          <w:tcPr>
            <w:tcW w:w="8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 ​ ​ 10,828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7,729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3,099​</w:t>
            </w:r>
          </w:p>
        </w:tc>
        <w:tc>
          <w:tcPr>
            <w:tcW w:w="0" w:type="dxa"/>
            <w:vAlign w:val="bottom"/>
          </w:tcPr>
          <w:p>
            <w:pPr>
              <w:spacing w:after="0"/>
              <w:rPr>
                <w:sz w:val="1"/>
                <w:szCs w:val="1"/>
                <w:color w:val="auto"/>
              </w:rPr>
            </w:pPr>
          </w:p>
        </w:tc>
      </w:tr>
      <w:tr>
        <w:trPr>
          <w:trHeight w:val="14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w w:val="92"/>
              </w:rPr>
              <w:t>10,000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5"/>
                <w:szCs w:val="15"/>
                <w:color w:val="auto"/>
                <w:w w:val="97"/>
              </w:rPr>
              <w:t>​(10,000)</w:t>
            </w:r>
          </w:p>
        </w:tc>
        <w:tc>
          <w:tcPr>
            <w:tcW w:w="0" w:type="dxa"/>
            <w:vAlign w:val="bottom"/>
          </w:tcPr>
          <w:p>
            <w:pPr>
              <w:spacing w:after="0"/>
              <w:rPr>
                <w:sz w:val="1"/>
                <w:szCs w:val="1"/>
                <w:color w:val="auto"/>
              </w:rPr>
            </w:pPr>
          </w:p>
        </w:tc>
      </w:tr>
      <w:tr>
        <w:trPr>
          <w:trHeight w:val="55"/>
        </w:trPr>
        <w:tc>
          <w:tcPr>
            <w:tcW w:w="10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gridSpan w:val="2"/>
          </w:tcPr>
          <w:p>
            <w:pPr>
              <w:jc w:val="right"/>
              <w:ind w:right="20"/>
              <w:spacing w:after="0" w:line="55"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spacing w:after="0" w:line="211"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 67,280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4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2"/>
              </w:rPr>
              <w:t>47,991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5"/>
          </w:tcPr>
          <w:p>
            <w:pPr>
              <w:ind w:left="40"/>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19,289</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3"/>
          </w:tcPr>
          <w:p>
            <w:pPr>
              <w:jc w:val="right"/>
              <w:ind w:right="17"/>
              <w:spacing w:after="0" w:line="156" w:lineRule="exact"/>
              <w:rPr>
                <w:sz w:val="20"/>
                <w:szCs w:val="20"/>
                <w:color w:val="auto"/>
              </w:rPr>
            </w:pPr>
            <w:r>
              <w:rPr>
                <w:rFonts w:ascii="Times New Roman" w:cs="Times New Roman" w:eastAsia="Times New Roman" w:hAnsi="Times New Roman"/>
                <w:sz w:val="15"/>
                <w:szCs w:val="15"/>
                <w:color w:val="auto"/>
              </w:rPr>
              <w:t>​(67,280)</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3"/>
          </w:tcPr>
          <w:p>
            <w:pPr>
              <w:jc w:val="right"/>
              <w:ind w:right="13"/>
              <w:spacing w:after="0" w:line="156" w:lineRule="exact"/>
              <w:rPr>
                <w:sz w:val="20"/>
                <w:szCs w:val="20"/>
                <w:color w:val="auto"/>
              </w:rPr>
            </w:pPr>
            <w:r>
              <w:rPr>
                <w:rFonts w:ascii="Times New Roman" w:cs="Times New Roman" w:eastAsia="Times New Roman" w:hAnsi="Times New Roman"/>
                <w:sz w:val="15"/>
                <w:szCs w:val="15"/>
                <w:color w:val="auto"/>
              </w:rPr>
              <w:t>​(47,991)</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4"/>
          </w:tcPr>
          <w:p>
            <w:pPr>
              <w:ind w:left="20"/>
              <w:spacing w:after="0" w:line="156" w:lineRule="exact"/>
              <w:rPr>
                <w:sz w:val="20"/>
                <w:szCs w:val="20"/>
                <w:color w:val="auto"/>
              </w:rPr>
            </w:pPr>
            <w:r>
              <w:rPr>
                <w:rFonts w:ascii="Times New Roman" w:cs="Times New Roman" w:eastAsia="Times New Roman" w:hAnsi="Times New Roman"/>
                <w:sz w:val="15"/>
                <w:szCs w:val="15"/>
                <w:color w:val="auto"/>
                <w:w w:val="97"/>
              </w:rPr>
              <w:t>​(19,289)</w:t>
            </w:r>
          </w:p>
        </w:tc>
        <w:tc>
          <w:tcPr>
            <w:tcW w:w="0" w:type="dxa"/>
            <w:vAlign w:val="bottom"/>
          </w:tcPr>
          <w:p>
            <w:pPr>
              <w:spacing w:after="0"/>
              <w:rPr>
                <w:sz w:val="1"/>
                <w:szCs w:val="1"/>
                <w:color w:val="auto"/>
              </w:rPr>
            </w:pPr>
          </w:p>
        </w:tc>
      </w:tr>
      <w:tr>
        <w:trPr>
          <w:trHeight w:val="55"/>
        </w:trPr>
        <w:tc>
          <w:tcPr>
            <w:tcW w:w="10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gridSpan w:val="2"/>
          </w:tcPr>
          <w:p>
            <w:pPr>
              <w:jc w:val="right"/>
              <w:ind w:right="20"/>
              <w:spacing w:after="0" w:line="55"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8"/>
                <w:szCs w:val="18"/>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17"/>
              <w:spacing w:after="0" w:line="146" w:lineRule="exact"/>
              <w:rPr>
                <w:sz w:val="20"/>
                <w:szCs w:val="20"/>
                <w:color w:val="auto"/>
              </w:rPr>
            </w:pPr>
            <w:r>
              <w:rPr>
                <w:rFonts w:ascii="Times New Roman" w:cs="Times New Roman" w:eastAsia="Times New Roman" w:hAnsi="Times New Roman"/>
                <w:sz w:val="15"/>
                <w:szCs w:val="15"/>
                <w:color w:val="auto"/>
              </w:rPr>
              <w:t>(846)</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5"/>
                <w:szCs w:val="15"/>
                <w:color w:val="auto"/>
              </w:rPr>
              <w:t>(846)</w:t>
            </w:r>
          </w:p>
        </w:tc>
        <w:tc>
          <w:tcPr>
            <w:tcW w:w="0" w:type="dxa"/>
            <w:vAlign w:val="bottom"/>
          </w:tcPr>
          <w:p>
            <w:pPr>
              <w:spacing w:after="0"/>
              <w:rPr>
                <w:sz w:val="1"/>
                <w:szCs w:val="1"/>
                <w:color w:val="auto"/>
              </w:rPr>
            </w:pPr>
          </w:p>
        </w:tc>
      </w:tr>
      <w:tr>
        <w:trPr>
          <w:trHeight w:val="62"/>
        </w:trPr>
        <w:tc>
          <w:tcPr>
            <w:tcW w:w="1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jc w:val="right"/>
              <w:spacing w:after="0" w:line="63"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gridSpan w:val="2"/>
          </w:tcPr>
          <w:p>
            <w:pPr>
              <w:jc w:val="right"/>
              <w:ind w:right="20"/>
              <w:spacing w:after="0" w:line="63"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1"/>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5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(153)</w:t>
            </w:r>
            <w:r>
              <w:rPr>
                <w:rFonts w:ascii="Times New Roman" w:cs="Times New Roman" w:eastAsia="Times New Roman" w:hAnsi="Times New Roman"/>
                <w:sz w:val="23"/>
                <w:szCs w:val="23"/>
                <w:color w:val="auto"/>
                <w:vertAlign w:val="subscript"/>
              </w:rPr>
              <w:t>​​</w:t>
            </w:r>
          </w:p>
        </w:tc>
        <w:tc>
          <w:tcPr>
            <w:tcW w:w="24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440" w:type="dxa"/>
            <w:vAlign w:val="bottom"/>
            <w:gridSpan w:val="3"/>
          </w:tcPr>
          <w:p>
            <w:pPr>
              <w:jc w:val="right"/>
              <w:ind w:right="20"/>
              <w:spacing w:after="0" w:line="201" w:lineRule="exact"/>
              <w:rPr>
                <w:sz w:val="20"/>
                <w:szCs w:val="20"/>
                <w:color w:val="auto"/>
              </w:rPr>
            </w:pPr>
            <w:r>
              <w:rPr>
                <w:rFonts w:ascii="Times New Roman" w:cs="Times New Roman" w:eastAsia="Times New Roman" w:hAnsi="Times New Roman"/>
                <w:sz w:val="13"/>
                <w:szCs w:val="13"/>
                <w:color w:val="auto"/>
              </w:rPr>
              <w:t>2,502</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ind w:left="4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4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540" w:type="dxa"/>
            <w:vAlign w:val="bottom"/>
            <w:gridSpan w:val="2"/>
          </w:tcPr>
          <w:p>
            <w:pPr>
              <w:jc w:val="right"/>
              <w:spacing w:after="0" w:line="211" w:lineRule="exact"/>
              <w:rPr>
                <w:sz w:val="20"/>
                <w:szCs w:val="20"/>
                <w:color w:val="auto"/>
              </w:rPr>
            </w:pPr>
            <w:r>
              <w:rPr>
                <w:rFonts w:ascii="Times New Roman" w:cs="Times New Roman" w:eastAsia="Times New Roman" w:hAnsi="Times New Roman"/>
                <w:sz w:val="13"/>
                <w:szCs w:val="13"/>
                <w:color w:val="auto"/>
              </w:rPr>
              <w:t>(153)</w:t>
            </w:r>
            <w:r>
              <w:rPr>
                <w:rFonts w:ascii="Times New Roman" w:cs="Times New Roman" w:eastAsia="Times New Roman" w:hAnsi="Times New Roman"/>
                <w:sz w:val="24"/>
                <w:szCs w:val="24"/>
                <w:color w:val="auto"/>
                <w:vertAlign w:val="subscript"/>
              </w:rPr>
              <w:t>​​</w:t>
            </w:r>
          </w:p>
        </w:tc>
        <w:tc>
          <w:tcPr>
            <w:tcW w:w="240" w:type="dxa"/>
            <w:vAlign w:val="bottom"/>
            <w:gridSpan w:val="2"/>
          </w:tcPr>
          <w:p>
            <w:pPr>
              <w:ind w:left="40"/>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440" w:type="dxa"/>
            <w:vAlign w:val="bottom"/>
            <w:gridSpan w:val="3"/>
          </w:tcPr>
          <w:p>
            <w:pPr>
              <w:jc w:val="right"/>
              <w:ind w:right="20"/>
              <w:spacing w:after="0" w:line="211" w:lineRule="exact"/>
              <w:rPr>
                <w:sz w:val="20"/>
                <w:szCs w:val="20"/>
                <w:color w:val="auto"/>
              </w:rPr>
            </w:pPr>
            <w:r>
              <w:rPr>
                <w:rFonts w:ascii="Times New Roman" w:cs="Times New Roman" w:eastAsia="Times New Roman" w:hAnsi="Times New Roman"/>
                <w:sz w:val="13"/>
                <w:szCs w:val="13"/>
                <w:color w:val="auto"/>
              </w:rPr>
              <w:t>1,656</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4"/>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(65,777)</w:t>
            </w:r>
            <w:r>
              <w:rPr>
                <w:rFonts w:ascii="Times New Roman" w:cs="Times New Roman" w:eastAsia="Times New Roman" w:hAnsi="Times New Roman"/>
                <w:sz w:val="23"/>
                <w:szCs w:val="23"/>
                <w:color w:val="auto"/>
                <w:vertAlign w:val="subscript"/>
              </w:rPr>
              <w:t>​​</w:t>
            </w:r>
          </w:p>
        </w:tc>
        <w:tc>
          <w:tcPr>
            <w:tcW w:w="780" w:type="dxa"/>
            <w:vAlign w:val="bottom"/>
            <w:gridSpan w:val="4"/>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(48,144)</w:t>
            </w:r>
            <w:r>
              <w:rPr>
                <w:rFonts w:ascii="Times New Roman" w:cs="Times New Roman" w:eastAsia="Times New Roman" w:hAnsi="Times New Roman"/>
                <w:sz w:val="23"/>
                <w:szCs w:val="23"/>
                <w:color w:val="auto"/>
                <w:vertAlign w:val="subscript"/>
              </w:rPr>
              <w:t>​​</w:t>
            </w:r>
          </w:p>
        </w:tc>
        <w:tc>
          <w:tcPr>
            <w:tcW w:w="680" w:type="dxa"/>
            <w:vAlign w:val="bottom"/>
            <w:gridSpan w:val="5"/>
          </w:tcPr>
          <w:p>
            <w:pPr>
              <w:ind w:left="4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(17,633</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40" w:space="720"/>
            <w:col w:w="3459"/>
          </w:cols>
          <w:pgMar w:left="1440" w:top="98" w:right="1440" w:bottom="1440" w:gutter="0" w:footer="0" w:header="0"/>
          <w:type w:val="continuous"/>
        </w:sectPr>
      </w:pP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Research and Development Expenses</w:t>
      </w:r>
    </w:p>
    <w:p>
      <w:pPr>
        <w:spacing w:after="0" w:line="115"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table summarizes our research and development expenses for each of the periods presented (in thousands):</w:t>
      </w:r>
    </w:p>
    <w:p>
      <w:pPr>
        <w:spacing w:after="0" w:line="103"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2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300" w:type="dxa"/>
            <w:vAlign w:val="bottom"/>
          </w:tcPr>
          <w:p>
            <w:pPr>
              <w:ind w:left="22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Six Months Ended June 30,</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300" w:type="dxa"/>
            <w:vAlign w:val="bottom"/>
          </w:tcPr>
          <w:p>
            <w:pPr>
              <w:ind w:left="22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 ​</w:t>
            </w:r>
          </w:p>
        </w:tc>
        <w:tc>
          <w:tcPr>
            <w:tcW w:w="600" w:type="dxa"/>
            <w:vAlign w:val="bottom"/>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Change</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-6350</wp:posOffset>
            </wp:positionV>
            <wp:extent cx="4241800" cy="1397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Direct research and development expenses by program:</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Obexelimab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Global programs (ZB002 &amp; ZB004)</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Regional programs (ZB001 &amp; ZB005)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Unallocated research and development expenses: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Personnel expenses (including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Other expenses</w:t>
      </w:r>
    </w:p>
    <w:p>
      <w:pPr>
        <w:spacing w:after="0" w:line="6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2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 ​$35,082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4"/>
              </w:rPr>
              <w:t>​$12,937</w:t>
            </w:r>
          </w:p>
        </w:tc>
        <w:tc>
          <w:tcPr>
            <w:tcW w:w="780" w:type="dxa"/>
            <w:vAlign w:val="bottom"/>
            <w:gridSpan w:val="6"/>
          </w:tcPr>
          <w:p>
            <w:pPr>
              <w:jc w:val="right"/>
              <w:spacing w:after="0"/>
              <w:rPr>
                <w:sz w:val="20"/>
                <w:szCs w:val="20"/>
                <w:color w:val="auto"/>
              </w:rPr>
            </w:pPr>
            <w:r>
              <w:rPr>
                <w:rFonts w:ascii="Times New Roman" w:cs="Times New Roman" w:eastAsia="Times New Roman" w:hAnsi="Times New Roman"/>
                <w:sz w:val="15"/>
                <w:szCs w:val="15"/>
                <w:color w:val="auto"/>
              </w:rPr>
              <w:t>​​ ​​$22,145​</w:t>
            </w:r>
          </w:p>
        </w:tc>
        <w:tc>
          <w:tcPr>
            <w:tcW w:w="0" w:type="dxa"/>
            <w:vAlign w:val="bottom"/>
          </w:tcPr>
          <w:p>
            <w:pPr>
              <w:spacing w:after="0"/>
              <w:rPr>
                <w:sz w:val="1"/>
                <w:szCs w:val="1"/>
                <w:color w:val="auto"/>
              </w:rPr>
            </w:pPr>
          </w:p>
        </w:tc>
      </w:tr>
      <w:tr>
        <w:trPr>
          <w:trHeight w:val="14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color w:val="auto"/>
              </w:rPr>
              <w:t>​ 1,466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color w:val="auto"/>
              </w:rPr>
              <w:t>​ 3,195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5"/>
                <w:szCs w:val="15"/>
                <w:color w:val="auto"/>
              </w:rPr>
              <w:t>​(1,729)</w:t>
            </w:r>
          </w:p>
        </w:tc>
        <w:tc>
          <w:tcPr>
            <w:tcW w:w="0" w:type="dxa"/>
            <w:vAlign w:val="bottom"/>
          </w:tcPr>
          <w:p>
            <w:pPr>
              <w:spacing w:after="0"/>
              <w:rPr>
                <w:sz w:val="1"/>
                <w:szCs w:val="1"/>
                <w:color w:val="auto"/>
              </w:rPr>
            </w:pPr>
          </w:p>
        </w:tc>
      </w:tr>
      <w:tr>
        <w:trPr>
          <w:trHeight w:val="62"/>
        </w:trPr>
        <w:tc>
          <w:tcPr>
            <w:tcW w:w="1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jc w:val="right"/>
              <w:spacing w:after="0" w:line="63"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12"/>
        </w:trPr>
        <w:tc>
          <w:tcPr>
            <w:tcW w:w="2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4,023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3,854</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0" w:type="dxa"/>
            <w:vAlign w:val="bottom"/>
          </w:tcPr>
          <w:p>
            <w:pPr>
              <w:spacing w:after="0"/>
              <w:rPr>
                <w:sz w:val="1"/>
                <w:szCs w:val="1"/>
                <w:color w:val="auto"/>
              </w:rPr>
            </w:pPr>
          </w:p>
        </w:tc>
      </w:tr>
      <w:tr>
        <w:trPr>
          <w:trHeight w:val="205"/>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2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​15,160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9,773</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 5,387​</w:t>
            </w:r>
          </w:p>
        </w:tc>
        <w:tc>
          <w:tcPr>
            <w:tcW w:w="0" w:type="dxa"/>
            <w:vAlign w:val="bottom"/>
          </w:tcPr>
          <w:p>
            <w:pPr>
              <w:spacing w:after="0"/>
              <w:rPr>
                <w:sz w:val="1"/>
                <w:szCs w:val="1"/>
                <w:color w:val="auto"/>
              </w:rPr>
            </w:pPr>
          </w:p>
        </w:tc>
      </w:tr>
      <w:tr>
        <w:trPr>
          <w:trHeight w:val="201"/>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  721</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tcPr>
          <w:p>
            <w:pPr>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  503</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3"/>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3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218</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56,452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30,262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5"/>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26,190</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ectPr>
          <w:pgSz w:w="11900" w:h="16838" w:orient="portrait"/>
          <w:cols w:equalWidth="0" w:num="2">
            <w:col w:w="4920" w:space="720"/>
            <w:col w:w="3379"/>
          </w:cols>
          <w:pgMar w:left="1440" w:top="98" w:right="1440" w:bottom="1440" w:gutter="0" w:footer="0" w:header="0"/>
          <w:type w:val="continuous"/>
        </w:sectPr>
      </w:pPr>
    </w:p>
    <w:p>
      <w:pPr>
        <w:jc w:val="both"/>
        <w:ind w:left="1160" w:right="1179" w:firstLine="293"/>
        <w:spacing w:after="0" w:line="264" w:lineRule="auto"/>
        <w:rPr>
          <w:sz w:val="20"/>
          <w:szCs w:val="20"/>
          <w:color w:val="auto"/>
        </w:rPr>
      </w:pPr>
      <w:r>
        <w:rPr>
          <w:rFonts w:ascii="Times New Roman" w:cs="Times New Roman" w:eastAsia="Times New Roman" w:hAnsi="Times New Roman"/>
          <w:sz w:val="15"/>
          <w:szCs w:val="15"/>
          <w:color w:val="auto"/>
        </w:rPr>
        <w:t>Research and development expenses were $56.5 million for the six months ended June 30, 2024, compared to $30.3 million for the six months ended June 30, 2023. The increase of $26.2 million was primarily attributable to the following:</w:t>
      </w:r>
    </w:p>
    <w:p>
      <w:pPr>
        <w:spacing w:after="0" w:line="68" w:lineRule="exact"/>
        <w:rPr>
          <w:sz w:val="20"/>
          <w:szCs w:val="20"/>
          <w:color w:val="auto"/>
        </w:rPr>
      </w:pPr>
    </w:p>
    <w:p>
      <w:pPr>
        <w:jc w:val="both"/>
        <w:ind w:left="1600" w:right="1179" w:hanging="143"/>
        <w:spacing w:after="0" w:line="252" w:lineRule="auto"/>
        <w:tabs>
          <w:tab w:leader="none" w:pos="160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$22.1 million increase in costs related to the development of obexelimab, our lead product candidate, driven by a $10.5 million increase in costs related to the conducting and initiation of clinical trials and an $11.6 million increase in manufacturing costs largely to produce drug substance and clinical materials for our trials;</w:t>
      </w:r>
    </w:p>
    <w:p>
      <w:pPr>
        <w:spacing w:after="0" w:line="88"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$1.7 million decrease in costs related to our global programs, including a $1.2 million decrease related to ZB002 and a $0.5 million decrease related to ZB004, largely driven by a decrease in clinical and non-clinical work associated with our Phase 1 clinical trials and formulation work; and</w:t>
      </w:r>
    </w:p>
    <w:p>
      <w:pPr>
        <w:spacing w:after="0" w:line="7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$5.4 million increase in personnel costs, including a $3.8 million increase in salary and benefit related expense, primarily due to an increase in headcount, a $0.6 million increase in stock-based compensation expense, and a $1.0 million increase in other personnel costs.</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92" w:name="page93"/>
    <w:bookmarkEnd w:id="9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General and Administrative Expense</w:t>
      </w:r>
    </w:p>
    <w:p>
      <w:pPr>
        <w:spacing w:after="0" w:line="126" w:lineRule="exact"/>
        <w:rPr>
          <w:sz w:val="20"/>
          <w:szCs w:val="20"/>
          <w:color w:val="auto"/>
        </w:rPr>
      </w:pPr>
    </w:p>
    <w:p>
      <w:pPr>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The following table summarizes our general and administrative expenses for each of the periods presented (in thousands):</w:t>
      </w:r>
    </w:p>
    <w:p>
      <w:pPr>
        <w:sectPr>
          <w:pgSz w:w="11900" w:h="16838" w:orient="portrait"/>
          <w:cols w:equalWidth="0" w:num="1">
            <w:col w:w="9019"/>
          </w:cols>
          <w:pgMar w:left="1440" w:top="98" w:right="1440" w:bottom="1440" w:gutter="0" w:footer="0" w:header="0"/>
        </w:sectPr>
      </w:pP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4241800" cy="1397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Personnel related expenses (including stock-based compensation)</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Legal and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Facilities and supplies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606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Total general and administrative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8"/>
        </w:trPr>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60" w:type="dxa"/>
            <w:vAlign w:val="bottom"/>
            <w:gridSpan w:val="10"/>
          </w:tcPr>
          <w:p>
            <w:pPr>
              <w:ind w:left="40"/>
              <w:spacing w:after="0"/>
              <w:rPr>
                <w:sz w:val="20"/>
                <w:szCs w:val="20"/>
                <w:color w:val="auto"/>
              </w:rPr>
            </w:pPr>
            <w:r>
              <w:rPr>
                <w:rFonts w:ascii="Times New Roman" w:cs="Times New Roman" w:eastAsia="Times New Roman" w:hAnsi="Times New Roman"/>
                <w:sz w:val="23"/>
                <w:szCs w:val="23"/>
                <w:b w:val="1"/>
                <w:bCs w:val="1"/>
                <w:color w:val="auto"/>
                <w:w w:val="96"/>
                <w:vertAlign w:val="subscript"/>
              </w:rPr>
              <w:t>​</w:t>
            </w:r>
            <w:r>
              <w:rPr>
                <w:rFonts w:ascii="Times New Roman" w:cs="Times New Roman" w:eastAsia="Times New Roman" w:hAnsi="Times New Roman"/>
                <w:sz w:val="12"/>
                <w:szCs w:val="12"/>
                <w:b w:val="1"/>
                <w:bCs w:val="1"/>
                <w:color w:val="auto"/>
                <w:w w:val="96"/>
              </w:rPr>
              <w:t xml:space="preserve"> Six Months Ended June 30,</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24"/>
                <w:szCs w:val="24"/>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480" w:type="dxa"/>
            <w:vAlign w:val="bottom"/>
            <w:tcBorders>
              <w:top w:val="single" w:sz="8" w:color="auto"/>
            </w:tcBorders>
            <w:gridSpan w:val="3"/>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top w:val="single" w:sz="8" w:color="auto"/>
            </w:tcBorders>
          </w:tcPr>
          <w:p>
            <w:pPr>
              <w:spacing w:after="0"/>
              <w:rPr>
                <w:sz w:val="16"/>
                <w:szCs w:val="16"/>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Change </w:t>
            </w:r>
            <w:r>
              <w:rPr>
                <w:rFonts w:ascii="Times New Roman" w:cs="Times New Roman" w:eastAsia="Times New Roman" w:hAnsi="Times New Roman"/>
                <w:sz w:val="21"/>
                <w:szCs w:val="21"/>
                <w:b w:val="1"/>
                <w:bCs w:val="1"/>
                <w:color w:val="auto"/>
                <w:vertAlign w:val="subscript"/>
              </w:rPr>
              <w:t>​</w:t>
            </w:r>
          </w:p>
        </w:tc>
      </w:tr>
      <w:tr>
        <w:trPr>
          <w:trHeight w:val="20"/>
        </w:trPr>
        <w:tc>
          <w:tcPr>
            <w:tcW w:w="14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8"/>
        </w:trPr>
        <w:tc>
          <w:tcPr>
            <w:tcW w:w="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6,094</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​$4,720</w:t>
            </w:r>
          </w:p>
        </w:tc>
        <w:tc>
          <w:tcPr>
            <w:tcW w:w="620" w:type="dxa"/>
            <w:vAlign w:val="bottom"/>
            <w:gridSpan w:val="8"/>
          </w:tcPr>
          <w:p>
            <w:pPr>
              <w:jc w:val="right"/>
              <w:spacing w:after="0"/>
              <w:rPr>
                <w:sz w:val="20"/>
                <w:szCs w:val="20"/>
                <w:color w:val="auto"/>
              </w:rPr>
            </w:pPr>
            <w:r>
              <w:rPr>
                <w:rFonts w:ascii="Times New Roman" w:cs="Times New Roman" w:eastAsia="Times New Roman" w:hAnsi="Times New Roman"/>
                <w:sz w:val="15"/>
                <w:szCs w:val="15"/>
                <w:color w:val="auto"/>
              </w:rPr>
              <w:t>​​ ​​$1,374​</w:t>
            </w:r>
          </w:p>
        </w:tc>
      </w:tr>
      <w:tr>
        <w:trPr>
          <w:trHeight w:val="209"/>
        </w:trPr>
        <w:tc>
          <w:tcPr>
            <w:tcW w:w="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 ​ 2,820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 ​1,728</w:t>
            </w:r>
          </w:p>
        </w:tc>
        <w:tc>
          <w:tcPr>
            <w:tcW w:w="620" w:type="dxa"/>
            <w:vAlign w:val="bottom"/>
            <w:gridSpan w:val="8"/>
          </w:tcPr>
          <w:p>
            <w:pPr>
              <w:jc w:val="right"/>
              <w:spacing w:after="0"/>
              <w:rPr>
                <w:sz w:val="20"/>
                <w:szCs w:val="20"/>
                <w:color w:val="auto"/>
              </w:rPr>
            </w:pPr>
            <w:r>
              <w:rPr>
                <w:rFonts w:ascii="Times New Roman" w:cs="Times New Roman" w:eastAsia="Times New Roman" w:hAnsi="Times New Roman"/>
                <w:sz w:val="15"/>
                <w:szCs w:val="15"/>
                <w:color w:val="auto"/>
              </w:rPr>
              <w:t>​​ ​​ ​1,092​</w:t>
            </w:r>
          </w:p>
        </w:tc>
      </w:tr>
      <w:tr>
        <w:trPr>
          <w:trHeight w:val="209"/>
        </w:trPr>
        <w:tc>
          <w:tcPr>
            <w:tcW w:w="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 ​ 1,050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971</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79​</w:t>
            </w:r>
          </w:p>
        </w:tc>
      </w:tr>
      <w:tr>
        <w:trPr>
          <w:trHeight w:val="201"/>
        </w:trPr>
        <w:tc>
          <w:tcPr>
            <w:tcW w:w="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tcPr>
          <w:p>
            <w:pPr>
              <w:ind w:left="8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864</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ind w:left="6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310</w:t>
            </w:r>
          </w:p>
        </w:tc>
        <w:tc>
          <w:tcPr>
            <w:tcW w:w="320" w:type="dxa"/>
            <w:vAlign w:val="bottom"/>
            <w:gridSpan w:val="5"/>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30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554</w:t>
            </w:r>
            <w:r>
              <w:rPr>
                <w:rFonts w:ascii="Times New Roman" w:cs="Times New Roman" w:eastAsia="Times New Roman" w:hAnsi="Times New Roman"/>
                <w:sz w:val="23"/>
                <w:szCs w:val="23"/>
                <w:color w:val="auto"/>
                <w:vertAlign w:val="subscript"/>
              </w:rPr>
              <w:t>​</w:t>
            </w:r>
          </w:p>
        </w:tc>
      </w:tr>
      <w:tr>
        <w:trPr>
          <w:trHeight w:val="20"/>
        </w:trPr>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gridSpan w:val="4"/>
          </w:tcPr>
          <w:p>
            <w:pPr>
              <w:jc w:val="right"/>
              <w:ind w:right="8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10,828</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4"/>
          </w:tcPr>
          <w:p>
            <w:pPr>
              <w:jc w:val="right"/>
              <w:ind w:right="8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7,729</w:t>
            </w:r>
          </w:p>
        </w:tc>
        <w:tc>
          <w:tcPr>
            <w:tcW w:w="620" w:type="dxa"/>
            <w:vAlign w:val="bottom"/>
            <w:gridSpan w:val="8"/>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3,099</w:t>
            </w:r>
            <w:r>
              <w:rPr>
                <w:rFonts w:ascii="Times New Roman" w:cs="Times New Roman" w:eastAsia="Times New Roman" w:hAnsi="Times New Roman"/>
                <w:sz w:val="23"/>
                <w:szCs w:val="23"/>
                <w:color w:val="auto"/>
                <w:vertAlign w:val="subscript"/>
              </w:rPr>
              <w:t>​</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5180" w:space="560"/>
            <w:col w:w="3279"/>
          </w:cols>
          <w:pgMar w:left="1440" w:top="98" w:right="1440" w:bottom="1440" w:gutter="0" w:footer="0" w:header="0"/>
          <w:type w:val="continuous"/>
        </w:sectPr>
      </w:pPr>
    </w:p>
    <w:p>
      <w:pPr>
        <w:jc w:val="both"/>
        <w:ind w:left="1160" w:right="1179" w:firstLine="293"/>
        <w:spacing w:after="0" w:line="264" w:lineRule="auto"/>
        <w:rPr>
          <w:sz w:val="20"/>
          <w:szCs w:val="20"/>
          <w:color w:val="auto"/>
        </w:rPr>
      </w:pPr>
      <w:r>
        <w:rPr>
          <w:rFonts w:ascii="Times New Roman" w:cs="Times New Roman" w:eastAsia="Times New Roman" w:hAnsi="Times New Roman"/>
          <w:sz w:val="15"/>
          <w:szCs w:val="15"/>
          <w:color w:val="auto"/>
        </w:rPr>
        <w:t>General and administrative expenses were $10.8 million for the six months ended June 30, 2024, compared to $7.7 million for the six months ended June 30, 2023. The increase of $3.1 million was primarily attributable to the following:</w:t>
      </w:r>
    </w:p>
    <w:p>
      <w:pPr>
        <w:spacing w:after="0" w:line="79" w:lineRule="exact"/>
        <w:rPr>
          <w:sz w:val="20"/>
          <w:szCs w:val="20"/>
          <w:color w:val="auto"/>
        </w:rPr>
      </w:pPr>
    </w:p>
    <w:p>
      <w:pPr>
        <w:jc w:val="both"/>
        <w:ind w:left="1600" w:right="1179" w:hanging="143"/>
        <w:spacing w:after="0" w:line="252" w:lineRule="auto"/>
        <w:tabs>
          <w:tab w:leader="none" w:pos="16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$1.4 million increase in personnel costs, including a $0.5 million increase in stock-based compensation expense, and a $1.1 million increase in salary and benefit related expense, primarily due to an increase in headcount, partially offset by a $0.2 million decrease in external contractor expenses; and</w:t>
      </w:r>
    </w:p>
    <w:p>
      <w:pPr>
        <w:spacing w:after="0" w:line="88"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$1.1 million increase in professional fees, including legal, audit and tax expenses, primarily due to preparation for an initial public offering, and increased business development activities.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Acquired In-Process Research and Development Expenses</w:t>
      </w:r>
    </w:p>
    <w:p>
      <w:pPr>
        <w:spacing w:after="0" w:line="115" w:lineRule="exact"/>
        <w:rPr>
          <w:sz w:val="20"/>
          <w:szCs w:val="20"/>
          <w:color w:val="auto"/>
        </w:rPr>
      </w:pPr>
    </w:p>
    <w:p>
      <w:pPr>
        <w:jc w:val="both"/>
        <w:ind w:left="1160" w:right="1179" w:firstLine="293"/>
        <w:spacing w:after="0" w:line="272" w:lineRule="auto"/>
        <w:rPr>
          <w:sz w:val="20"/>
          <w:szCs w:val="20"/>
          <w:color w:val="auto"/>
        </w:rPr>
      </w:pPr>
      <w:r>
        <w:rPr>
          <w:rFonts w:ascii="Times New Roman" w:cs="Times New Roman" w:eastAsia="Times New Roman" w:hAnsi="Times New Roman"/>
          <w:sz w:val="15"/>
          <w:szCs w:val="15"/>
          <w:color w:val="auto"/>
        </w:rPr>
        <w:t>There was no acquired IPR&amp;D expense recorded for the six months ended June 30, 2024. Acquired IPR&amp;D was $10.0 million for the six months ended June 30, 2023, and was made up of a $10.0 million development milestone payment related to obexelimab.</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Total Other Income (Expense), Net</w:t>
      </w:r>
    </w:p>
    <w:p>
      <w:pPr>
        <w:spacing w:after="0" w:line="126"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Total other income (expense), net was $1.5 million for the six months ended June 30, 2024, and was made up of interest income of $2.2 million, partially offset by the change in fair value of the BMS Note of $0.8 million upon remeasurement immediately prior to conversion. Total other expense, net was $0.2 million for the six months ended June 30, 2023, and was made up primarily of immaterial realized and unrealized gains and losses on foreign currency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93" w:name="page94"/>
    <w:bookmarkEnd w:id="9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Years Ended December 31, 2023 and 2022</w:t>
      </w:r>
    </w:p>
    <w:p>
      <w:pPr>
        <w:spacing w:after="0" w:line="128" w:lineRule="exact"/>
        <w:rPr>
          <w:sz w:val="20"/>
          <w:szCs w:val="20"/>
          <w:color w:val="auto"/>
        </w:rPr>
      </w:pPr>
    </w:p>
    <w:p>
      <w:pPr>
        <w:ind w:left="14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summarizes our results of operations for each of the periods presented (in thousands):</w:t>
      </w:r>
    </w:p>
    <w:p>
      <w:pPr>
        <w:sectPr>
          <w:pgSz w:w="11900" w:h="16838" w:orient="portrait"/>
          <w:cols w:equalWidth="0" w:num="1">
            <w:col w:w="9019"/>
          </w:cols>
          <w:pgMar w:left="1440" w:top="98" w:right="1440" w:bottom="1440" w:gutter="0" w:footer="0" w:header="0"/>
        </w:sectPr>
      </w:pP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4241800" cy="1397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Revenue:</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Collaboration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397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3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Total revenue</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Research and development</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600" w:right="500" w:hanging="292"/>
        <w:spacing w:after="0" w:line="321" w:lineRule="auto"/>
        <w:rPr>
          <w:sz w:val="20"/>
          <w:szCs w:val="20"/>
          <w:color w:val="auto"/>
        </w:rPr>
      </w:pPr>
      <w:r>
        <w:rPr>
          <w:rFonts w:ascii="Times New Roman" w:cs="Times New Roman" w:eastAsia="Times New Roman" w:hAnsi="Times New Roman"/>
          <w:sz w:val="15"/>
          <w:szCs w:val="15"/>
          <w:color w:val="auto"/>
        </w:rPr>
        <w:t>Acquired in-process research and development 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-17780</wp:posOffset>
            </wp:positionV>
            <wp:extent cx="4241800" cy="1536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41800" cy="15367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color w:val="auto"/>
        </w:rPr>
        <w:t>Loss from operations</w:t>
      </w:r>
    </w:p>
    <w:p>
      <w:pPr>
        <w:spacing w:after="0" w:line="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Fair value adjustments to convertible notes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Fair value adjustments to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Other income, net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Total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39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Loss before income taxes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606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Net loss</w:t>
      </w:r>
    </w:p>
    <w:p>
      <w:pPr>
        <w:spacing w:after="0" w:line="29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Revenue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7"/>
        </w:trPr>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40" w:type="dxa"/>
            <w:vAlign w:val="bottom"/>
            <w:gridSpan w:val="8"/>
          </w:tcPr>
          <w:p>
            <w:pPr>
              <w:ind w:left="20"/>
              <w:spacing w:after="0"/>
              <w:rPr>
                <w:sz w:val="20"/>
                <w:szCs w:val="20"/>
                <w:color w:val="auto"/>
              </w:rPr>
            </w:pPr>
            <w:r>
              <w:rPr>
                <w:rFonts w:ascii="Times New Roman" w:cs="Times New Roman" w:eastAsia="Times New Roman" w:hAnsi="Times New Roman"/>
                <w:sz w:val="23"/>
                <w:szCs w:val="23"/>
                <w:b w:val="1"/>
                <w:bCs w:val="1"/>
                <w:color w:val="auto"/>
                <w:w w:val="99"/>
                <w:vertAlign w:val="subscript"/>
              </w:rPr>
              <w:t>​</w:t>
            </w:r>
            <w:r>
              <w:rPr>
                <w:rFonts w:ascii="Times New Roman" w:cs="Times New Roman" w:eastAsia="Times New Roman" w:hAnsi="Times New Roman"/>
                <w:sz w:val="12"/>
                <w:szCs w:val="12"/>
                <w:b w:val="1"/>
                <w:bCs w:val="1"/>
                <w:color w:val="auto"/>
                <w:w w:val="99"/>
              </w:rPr>
              <w:t xml:space="preserve">  Year Ended December 31,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$ 50,000​ </w:t>
            </w:r>
            <w:r>
              <w:rPr>
                <w:rFonts w:ascii="Times New Roman" w:cs="Times New Roman" w:eastAsia="Times New Roman" w:hAnsi="Times New Roman"/>
                <w:sz w:val="23"/>
                <w:szCs w:val="23"/>
                <w:color w:val="auto"/>
                <w:vertAlign w:val="subscript"/>
              </w:rPr>
              <w:t>​​</w:t>
            </w:r>
          </w:p>
        </w:tc>
        <w:tc>
          <w:tcPr>
            <w:tcW w:w="2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6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3"/>
                <w:szCs w:val="23"/>
                <w:color w:val="auto"/>
                <w:vertAlign w:val="subscript"/>
              </w:rPr>
              <w:t>​​</w:t>
            </w:r>
          </w:p>
        </w:tc>
        <w:tc>
          <w:tcPr>
            <w:tcW w:w="700" w:type="dxa"/>
            <w:vAlign w:val="bottom"/>
            <w:gridSpan w:val="4"/>
          </w:tcPr>
          <w:p>
            <w:pPr>
              <w:ind w:left="2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50,000​ </w:t>
            </w:r>
            <w:r>
              <w:rPr>
                <w:rFonts w:ascii="Times New Roman" w:cs="Times New Roman" w:eastAsia="Times New Roman" w:hAnsi="Times New Roman"/>
                <w:sz w:val="23"/>
                <w:szCs w:val="23"/>
                <w:color w:val="auto"/>
                <w:vertAlign w:val="subscript"/>
              </w:rPr>
              <w:t>​​</w:t>
            </w: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50,000​ ​​</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​50,000​ ​​</w:t>
            </w:r>
          </w:p>
        </w:tc>
      </w:tr>
      <w:tr>
        <w:trPr>
          <w:trHeight w:val="205"/>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60,033​ ​​</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61,689​ ​​</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​(1,656)​​</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17,114​ ​​</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13,510​ ​​</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3,604​ ​​</w:t>
            </w:r>
          </w:p>
        </w:tc>
      </w:tr>
      <w:tr>
        <w:trPr>
          <w:trHeight w:val="20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 10,000​ </w:t>
            </w:r>
            <w:r>
              <w:rPr>
                <w:rFonts w:ascii="Times New Roman" w:cs="Times New Roman" w:eastAsia="Times New Roman" w:hAnsi="Times New Roman"/>
                <w:sz w:val="23"/>
                <w:szCs w:val="23"/>
                <w:color w:val="auto"/>
                <w:vertAlign w:val="subscript"/>
              </w:rPr>
              <w:t>​​</w:t>
            </w:r>
          </w:p>
        </w:tc>
        <w:tc>
          <w:tcPr>
            <w:tcW w:w="2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6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 9,000​ </w:t>
            </w:r>
            <w:r>
              <w:rPr>
                <w:rFonts w:ascii="Times New Roman" w:cs="Times New Roman" w:eastAsia="Times New Roman" w:hAnsi="Times New Roman"/>
                <w:sz w:val="23"/>
                <w:szCs w:val="23"/>
                <w:color w:val="auto"/>
                <w:vertAlign w:val="subscript"/>
              </w:rPr>
              <w:t>​​</w:t>
            </w:r>
          </w:p>
        </w:tc>
      </w:tr>
      <w:tr>
        <w:trPr>
          <w:trHeight w:val="20"/>
        </w:trPr>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87,147​ </w:t>
            </w:r>
            <w:r>
              <w:rPr>
                <w:rFonts w:ascii="Times New Roman" w:cs="Times New Roman" w:eastAsia="Times New Roman" w:hAnsi="Times New Roman"/>
                <w:sz w:val="24"/>
                <w:szCs w:val="24"/>
                <w:color w:val="auto"/>
                <w:vertAlign w:val="subscript"/>
              </w:rPr>
              <w:t>​​</w:t>
            </w:r>
          </w:p>
        </w:tc>
        <w:tc>
          <w:tcPr>
            <w:tcW w:w="220" w:type="dxa"/>
            <w:vAlign w:val="bottom"/>
            <w:gridSpan w:val="2"/>
          </w:tcPr>
          <w:p>
            <w:pPr>
              <w:ind w:left="20"/>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620" w:type="dxa"/>
            <w:vAlign w:val="bottom"/>
            <w:gridSpan w:val="3"/>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76,199​ </w:t>
            </w:r>
            <w:r>
              <w:rPr>
                <w:rFonts w:ascii="Times New Roman" w:cs="Times New Roman" w:eastAsia="Times New Roman" w:hAnsi="Times New Roman"/>
                <w:sz w:val="24"/>
                <w:szCs w:val="24"/>
                <w:color w:val="auto"/>
                <w:vertAlign w:val="subscript"/>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​10,948​ </w:t>
            </w:r>
            <w:r>
              <w:rPr>
                <w:rFonts w:ascii="Times New Roman" w:cs="Times New Roman" w:eastAsia="Times New Roman" w:hAnsi="Times New Roman"/>
                <w:sz w:val="24"/>
                <w:szCs w:val="24"/>
                <w:color w:val="auto"/>
                <w:vertAlign w:val="subscript"/>
              </w:rPr>
              <w:t>​​</w:t>
            </w: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​(37,147)</w:t>
            </w:r>
            <w:r>
              <w:rPr>
                <w:rFonts w:ascii="Times New Roman" w:cs="Times New Roman" w:eastAsia="Times New Roman" w:hAnsi="Times New Roman"/>
                <w:sz w:val="24"/>
                <w:szCs w:val="24"/>
                <w:color w:val="auto"/>
                <w:vertAlign w:val="subscript"/>
              </w:rPr>
              <w:t>​​</w:t>
            </w:r>
          </w:p>
        </w:tc>
        <w:tc>
          <w:tcPr>
            <w:tcW w:w="840" w:type="dxa"/>
            <w:vAlign w:val="bottom"/>
            <w:gridSpan w:val="5"/>
          </w:tcPr>
          <w:p>
            <w:pPr>
              <w:ind w:left="20"/>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(76,199)</w:t>
            </w:r>
            <w:r>
              <w:rPr>
                <w:rFonts w:ascii="Times New Roman" w:cs="Times New Roman" w:eastAsia="Times New Roman" w:hAnsi="Times New Roman"/>
                <w:sz w:val="24"/>
                <w:szCs w:val="24"/>
                <w:color w:val="auto"/>
                <w:vertAlign w:val="subscript"/>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​39,052​ </w:t>
            </w:r>
            <w:r>
              <w:rPr>
                <w:rFonts w:ascii="Times New Roman" w:cs="Times New Roman" w:eastAsia="Times New Roman" w:hAnsi="Times New Roman"/>
                <w:sz w:val="24"/>
                <w:szCs w:val="24"/>
                <w:color w:val="auto"/>
                <w:vertAlign w:val="subscript"/>
              </w:rPr>
              <w:t>​​</w:t>
            </w:r>
          </w:p>
        </w:tc>
      </w:tr>
      <w:tr>
        <w:trPr>
          <w:trHeight w:val="20"/>
        </w:trPr>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84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(29,876)​​</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​29,576​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84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(13,268)​​</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​13,268​ ​​</w:t>
            </w:r>
          </w:p>
        </w:tc>
      </w:tr>
      <w:tr>
        <w:trPr>
          <w:trHeight w:val="20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56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624​ </w:t>
            </w:r>
            <w:r>
              <w:rPr>
                <w:rFonts w:ascii="Times New Roman" w:cs="Times New Roman" w:eastAsia="Times New Roman" w:hAnsi="Times New Roman"/>
                <w:sz w:val="23"/>
                <w:szCs w:val="23"/>
                <w:color w:val="auto"/>
                <w:vertAlign w:val="subscript"/>
              </w:rPr>
              <w:t>​​</w:t>
            </w:r>
          </w:p>
        </w:tc>
        <w:tc>
          <w:tcPr>
            <w:tcW w:w="2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6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23"/>
                <w:szCs w:val="23"/>
                <w:color w:val="auto"/>
                <w:vertAlign w:val="subscript"/>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563​ </w:t>
            </w:r>
            <w:r>
              <w:rPr>
                <w:rFonts w:ascii="Times New Roman" w:cs="Times New Roman" w:eastAsia="Times New Roman" w:hAnsi="Times New Roman"/>
                <w:sz w:val="23"/>
                <w:szCs w:val="23"/>
                <w:color w:val="auto"/>
                <w:vertAlign w:val="subscript"/>
              </w:rPr>
              <w:t>​​</w:t>
            </w:r>
          </w:p>
        </w:tc>
      </w:tr>
      <w:tr>
        <w:trPr>
          <w:trHeight w:val="20"/>
        </w:trPr>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560" w:type="dxa"/>
            <w:vAlign w:val="bottom"/>
            <w:gridSpan w:val="3"/>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324​ </w:t>
            </w:r>
            <w:r>
              <w:rPr>
                <w:rFonts w:ascii="Times New Roman" w:cs="Times New Roman" w:eastAsia="Times New Roman" w:hAnsi="Times New Roman"/>
                <w:sz w:val="24"/>
                <w:szCs w:val="24"/>
                <w:color w:val="auto"/>
                <w:vertAlign w:val="subscript"/>
              </w:rPr>
              <w:t>​​</w:t>
            </w:r>
          </w:p>
        </w:tc>
        <w:tc>
          <w:tcPr>
            <w:tcW w:w="840" w:type="dxa"/>
            <w:vAlign w:val="bottom"/>
            <w:gridSpan w:val="5"/>
          </w:tcPr>
          <w:p>
            <w:pPr>
              <w:ind w:left="20"/>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(43,083)</w:t>
            </w:r>
            <w:r>
              <w:rPr>
                <w:rFonts w:ascii="Times New Roman" w:cs="Times New Roman" w:eastAsia="Times New Roman" w:hAnsi="Times New Roman"/>
                <w:sz w:val="24"/>
                <w:szCs w:val="24"/>
                <w:color w:val="auto"/>
                <w:vertAlign w:val="subscript"/>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​43,407​ </w:t>
            </w:r>
            <w:r>
              <w:rPr>
                <w:rFonts w:ascii="Times New Roman" w:cs="Times New Roman" w:eastAsia="Times New Roman" w:hAnsi="Times New Roman"/>
                <w:sz w:val="24"/>
                <w:szCs w:val="24"/>
                <w:color w:val="auto"/>
                <w:vertAlign w:val="subscript"/>
              </w:rPr>
              <w:t>​​</w:t>
            </w: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​(36,823)​​</w:t>
            </w:r>
          </w:p>
        </w:tc>
        <w:tc>
          <w:tcPr>
            <w:tcW w:w="84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​(119,282)​​</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​82,459​ ​​</w:t>
            </w:r>
          </w:p>
        </w:tc>
      </w:tr>
      <w:tr>
        <w:trPr>
          <w:trHeight w:val="20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56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(301)</w:t>
            </w:r>
            <w:r>
              <w:rPr>
                <w:rFonts w:ascii="Times New Roman" w:cs="Times New Roman" w:eastAsia="Times New Roman" w:hAnsi="Times New Roman"/>
                <w:sz w:val="23"/>
                <w:szCs w:val="23"/>
                <w:color w:val="auto"/>
                <w:vertAlign w:val="subscript"/>
              </w:rPr>
              <w:t>​​</w:t>
            </w:r>
          </w:p>
        </w:tc>
        <w:tc>
          <w:tcPr>
            <w:tcW w:w="2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6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3"/>
                <w:szCs w:val="23"/>
                <w:color w:val="auto"/>
                <w:vertAlign w:val="subscript"/>
              </w:rPr>
              <w:t>​​</w:t>
            </w:r>
          </w:p>
        </w:tc>
        <w:tc>
          <w:tcPr>
            <w:tcW w:w="24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4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(301)</w:t>
            </w:r>
            <w:r>
              <w:rPr>
                <w:rFonts w:ascii="Times New Roman" w:cs="Times New Roman" w:eastAsia="Times New Roman" w:hAnsi="Times New Roman"/>
                <w:sz w:val="23"/>
                <w:szCs w:val="23"/>
                <w:color w:val="auto"/>
                <w:vertAlign w:val="subscript"/>
              </w:rPr>
              <w:t>​​</w:t>
            </w: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(37,124)</w:t>
            </w:r>
            <w:r>
              <w:rPr>
                <w:rFonts w:ascii="Times New Roman" w:cs="Times New Roman" w:eastAsia="Times New Roman" w:hAnsi="Times New Roman"/>
                <w:sz w:val="23"/>
                <w:szCs w:val="23"/>
                <w:color w:val="auto"/>
                <w:vertAlign w:val="subscript"/>
              </w:rPr>
              <w:t>​​</w:t>
            </w:r>
          </w:p>
        </w:tc>
        <w:tc>
          <w:tcPr>
            <w:tcW w:w="840" w:type="dxa"/>
            <w:vAlign w:val="bottom"/>
            <w:gridSpan w:val="5"/>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(119,282)</w:t>
            </w:r>
            <w:r>
              <w:rPr>
                <w:rFonts w:ascii="Times New Roman" w:cs="Times New Roman" w:eastAsia="Times New Roman" w:hAnsi="Times New Roman"/>
                <w:sz w:val="23"/>
                <w:szCs w:val="23"/>
                <w:color w:val="auto"/>
                <w:vertAlign w:val="subscript"/>
              </w:rPr>
              <w:t>​​</w:t>
            </w:r>
          </w:p>
        </w:tc>
        <w:tc>
          <w:tcPr>
            <w:tcW w:w="700" w:type="dxa"/>
            <w:vAlign w:val="bottom"/>
            <w:gridSpan w:val="4"/>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82,158​ </w:t>
            </w:r>
            <w:r>
              <w:rPr>
                <w:rFonts w:ascii="Times New Roman" w:cs="Times New Roman" w:eastAsia="Times New Roman" w:hAnsi="Times New Roman"/>
                <w:sz w:val="23"/>
                <w:szCs w:val="23"/>
                <w:color w:val="auto"/>
                <w:vertAlign w:val="subscript"/>
              </w:rPr>
              <w:t>​​</w:t>
            </w: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34" w:lineRule="exact"/>
        <w:rPr>
          <w:sz w:val="20"/>
          <w:szCs w:val="20"/>
          <w:color w:val="auto"/>
        </w:rPr>
      </w:pPr>
    </w:p>
    <w:p>
      <w:pPr>
        <w:sectPr>
          <w:pgSz w:w="11900" w:h="16838" w:orient="portrait"/>
          <w:cols w:equalWidth="0" w:num="2">
            <w:col w:w="4680" w:space="720"/>
            <w:col w:w="3619"/>
          </w:cols>
          <w:pgMar w:left="1440" w:top="98" w:right="1440" w:bottom="1440" w:gutter="0" w:footer="0" w:header="0"/>
          <w:type w:val="continuous"/>
        </w:sect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Collaboration revenue was $50.0 million for the year ended December 31, 2023, and was derived from our BMS Agreement. There was no collaboration revenue for the year ended December 31, 2022.</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Research and Development Expenses</w:t>
      </w:r>
    </w:p>
    <w:p>
      <w:pPr>
        <w:spacing w:after="0" w:line="115"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summarizes our research and development expenses for each of the periods presented (in thousands):</w:t>
      </w:r>
    </w:p>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308"/>
        </w:trPr>
        <w:tc>
          <w:tcPr>
            <w:tcW w:w="2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80" w:type="dxa"/>
            <w:vAlign w:val="bottom"/>
          </w:tcPr>
          <w:p>
            <w:pPr>
              <w:ind w:left="2220"/>
              <w:spacing w:after="0"/>
              <w:rPr>
                <w:sz w:val="20"/>
                <w:szCs w:val="20"/>
                <w:color w:val="auto"/>
              </w:rPr>
            </w:pPr>
            <w:r>
              <w:rPr>
                <w:rFonts w:ascii="Times New Roman" w:cs="Times New Roman" w:eastAsia="Times New Roman" w:hAnsi="Times New Roman"/>
                <w:sz w:val="12"/>
                <w:szCs w:val="12"/>
                <w:b w:val="1"/>
                <w:bCs w:val="1"/>
                <w:color w:val="auto"/>
              </w:rPr>
              <w:t>​</w:t>
            </w: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23"/>
                <w:szCs w:val="23"/>
                <w:b w:val="1"/>
                <w:bCs w:val="1"/>
                <w:color w:val="auto"/>
                <w:w w:val="94"/>
                <w:vertAlign w:val="subscript"/>
              </w:rPr>
              <w:t>​</w:t>
            </w:r>
            <w:r>
              <w:rPr>
                <w:rFonts w:ascii="Times New Roman" w:cs="Times New Roman" w:eastAsia="Times New Roman" w:hAnsi="Times New Roman"/>
                <w:sz w:val="12"/>
                <w:szCs w:val="12"/>
                <w:b w:val="1"/>
                <w:bCs w:val="1"/>
                <w:color w:val="auto"/>
                <w:w w:val="94"/>
              </w:rPr>
              <w:t xml:space="preserve"> Year Ended December 31,</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r>
      <w:tr>
        <w:trPr>
          <w:trHeight w:val="20"/>
        </w:trPr>
        <w:tc>
          <w:tcPr>
            <w:tcW w:w="2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2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80" w:type="dxa"/>
            <w:vAlign w:val="bottom"/>
          </w:tcPr>
          <w:p>
            <w:pPr>
              <w:ind w:left="2220"/>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2023</w:t>
            </w:r>
          </w:p>
        </w:tc>
        <w:tc>
          <w:tcPr>
            <w:tcW w:w="74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2022</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Change</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-6350</wp:posOffset>
            </wp:positionV>
            <wp:extent cx="4241800" cy="1397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Direct research and development expenses by program:</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Obexelimab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Global programs (ZB002 &amp; ZB004)</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Regional programs (ZB001 &amp; ZB005)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Unallocated research and development expenses: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Personnel expenses (including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Other expenses</w:t>
      </w:r>
    </w:p>
    <w:p>
      <w:pPr>
        <w:spacing w:after="0" w:line="6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5"/>
          <w:szCs w:val="15"/>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187"/>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2"/>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​$25,446​​​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​$24,562​​​</w:t>
            </w:r>
          </w:p>
        </w:tc>
        <w:tc>
          <w:tcPr>
            <w:tcW w:w="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884​ ​​</w:t>
            </w:r>
          </w:p>
        </w:tc>
      </w:tr>
    </w:tbl>
    <w:p>
      <w:pPr>
        <w:ind w:left="140" w:hanging="93"/>
        <w:spacing w:after="0"/>
        <w:tabs>
          <w:tab w:leader="none" w:pos="14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 ​ 6,242​​​ ​ ​ ​10,641​​​ ​​ ​(4,399)​​</w:t>
      </w:r>
    </w:p>
    <w:p>
      <w:pPr>
        <w:spacing w:after="0" w:line="36" w:lineRule="exact"/>
        <w:rPr>
          <w:rFonts w:ascii="Times New Roman" w:cs="Times New Roman" w:eastAsia="Times New Roman" w:hAnsi="Times New Roman"/>
          <w:sz w:val="15"/>
          <w:szCs w:val="15"/>
          <w:color w:val="auto"/>
        </w:rPr>
      </w:pPr>
    </w:p>
    <w:p>
      <w:pPr>
        <w:ind w:left="140" w:hanging="93"/>
        <w:spacing w:after="0"/>
        <w:tabs>
          <w:tab w:leader="none" w:pos="14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 ​ 6,738​​​ ​ ​ ​ 9,783​​​ ​​ ​(3,045)​​</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​20,458​​​</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​15,663​​​</w:t>
            </w: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​4,795​ ​​</w:t>
            </w:r>
          </w:p>
        </w:tc>
        <w:tc>
          <w:tcPr>
            <w:tcW w:w="0" w:type="dxa"/>
            <w:vAlign w:val="bottom"/>
          </w:tcPr>
          <w:p>
            <w:pPr>
              <w:spacing w:after="0"/>
              <w:rPr>
                <w:sz w:val="1"/>
                <w:szCs w:val="1"/>
                <w:color w:val="auto"/>
              </w:rPr>
            </w:pPr>
          </w:p>
        </w:tc>
      </w:tr>
      <w:tr>
        <w:trPr>
          <w:trHeight w:val="201"/>
        </w:trPr>
        <w:tc>
          <w:tcPr>
            <w:tcW w:w="340" w:type="dxa"/>
            <w:vAlign w:val="bottom"/>
            <w:gridSpan w:val="4"/>
          </w:tcPr>
          <w:p>
            <w:pPr>
              <w:ind w:left="40"/>
              <w:spacing w:after="0" w:line="201" w:lineRule="exact"/>
              <w:rPr>
                <w:sz w:val="20"/>
                <w:szCs w:val="20"/>
                <w:color w:val="auto"/>
              </w:rPr>
            </w:pP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3"/>
                <w:szCs w:val="23"/>
                <w:color w:val="auto"/>
                <w:vertAlign w:val="superscript"/>
              </w:rPr>
              <w:t>​</w:t>
            </w:r>
          </w:p>
        </w:tc>
        <w:tc>
          <w:tcPr>
            <w:tcW w:w="5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1,149​</w:t>
            </w:r>
            <w:r>
              <w:rPr>
                <w:rFonts w:ascii="Times New Roman" w:cs="Times New Roman" w:eastAsia="Times New Roman" w:hAnsi="Times New Roman"/>
                <w:sz w:val="23"/>
                <w:szCs w:val="23"/>
                <w:color w:val="auto"/>
                <w:vertAlign w:val="subscript"/>
              </w:rPr>
              <w:t>​​</w:t>
            </w:r>
          </w:p>
        </w:tc>
        <w:tc>
          <w:tcPr>
            <w:tcW w:w="7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 ​ 1,040​</w:t>
            </w:r>
            <w:r>
              <w:rPr>
                <w:rFonts w:ascii="Times New Roman" w:cs="Times New Roman" w:eastAsia="Times New Roman" w:hAnsi="Times New Roman"/>
                <w:sz w:val="23"/>
                <w:szCs w:val="23"/>
                <w:color w:val="auto"/>
                <w:vertAlign w:val="subscript"/>
              </w:rPr>
              <w:t>​​</w:t>
            </w:r>
          </w:p>
        </w:tc>
        <w:tc>
          <w:tcPr>
            <w:tcW w:w="260" w:type="dxa"/>
            <w:vAlign w:val="bottom"/>
            <w:gridSpan w:val="3"/>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4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109​ </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620" w:type="dxa"/>
            <w:vAlign w:val="bottom"/>
            <w:gridSpan w:val="4"/>
          </w:tcPr>
          <w:p>
            <w:pPr>
              <w:jc w:val="right"/>
              <w:ind w:right="53"/>
              <w:spacing w:after="0" w:line="156" w:lineRule="exact"/>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60,033​</w:t>
            </w:r>
          </w:p>
        </w:tc>
        <w:tc>
          <w:tcPr>
            <w:tcW w:w="100" w:type="dxa"/>
            <w:vAlign w:val="bottom"/>
          </w:tcPr>
          <w:p>
            <w:pPr>
              <w:spacing w:after="0"/>
              <w:rPr>
                <w:sz w:val="13"/>
                <w:szCs w:val="13"/>
                <w:color w:val="auto"/>
              </w:rPr>
            </w:pPr>
          </w:p>
        </w:tc>
        <w:tc>
          <w:tcPr>
            <w:tcW w:w="620" w:type="dxa"/>
            <w:vAlign w:val="bottom"/>
            <w:gridSpan w:val="2"/>
          </w:tcPr>
          <w:p>
            <w:pPr>
              <w:jc w:val="right"/>
              <w:ind w:right="53"/>
              <w:spacing w:after="0" w:line="156" w:lineRule="exact"/>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61,689​</w:t>
            </w:r>
          </w:p>
        </w:tc>
        <w:tc>
          <w:tcPr>
            <w:tcW w:w="600" w:type="dxa"/>
            <w:vAlign w:val="bottom"/>
            <w:gridSpan w:val="4"/>
          </w:tcPr>
          <w:p>
            <w:pPr>
              <w:jc w:val="right"/>
              <w:spacing w:after="0" w:line="156" w:lineRule="exact"/>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(1,656)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5"/>
        </w:trPr>
        <w:tc>
          <w:tcPr>
            <w:tcW w:w="100" w:type="dxa"/>
            <w:vAlign w:val="bottom"/>
            <w:vMerge w:val="continue"/>
          </w:tcPr>
          <w:p>
            <w:pPr>
              <w:spacing w:after="0"/>
              <w:rPr>
                <w:sz w:val="4"/>
                <w:szCs w:val="4"/>
                <w:color w:val="auto"/>
              </w:rPr>
            </w:pPr>
          </w:p>
        </w:tc>
        <w:tc>
          <w:tcPr>
            <w:tcW w:w="160" w:type="dxa"/>
            <w:vAlign w:val="bottom"/>
            <w:gridSpan w:val="2"/>
          </w:tcPr>
          <w:p>
            <w:pPr>
              <w:ind w:left="40"/>
              <w:spacing w:after="0" w:line="35" w:lineRule="exact"/>
              <w:rPr>
                <w:sz w:val="20"/>
                <w:szCs w:val="20"/>
                <w:color w:val="auto"/>
              </w:rPr>
            </w:pPr>
            <w:r>
              <w:rPr>
                <w:rFonts w:ascii="Times New Roman" w:cs="Times New Roman" w:eastAsia="Times New Roman" w:hAnsi="Times New Roman"/>
                <w:sz w:val="4"/>
                <w:szCs w:val="4"/>
                <w:color w:val="auto"/>
              </w:rPr>
              <w:t>​ ​</w:t>
            </w: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jc w:val="right"/>
              <w:spacing w:after="0" w:line="35" w:lineRule="exact"/>
              <w:rPr>
                <w:sz w:val="20"/>
                <w:szCs w:val="20"/>
                <w:color w:val="auto"/>
              </w:rPr>
            </w:pPr>
            <w:r>
              <w:rPr>
                <w:rFonts w:ascii="Times New Roman" w:cs="Times New Roman" w:eastAsia="Times New Roman" w:hAnsi="Times New Roman"/>
                <w:sz w:val="4"/>
                <w:szCs w:val="4"/>
                <w:color w:val="auto"/>
              </w:rPr>
              <w:t>​​</w:t>
            </w:r>
          </w:p>
        </w:tc>
        <w:tc>
          <w:tcPr>
            <w:tcW w:w="580" w:type="dxa"/>
            <w:vAlign w:val="bottom"/>
            <w:gridSpan w:val="2"/>
          </w:tcPr>
          <w:p>
            <w:pPr>
              <w:ind w:left="20"/>
              <w:spacing w:after="0" w:line="35" w:lineRule="exact"/>
              <w:rPr>
                <w:sz w:val="20"/>
                <w:szCs w:val="20"/>
                <w:color w:val="auto"/>
              </w:rPr>
            </w:pPr>
            <w:r>
              <w:rPr>
                <w:rFonts w:ascii="Times New Roman" w:cs="Times New Roman" w:eastAsia="Times New Roman" w:hAnsi="Times New Roman"/>
                <w:sz w:val="4"/>
                <w:szCs w:val="4"/>
                <w:color w:val="auto"/>
              </w:rPr>
              <w:t>​ ​</w:t>
            </w:r>
          </w:p>
        </w:tc>
        <w:tc>
          <w:tcPr>
            <w:tcW w:w="140" w:type="dxa"/>
            <w:vAlign w:val="bottom"/>
          </w:tcPr>
          <w:p>
            <w:pPr>
              <w:jc w:val="right"/>
              <w:spacing w:after="0" w:line="35" w:lineRule="exact"/>
              <w:rPr>
                <w:sz w:val="20"/>
                <w:szCs w:val="20"/>
                <w:color w:val="auto"/>
              </w:rPr>
            </w:pPr>
            <w:r>
              <w:rPr>
                <w:rFonts w:ascii="Times New Roman" w:cs="Times New Roman" w:eastAsia="Times New Roman" w:hAnsi="Times New Roman"/>
                <w:sz w:val="4"/>
                <w:szCs w:val="4"/>
                <w:color w:val="auto"/>
              </w:rPr>
              <w:t>​​</w:t>
            </w:r>
          </w:p>
        </w:tc>
        <w:tc>
          <w:tcPr>
            <w:tcW w:w="260" w:type="dxa"/>
            <w:vAlign w:val="bottom"/>
            <w:gridSpan w:val="3"/>
          </w:tcPr>
          <w:p>
            <w:pPr>
              <w:ind w:left="20"/>
              <w:spacing w:after="0" w:line="35" w:lineRule="exact"/>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80" w:space="720"/>
            <w:col w:w="3419"/>
          </w:cols>
          <w:pgMar w:left="1440" w:top="98" w:right="1440" w:bottom="1440" w:gutter="0" w:footer="0" w:header="0"/>
          <w:type w:val="continuous"/>
        </w:sectPr>
      </w:pP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94" w:name="page95"/>
    <w:bookmarkEnd w:id="9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Research and development expenses were $60.0 million for the year ended December 31, 2023, compared to $61.7 million for the year ended December 31, 2022. The decrease of $1.7 million was primarily attributable to the following:</w:t>
      </w:r>
    </w:p>
    <w:p>
      <w:pPr>
        <w:spacing w:after="0" w:line="52" w:lineRule="exact"/>
        <w:rPr>
          <w:sz w:val="20"/>
          <w:szCs w:val="20"/>
          <w:color w:val="auto"/>
        </w:rPr>
      </w:pPr>
    </w:p>
    <w:p>
      <w:pPr>
        <w:jc w:val="both"/>
        <w:ind w:left="1600" w:right="1179" w:hanging="143"/>
        <w:spacing w:after="0" w:line="249" w:lineRule="auto"/>
        <w:tabs>
          <w:tab w:leader="none" w:pos="16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$0.9 million increase in costs related to the development of obexelimab, our lead product candidate, driven by a $5.0 million increase in costs related to the initiation of clinical trials and a $1.0 million increase in non-clinical work to support the trials, partially offset by a $4.1 million decrease in shared development costs as a result of the cost sharing reimbursement arrangement pursuant to the BMS Agreement, and a $1.0 million decrease in manufacturing that was primarily related to the costs of manufacturing clinical trial materials in 2022;</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$4.4 million decrease in costs related to our global programs, including a $1.5 million decrease related to ZB002 and a $2.9 million decrease related to ZB004, largely driven by a decrease in IND supporting costs in research and manufacturing for regulatory agencies, partially offset by the initiation of clinical studies;</w:t>
      </w:r>
    </w:p>
    <w:p>
      <w:pPr>
        <w:spacing w:after="0" w:line="55"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$3.0 million decrease in costs related to our regional programs, ZB001 and ZB005, driven by a decrease in CMC and preclinical work needed to support an IND and create Phase 1 materials, partially offset by an increase in Phase 1 clinical trial expenses; and</w:t>
      </w:r>
    </w:p>
    <w:p>
      <w:pPr>
        <w:spacing w:after="0" w:line="50"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$4.8 million increase in personnel costs, including a $1.2 million increase in stock-based compensation expense and a $3.4 million increase in salary and benefit related expense, primarily due to an increase in headcount, and a $0.1 million increase in other personnel costs.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General and Administrative Expense</w:t>
      </w:r>
    </w:p>
    <w:p>
      <w:pPr>
        <w:spacing w:after="0" w:line="115" w:lineRule="exact"/>
        <w:rPr>
          <w:sz w:val="20"/>
          <w:szCs w:val="20"/>
          <w:color w:val="auto"/>
        </w:rPr>
      </w:pPr>
    </w:p>
    <w:p>
      <w:pPr>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following table summarizes our general and administrative expenses for each of the periods presented (in thousands):</w:t>
      </w:r>
    </w:p>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340" w:type="dxa"/>
            <w:vAlign w:val="bottom"/>
          </w:tcPr>
          <w:p>
            <w:pPr>
              <w:ind w:left="2280"/>
              <w:spacing w:after="0"/>
              <w:rPr>
                <w:sz w:val="20"/>
                <w:szCs w:val="20"/>
                <w:color w:val="auto"/>
              </w:rPr>
            </w:pPr>
            <w:r>
              <w:rPr>
                <w:rFonts w:ascii="Times New Roman" w:cs="Times New Roman" w:eastAsia="Times New Roman" w:hAnsi="Times New Roman"/>
                <w:sz w:val="12"/>
                <w:szCs w:val="12"/>
                <w:b w:val="1"/>
                <w:bCs w:val="1"/>
                <w:color w:val="auto"/>
              </w:rPr>
              <w:t>​</w:t>
            </w: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23"/>
                <w:szCs w:val="23"/>
                <w:b w:val="1"/>
                <w:bCs w:val="1"/>
                <w:color w:val="auto"/>
                <w:w w:val="94"/>
                <w:vertAlign w:val="subscript"/>
              </w:rPr>
              <w:t>​</w:t>
            </w:r>
            <w:r>
              <w:rPr>
                <w:rFonts w:ascii="Times New Roman" w:cs="Times New Roman" w:eastAsia="Times New Roman" w:hAnsi="Times New Roman"/>
                <w:sz w:val="12"/>
                <w:szCs w:val="12"/>
                <w:b w:val="1"/>
                <w:bCs w:val="1"/>
                <w:color w:val="auto"/>
                <w:w w:val="94"/>
              </w:rPr>
              <w:t xml:space="preserve"> Year Ended December 31,</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 ​</w:t>
            </w:r>
          </w:p>
        </w:tc>
      </w:tr>
      <w:tr>
        <w:trPr>
          <w:trHeight w:val="20"/>
        </w:trPr>
        <w:tc>
          <w:tcPr>
            <w:tcW w:w="2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r>
      <w:tr>
        <w:trPr>
          <w:trHeight w:val="189"/>
        </w:trPr>
        <w:tc>
          <w:tcPr>
            <w:tcW w:w="2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340" w:type="dxa"/>
            <w:vAlign w:val="bottom"/>
          </w:tcPr>
          <w:p>
            <w:pPr>
              <w:ind w:left="228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2023</w:t>
            </w:r>
          </w:p>
        </w:tc>
        <w:tc>
          <w:tcPr>
            <w:tcW w:w="7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2022</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Change </w:t>
            </w:r>
            <w:r>
              <w:rPr>
                <w:rFonts w:ascii="Times New Roman" w:cs="Times New Roman" w:eastAsia="Times New Roman" w:hAnsi="Times New Roman"/>
                <w:sz w:val="21"/>
                <w:szCs w:val="21"/>
                <w:b w:val="1"/>
                <w:bCs w:val="1"/>
                <w:color w:val="auto"/>
                <w:vertAlign w:val="subscript"/>
              </w:rPr>
              <w:t>​</w:t>
            </w:r>
          </w:p>
        </w:tc>
      </w:tr>
      <w:tr>
        <w:trPr>
          <w:trHeight w:val="20"/>
        </w:trPr>
        <w:tc>
          <w:tcPr>
            <w:tcW w:w="2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-6350</wp:posOffset>
            </wp:positionV>
            <wp:extent cx="4241800" cy="1397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Personnel related expenses (including stock-based compensation)</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Legal and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Facilities and supplies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606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Total general and administrative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9,859​​​</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7,489​​​</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​​$2,370​ ​</w:t>
            </w:r>
          </w:p>
        </w:tc>
        <w:tc>
          <w:tcPr>
            <w:tcW w:w="0" w:type="dxa"/>
            <w:vAlign w:val="bottom"/>
          </w:tcPr>
          <w:p>
            <w:pPr>
              <w:spacing w:after="0"/>
              <w:rPr>
                <w:sz w:val="1"/>
                <w:szCs w:val="1"/>
                <w:color w:val="auto"/>
              </w:rPr>
            </w:pPr>
          </w:p>
        </w:tc>
      </w:tr>
      <w:tr>
        <w:trPr>
          <w:trHeight w:val="209"/>
        </w:trPr>
        <w:tc>
          <w:tcPr>
            <w:tcW w:w="8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 ​ ​ 4,626​​​</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 3,635​​​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991​ ​</w:t>
            </w:r>
          </w:p>
        </w:tc>
        <w:tc>
          <w:tcPr>
            <w:tcW w:w="0" w:type="dxa"/>
            <w:vAlign w:val="bottom"/>
          </w:tcPr>
          <w:p>
            <w:pPr>
              <w:spacing w:after="0"/>
              <w:rPr>
                <w:sz w:val="1"/>
                <w:szCs w:val="1"/>
                <w:color w:val="auto"/>
              </w:rPr>
            </w:pPr>
          </w:p>
        </w:tc>
      </w:tr>
      <w:tr>
        <w:trPr>
          <w:trHeight w:val="209"/>
        </w:trPr>
        <w:tc>
          <w:tcPr>
            <w:tcW w:w="8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 ​ ​ 1,825​​​</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 1,567​​​</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258​ ​</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5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804​</w:t>
            </w:r>
            <w:r>
              <w:rPr>
                <w:rFonts w:ascii="Times New Roman" w:cs="Times New Roman" w:eastAsia="Times New Roman" w:hAnsi="Times New Roman"/>
                <w:sz w:val="23"/>
                <w:szCs w:val="23"/>
                <w:color w:val="auto"/>
                <w:vertAlign w:val="subscript"/>
              </w:rPr>
              <w:t>​​</w:t>
            </w:r>
          </w:p>
        </w:tc>
        <w:tc>
          <w:tcPr>
            <w:tcW w:w="24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4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819​</w:t>
            </w:r>
            <w:r>
              <w:rPr>
                <w:rFonts w:ascii="Times New Roman" w:cs="Times New Roman" w:eastAsia="Times New Roman" w:hAnsi="Times New Roman"/>
                <w:sz w:val="23"/>
                <w:szCs w:val="23"/>
                <w:color w:val="auto"/>
                <w:vertAlign w:val="subscript"/>
              </w:rPr>
              <w:t>​​</w:t>
            </w:r>
          </w:p>
        </w:tc>
        <w:tc>
          <w:tcPr>
            <w:tcW w:w="24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3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(15)</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620" w:type="dxa"/>
            <w:vAlign w:val="bottom"/>
            <w:gridSpan w:val="3"/>
          </w:tcPr>
          <w:p>
            <w:pPr>
              <w:jc w:val="right"/>
              <w:ind w:right="79"/>
              <w:spacing w:after="0" w:line="156" w:lineRule="exact"/>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17,114​</w:t>
            </w:r>
          </w:p>
        </w:tc>
        <w:tc>
          <w:tcPr>
            <w:tcW w:w="100" w:type="dxa"/>
            <w:vAlign w:val="bottom"/>
          </w:tcPr>
          <w:p>
            <w:pPr>
              <w:spacing w:after="0"/>
              <w:rPr>
                <w:sz w:val="13"/>
                <w:szCs w:val="13"/>
                <w:color w:val="auto"/>
              </w:rPr>
            </w:pPr>
          </w:p>
        </w:tc>
        <w:tc>
          <w:tcPr>
            <w:tcW w:w="620" w:type="dxa"/>
            <w:vAlign w:val="bottom"/>
            <w:gridSpan w:val="3"/>
          </w:tcPr>
          <w:p>
            <w:pPr>
              <w:jc w:val="right"/>
              <w:ind w:right="79"/>
              <w:spacing w:after="0" w:line="156" w:lineRule="exact"/>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13,510​</w:t>
            </w:r>
          </w:p>
        </w:tc>
        <w:tc>
          <w:tcPr>
            <w:tcW w:w="80" w:type="dxa"/>
            <w:vAlign w:val="bottom"/>
          </w:tcPr>
          <w:p>
            <w:pPr>
              <w:spacing w:after="0"/>
              <w:rPr>
                <w:sz w:val="13"/>
                <w:szCs w:val="13"/>
                <w:color w:val="auto"/>
              </w:rPr>
            </w:pPr>
          </w:p>
        </w:tc>
        <w:tc>
          <w:tcPr>
            <w:tcW w:w="46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3,604​</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5"/>
        </w:trPr>
        <w:tc>
          <w:tcPr>
            <w:tcW w:w="80" w:type="dxa"/>
            <w:vAlign w:val="bottom"/>
            <w:vMerge w:val="continue"/>
          </w:tcPr>
          <w:p>
            <w:pPr>
              <w:spacing w:after="0"/>
              <w:rPr>
                <w:sz w:val="4"/>
                <w:szCs w:val="4"/>
                <w:color w:val="auto"/>
              </w:rPr>
            </w:pPr>
          </w:p>
        </w:tc>
        <w:tc>
          <w:tcPr>
            <w:tcW w:w="220" w:type="dxa"/>
            <w:vAlign w:val="bottom"/>
            <w:gridSpan w:val="2"/>
          </w:tcPr>
          <w:p>
            <w:pPr>
              <w:ind w:left="20"/>
              <w:spacing w:after="0" w:line="35" w:lineRule="exact"/>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4"/>
                <w:szCs w:val="4"/>
                <w:color w:val="auto"/>
              </w:rPr>
            </w:pPr>
          </w:p>
        </w:tc>
        <w:tc>
          <w:tcPr>
            <w:tcW w:w="140" w:type="dxa"/>
            <w:vAlign w:val="bottom"/>
          </w:tcPr>
          <w:p>
            <w:pPr>
              <w:jc w:val="right"/>
              <w:spacing w:after="0" w:line="35" w:lineRule="exact"/>
              <w:rPr>
                <w:sz w:val="20"/>
                <w:szCs w:val="20"/>
                <w:color w:val="auto"/>
              </w:rPr>
            </w:pPr>
            <w:r>
              <w:rPr>
                <w:rFonts w:ascii="Times New Roman" w:cs="Times New Roman" w:eastAsia="Times New Roman" w:hAnsi="Times New Roman"/>
                <w:sz w:val="4"/>
                <w:szCs w:val="4"/>
                <w:color w:val="auto"/>
              </w:rPr>
              <w:t>​​</w:t>
            </w:r>
          </w:p>
        </w:tc>
        <w:tc>
          <w:tcPr>
            <w:tcW w:w="240" w:type="dxa"/>
            <w:vAlign w:val="bottom"/>
            <w:gridSpan w:val="2"/>
          </w:tcPr>
          <w:p>
            <w:pPr>
              <w:ind w:left="20"/>
              <w:spacing w:after="0" w:line="35" w:lineRule="exact"/>
              <w:rPr>
                <w:sz w:val="20"/>
                <w:szCs w:val="20"/>
                <w:color w:val="auto"/>
              </w:rPr>
            </w:pPr>
            <w:r>
              <w:rPr>
                <w:rFonts w:ascii="Times New Roman" w:cs="Times New Roman" w:eastAsia="Times New Roman" w:hAnsi="Times New Roman"/>
                <w:sz w:val="4"/>
                <w:szCs w:val="4"/>
                <w:color w:val="auto"/>
              </w:rPr>
              <w:t>​ ​</w:t>
            </w:r>
          </w:p>
        </w:tc>
        <w:tc>
          <w:tcPr>
            <w:tcW w:w="340" w:type="dxa"/>
            <w:vAlign w:val="bottom"/>
          </w:tcPr>
          <w:p>
            <w:pPr>
              <w:spacing w:after="0"/>
              <w:rPr>
                <w:sz w:val="4"/>
                <w:szCs w:val="4"/>
                <w:color w:val="auto"/>
              </w:rPr>
            </w:pPr>
          </w:p>
        </w:tc>
        <w:tc>
          <w:tcPr>
            <w:tcW w:w="140" w:type="dxa"/>
            <w:vAlign w:val="bottom"/>
          </w:tcPr>
          <w:p>
            <w:pPr>
              <w:jc w:val="right"/>
              <w:spacing w:after="0" w:line="35" w:lineRule="exact"/>
              <w:rPr>
                <w:sz w:val="20"/>
                <w:szCs w:val="20"/>
                <w:color w:val="auto"/>
              </w:rPr>
            </w:pPr>
            <w:r>
              <w:rPr>
                <w:rFonts w:ascii="Times New Roman" w:cs="Times New Roman" w:eastAsia="Times New Roman" w:hAnsi="Times New Roman"/>
                <w:sz w:val="4"/>
                <w:szCs w:val="4"/>
                <w:color w:val="auto"/>
              </w:rPr>
              <w:t>​​</w:t>
            </w:r>
          </w:p>
        </w:tc>
        <w:tc>
          <w:tcPr>
            <w:tcW w:w="240" w:type="dxa"/>
            <w:vAlign w:val="bottom"/>
            <w:gridSpan w:val="2"/>
          </w:tcPr>
          <w:p>
            <w:pPr>
              <w:ind w:left="20"/>
              <w:spacing w:after="0" w:line="35" w:lineRule="exact"/>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ectPr>
          <w:pgSz w:w="11900" w:h="16838" w:orient="portrait"/>
          <w:cols w:equalWidth="0" w:num="2">
            <w:col w:w="5180" w:space="600"/>
            <w:col w:w="3239"/>
          </w:cols>
          <w:pgMar w:left="1440" w:top="98" w:right="1440" w:bottom="1440" w:gutter="0" w:footer="0" w:header="0"/>
          <w:type w:val="continuous"/>
        </w:sect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General and administrative expenses were $17.1 million for the year ended December 31, 2023, compared to $13.5 million for the year ended December 31, 2022. The increase of $3.6 million was primarily attributable to the following:</w:t>
      </w:r>
    </w:p>
    <w:p>
      <w:pPr>
        <w:spacing w:after="0" w:line="45" w:lineRule="exact"/>
        <w:rPr>
          <w:sz w:val="20"/>
          <w:szCs w:val="20"/>
          <w:color w:val="auto"/>
        </w:rPr>
      </w:pPr>
    </w:p>
    <w:p>
      <w:pPr>
        <w:jc w:val="both"/>
        <w:ind w:left="1600" w:right="1179" w:hanging="143"/>
        <w:spacing w:after="0" w:line="252" w:lineRule="auto"/>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$2.4 million increase in personnel costs, including a $1.5 million increase in stock-based compensation expense, a $1.4 million increase in salary and benefit related expense, primarily due to an increase in headcount, and a $0.6 million increase in external consultant costs, partially offset by a $1.1 million decrease in recruiting expense; and</w:t>
      </w:r>
    </w:p>
    <w:p>
      <w:pPr>
        <w:spacing w:after="0" w:line="6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$1.0 million increase in professional fees, including legal, audit and tax expenses, primarily due to preparation for an initial public offering, and increased business development activities.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Acquired In-Process Research and Development Expenses</w:t>
      </w:r>
    </w:p>
    <w:p>
      <w:pPr>
        <w:spacing w:after="0" w:line="11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Acquired IPR&amp;D was $10.0 million for the year ended December 31, 2023, and was made up of a $10.0 million development milestone payment made during the year related to obexelimab, compared to IPR&amp;D of $1.0 million for the year ended December 31, 2022, which was made up of a $1.0 million milestone payment made in 2022 related to ZB001.</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Total Other Income (Expense), Net</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Total other income, net was $0.3 million for the year ended December 31, 2023, and was made up primarily of interest income of $0.7 million, offset by the change in fair value of the BMS Note of $0.3 million</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95" w:name="page96"/>
    <w:bookmarkEnd w:id="9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upon remeasurement as of December 31, 2023. Total other expense, net was $43.1 million for the year ended December 31, 2022. The change was due to the remeasurement of the 2021 Notes of $29.9 million prior to conversion into our Series B Preferred Stock, par value $0.0001 per share in 2022 and the remeasurement of the Xencor Warrant liability of $13.3 million prior to settlement upon the issuance of the Series B Preferred Stock in 2022. As these liabilities were settled in November 2022, we did not recognize any expense related to these liabilities in 2023.</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Income Taxes</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provision for income taxes was $0.3 million for the year ended December 31, 2023, and was primarily attributable to the taxable income generated as a result of the BMS upfront payment and the required capitalization of research and development expenses. There was no income tax provision recorded for the year ended December 31, 2022.</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Sources of Liquidity</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have incurred significant operating losses since inception. We have not yet commercialized any product candidates, and we do not expect to generate revenue from sales of any product candidates or from other sources for several years, if at all. As of June 30, 2024, we had $183.9 million in cash and we had an accumulated deficit of $296.2 million. Through June 30, 2024, we have funded our operations primarily with gross proceeds of $358.0 million through the sale and issuance of our Preferred Stock, the sale and issuance of our 2021 Notes and the BMS Note, as well as $50.0 million through our BMS Agreement.</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Cash Flows</w:t>
      </w:r>
    </w:p>
    <w:p>
      <w:pPr>
        <w:spacing w:after="0" w:line="117"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table provides information regarding our cash flows for each of the periods presented (in thousands):</w:t>
      </w:r>
    </w:p>
    <w:p>
      <w:pPr>
        <w:spacing w:after="0" w:line="10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6"/>
          </w:tcPr>
          <w:p>
            <w:pPr>
              <w:jc w:val="right"/>
              <w:ind w:right="292"/>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 ​</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2"/>
                <w:szCs w:val="12"/>
                <w:b w:val="1"/>
                <w:bCs w:val="1"/>
                <w:color w:val="auto"/>
                <w:w w:val="93"/>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6"/>
          </w:tcPr>
          <w:p>
            <w:pPr>
              <w:jc w:val="right"/>
              <w:ind w:right="232"/>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2024   </w:t>
            </w:r>
            <w:r>
              <w:rPr>
                <w:rFonts w:ascii="Times New Roman" w:cs="Times New Roman" w:eastAsia="Times New Roman" w:hAnsi="Times New Roman"/>
                <w:sz w:val="21"/>
                <w:szCs w:val="21"/>
                <w:b w:val="1"/>
                <w:bCs w:val="1"/>
                <w:color w:val="auto"/>
                <w:vertAlign w:val="subscript"/>
              </w:rPr>
              <w:t>​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2023   </w:t>
            </w:r>
            <w:r>
              <w:rPr>
                <w:rFonts w:ascii="Times New Roman" w:cs="Times New Roman" w:eastAsia="Times New Roman" w:hAnsi="Times New Roman"/>
                <w:sz w:val="21"/>
                <w:szCs w:val="21"/>
                <w:b w:val="1"/>
                <w:bCs w:val="1"/>
                <w:color w:val="auto"/>
                <w:vertAlign w:val="subscript"/>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6"/>
                <w:szCs w:val="16"/>
                <w:color w:val="auto"/>
              </w:rPr>
            </w:pPr>
          </w:p>
        </w:tc>
        <w:tc>
          <w:tcPr>
            <w:tcW w:w="5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2023   </w:t>
            </w:r>
            <w:r>
              <w:rPr>
                <w:rFonts w:ascii="Times New Roman" w:cs="Times New Roman" w:eastAsia="Times New Roman" w:hAnsi="Times New Roman"/>
                <w:sz w:val="21"/>
                <w:szCs w:val="21"/>
                <w:b w:val="1"/>
                <w:bCs w:val="1"/>
                <w:color w:val="auto"/>
                <w:vertAlign w:val="subscript"/>
              </w:rPr>
              <w:t>​</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6"/>
                <w:szCs w:val="16"/>
                <w:color w:val="auto"/>
              </w:rPr>
            </w:pPr>
          </w:p>
        </w:tc>
        <w:tc>
          <w:tcPr>
            <w:tcW w:w="400" w:type="dxa"/>
            <w:vAlign w:val="bottom"/>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374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24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gridSpan w:val="4"/>
            <w:shd w:val="clear" w:color="auto" w:fill="CCEEFF"/>
          </w:tcPr>
          <w:p>
            <w:pPr>
              <w:jc w:val="right"/>
              <w:ind w:right="86"/>
              <w:spacing w:after="0" w:line="156" w:lineRule="exact"/>
              <w:rPr>
                <w:sz w:val="20"/>
                <w:szCs w:val="20"/>
                <w:color w:val="auto"/>
              </w:rPr>
            </w:pPr>
            <w:r>
              <w:rPr>
                <w:rFonts w:ascii="Times New Roman" w:cs="Times New Roman" w:eastAsia="Times New Roman" w:hAnsi="Times New Roman"/>
                <w:sz w:val="15"/>
                <w:szCs w:val="15"/>
                <w:color w:val="auto"/>
                <w:w w:val="92"/>
              </w:rPr>
              <w:t>$ (50,061)</w:t>
            </w:r>
          </w:p>
        </w:tc>
        <w:tc>
          <w:tcPr>
            <w:tcW w:w="640" w:type="dxa"/>
            <w:vAlign w:val="bottom"/>
            <w:gridSpan w:val="4"/>
            <w:shd w:val="clear" w:color="auto" w:fill="CCEEFF"/>
          </w:tcPr>
          <w:p>
            <w:pPr>
              <w:jc w:val="right"/>
              <w:ind w:right="12"/>
              <w:spacing w:after="0" w:line="156" w:lineRule="exact"/>
              <w:rPr>
                <w:sz w:val="20"/>
                <w:szCs w:val="20"/>
                <w:color w:val="auto"/>
              </w:rPr>
            </w:pPr>
            <w:r>
              <w:rPr>
                <w:rFonts w:ascii="Times New Roman" w:cs="Times New Roman" w:eastAsia="Times New Roman" w:hAnsi="Times New Roman"/>
                <w:sz w:val="15"/>
                <w:szCs w:val="15"/>
                <w:color w:val="auto"/>
                <w:w w:val="95"/>
              </w:rPr>
              <w:t>$(46,975)</w:t>
            </w:r>
          </w:p>
        </w:tc>
        <w:tc>
          <w:tcPr>
            <w:tcW w:w="720" w:type="dxa"/>
            <w:vAlign w:val="bottom"/>
            <w:gridSpan w:val="5"/>
            <w:shd w:val="clear" w:color="auto" w:fill="CCEEFF"/>
          </w:tcPr>
          <w:p>
            <w:pPr>
              <w:jc w:val="right"/>
              <w:ind w:right="26"/>
              <w:spacing w:after="0" w:line="156" w:lineRule="exact"/>
              <w:rPr>
                <w:sz w:val="20"/>
                <w:szCs w:val="20"/>
                <w:color w:val="auto"/>
              </w:rPr>
            </w:pPr>
            <w:r>
              <w:rPr>
                <w:rFonts w:ascii="Times New Roman" w:cs="Times New Roman" w:eastAsia="Times New Roman" w:hAnsi="Times New Roman"/>
                <w:sz w:val="15"/>
                <w:szCs w:val="15"/>
                <w:color w:val="auto"/>
              </w:rPr>
              <w:t>$(30,529)</w:t>
            </w:r>
          </w:p>
        </w:tc>
        <w:tc>
          <w:tcPr>
            <w:tcW w:w="620" w:type="dxa"/>
            <w:vAlign w:val="bottom"/>
            <w:gridSpan w:val="4"/>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$(65,652)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4"/>
        </w:trPr>
        <w:tc>
          <w:tcPr>
            <w:tcW w:w="3740" w:type="dxa"/>
            <w:vAlign w:val="bottom"/>
            <w:shd w:val="clear" w:color="auto" w:fill="CCEEFF"/>
          </w:tcPr>
          <w:p>
            <w:pPr>
              <w:spacing w:after="0"/>
              <w:rPr>
                <w:sz w:val="3"/>
                <w:szCs w:val="3"/>
                <w:color w:val="auto"/>
              </w:rPr>
            </w:pPr>
          </w:p>
        </w:tc>
        <w:tc>
          <w:tcPr>
            <w:tcW w:w="280" w:type="dxa"/>
            <w:vAlign w:val="bottom"/>
            <w:gridSpan w:val="2"/>
            <w:shd w:val="clear" w:color="auto" w:fill="CCEEFF"/>
          </w:tcPr>
          <w:p>
            <w:pPr>
              <w:ind w:left="100"/>
              <w:spacing w:after="0" w:line="44" w:lineRule="exact"/>
              <w:rPr>
                <w:sz w:val="20"/>
                <w:szCs w:val="20"/>
                <w:color w:val="auto"/>
              </w:rPr>
            </w:pPr>
            <w:r>
              <w:rPr>
                <w:rFonts w:ascii="Times New Roman" w:cs="Times New Roman" w:eastAsia="Times New Roman" w:hAnsi="Times New Roman"/>
                <w:sz w:val="5"/>
                <w:szCs w:val="5"/>
                <w:color w:val="auto"/>
              </w:rPr>
              <w:t>​ ​​</w:t>
            </w:r>
          </w:p>
        </w:tc>
        <w:tc>
          <w:tcPr>
            <w:tcW w:w="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gridSpan w:val="2"/>
            <w:shd w:val="clear" w:color="auto" w:fill="CCEEFF"/>
          </w:tcPr>
          <w:p>
            <w:pPr>
              <w:spacing w:after="0" w:line="44" w:lineRule="exact"/>
              <w:rPr>
                <w:sz w:val="20"/>
                <w:szCs w:val="20"/>
                <w:color w:val="auto"/>
              </w:rPr>
            </w:pPr>
            <w:r>
              <w:rPr>
                <w:rFonts w:ascii="Times New Roman" w:cs="Times New Roman" w:eastAsia="Times New Roman" w:hAnsi="Times New Roman"/>
                <w:sz w:val="5"/>
                <w:szCs w:val="5"/>
                <w:color w:val="auto"/>
              </w:rPr>
              <w:t>​​ ​​</w:t>
            </w: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40" w:type="dxa"/>
            <w:vAlign w:val="bottom"/>
            <w:gridSpan w:val="3"/>
            <w:shd w:val="clear" w:color="auto" w:fill="CCEEFF"/>
          </w:tcPr>
          <w:p>
            <w:pPr>
              <w:jc w:val="right"/>
              <w:ind w:right="20"/>
              <w:spacing w:after="0" w:line="44" w:lineRule="exact"/>
              <w:rPr>
                <w:sz w:val="20"/>
                <w:szCs w:val="20"/>
                <w:color w:val="auto"/>
              </w:rPr>
            </w:pPr>
            <w:r>
              <w:rPr>
                <w:rFonts w:ascii="Times New Roman" w:cs="Times New Roman" w:eastAsia="Times New Roman" w:hAnsi="Times New Roman"/>
                <w:sz w:val="5"/>
                <w:szCs w:val="5"/>
                <w:color w:val="auto"/>
              </w:rPr>
              <w:t>​​ ​​</w:t>
            </w:r>
          </w:p>
        </w:tc>
        <w:tc>
          <w:tcPr>
            <w:tcW w:w="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gridSpan w:val="3"/>
            <w:shd w:val="clear" w:color="auto" w:fill="CCEEFF"/>
          </w:tcPr>
          <w:p>
            <w:pPr>
              <w:jc w:val="right"/>
              <w:ind w:right="40"/>
              <w:spacing w:after="0" w:line="44" w:lineRule="exact"/>
              <w:rPr>
                <w:sz w:val="20"/>
                <w:szCs w:val="20"/>
                <w:color w:val="auto"/>
              </w:rPr>
            </w:pPr>
            <w:r>
              <w:rPr>
                <w:rFonts w:ascii="Times New Roman" w:cs="Times New Roman" w:eastAsia="Times New Roman" w:hAnsi="Times New Roman"/>
                <w:sz w:val="5"/>
                <w:szCs w:val="5"/>
                <w:color w:val="auto"/>
              </w:rPr>
              <w:t>​​ ​​</w:t>
            </w:r>
          </w:p>
        </w:tc>
        <w:tc>
          <w:tcPr>
            <w:tcW w:w="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37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jc w:val="right"/>
              <w:ind w:right="86"/>
              <w:spacing w:after="0" w:line="165" w:lineRule="exact"/>
              <w:rPr>
                <w:sz w:val="20"/>
                <w:szCs w:val="20"/>
                <w:color w:val="auto"/>
              </w:rPr>
            </w:pPr>
            <w:r>
              <w:rPr>
                <w:rFonts w:ascii="Times New Roman" w:cs="Times New Roman" w:eastAsia="Times New Roman" w:hAnsi="Times New Roman"/>
                <w:sz w:val="15"/>
                <w:szCs w:val="15"/>
                <w:color w:val="auto"/>
              </w:rPr>
              <w:t>(57)</w:t>
            </w:r>
          </w:p>
        </w:tc>
        <w:tc>
          <w:tcPr>
            <w:tcW w:w="40" w:type="dxa"/>
            <w:vAlign w:val="bottom"/>
          </w:tcPr>
          <w:p>
            <w:pPr>
              <w:spacing w:after="0"/>
              <w:rPr>
                <w:sz w:val="14"/>
                <w:szCs w:val="14"/>
                <w:color w:val="auto"/>
              </w:rPr>
            </w:pPr>
          </w:p>
        </w:tc>
        <w:tc>
          <w:tcPr>
            <w:tcW w:w="80" w:type="dxa"/>
            <w:vAlign w:val="bottom"/>
          </w:tcPr>
          <w:p>
            <w:pPr>
              <w:ind w:left="40"/>
              <w:spacing w:after="0" w:line="165"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ind w:right="26"/>
              <w:spacing w:after="0" w:line="165" w:lineRule="exact"/>
              <w:rPr>
                <w:sz w:val="20"/>
                <w:szCs w:val="20"/>
                <w:color w:val="auto"/>
              </w:rPr>
            </w:pPr>
            <w:r>
              <w:rPr>
                <w:rFonts w:ascii="Times New Roman" w:cs="Times New Roman" w:eastAsia="Times New Roman" w:hAnsi="Times New Roman"/>
                <w:sz w:val="15"/>
                <w:szCs w:val="15"/>
                <w:color w:val="auto"/>
              </w:rPr>
              <w:t>(17)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right"/>
              <w:spacing w:after="0" w:line="165" w:lineRule="exact"/>
              <w:rPr>
                <w:sz w:val="20"/>
                <w:szCs w:val="20"/>
                <w:color w:val="auto"/>
              </w:rPr>
            </w:pPr>
            <w:r>
              <w:rPr>
                <w:rFonts w:ascii="Times New Roman" w:cs="Times New Roman" w:eastAsia="Times New Roman" w:hAnsi="Times New Roman"/>
                <w:sz w:val="15"/>
                <w:szCs w:val="15"/>
                <w:color w:val="auto"/>
              </w:rPr>
              <w:t>​ (2,198)</w:t>
            </w:r>
          </w:p>
        </w:tc>
        <w:tc>
          <w:tcPr>
            <w:tcW w:w="0" w:type="dxa"/>
            <w:vAlign w:val="bottom"/>
          </w:tcPr>
          <w:p>
            <w:pPr>
              <w:spacing w:after="0"/>
              <w:rPr>
                <w:sz w:val="1"/>
                <w:szCs w:val="1"/>
                <w:color w:val="auto"/>
              </w:rPr>
            </w:pPr>
          </w:p>
        </w:tc>
      </w:tr>
      <w:tr>
        <w:trPr>
          <w:trHeight w:val="44"/>
        </w:trPr>
        <w:tc>
          <w:tcPr>
            <w:tcW w:w="374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gridSpan w:val="2"/>
          </w:tcPr>
          <w:p>
            <w:pPr>
              <w:spacing w:after="0" w:line="44" w:lineRule="exact"/>
              <w:rPr>
                <w:sz w:val="20"/>
                <w:szCs w:val="20"/>
                <w:color w:val="auto"/>
              </w:rPr>
            </w:pPr>
            <w:r>
              <w:rPr>
                <w:rFonts w:ascii="Times New Roman" w:cs="Times New Roman" w:eastAsia="Times New Roman" w:hAnsi="Times New Roman"/>
                <w:sz w:val="5"/>
                <w:szCs w:val="5"/>
                <w:color w:val="auto"/>
              </w:rPr>
              <w:t>​​ ​​</w:t>
            </w: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gridSpan w:val="3"/>
          </w:tcPr>
          <w:p>
            <w:pPr>
              <w:jc w:val="right"/>
              <w:ind w:right="40"/>
              <w:spacing w:after="0" w:line="44" w:lineRule="exact"/>
              <w:rPr>
                <w:sz w:val="20"/>
                <w:szCs w:val="20"/>
                <w:color w:val="auto"/>
              </w:rPr>
            </w:pPr>
            <w:r>
              <w:rPr>
                <w:rFonts w:ascii="Times New Roman" w:cs="Times New Roman" w:eastAsia="Times New Roman" w:hAnsi="Times New Roman"/>
                <w:sz w:val="5"/>
                <w:szCs w:val="5"/>
                <w:color w:val="auto"/>
              </w:rPr>
              <w:t>​​ ​​</w:t>
            </w: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108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 ​177,125​​ ​​ ​</w:t>
            </w:r>
          </w:p>
        </w:tc>
        <w:tc>
          <w:tcPr>
            <w:tcW w:w="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66​​ ​​</w:t>
            </w:r>
          </w:p>
        </w:tc>
        <w:tc>
          <w:tcPr>
            <w:tcW w:w="7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 20,116​​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 59,391</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5"/>
        </w:trPr>
        <w:tc>
          <w:tcPr>
            <w:tcW w:w="37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Effect of exchange rate changes on cash and restricted cash</w:t>
            </w:r>
          </w:p>
        </w:tc>
        <w:tc>
          <w:tcPr>
            <w:tcW w:w="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68</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40"/>
              <w:spacing w:after="0" w:line="165"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161</w:t>
            </w:r>
          </w:p>
        </w:tc>
        <w:tc>
          <w:tcPr>
            <w:tcW w:w="2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78</w:t>
            </w:r>
          </w:p>
        </w:tc>
        <w:tc>
          <w:tcPr>
            <w:tcW w:w="2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55"/>
        </w:trPr>
        <w:tc>
          <w:tcPr>
            <w:tcW w:w="374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line="55"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37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74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5"/>
                <w:szCs w:val="15"/>
                <w:color w:val="auto"/>
              </w:rPr>
              <w:t>Net increase (decrease) in cash and restricted cash</w:t>
            </w:r>
          </w:p>
        </w:tc>
        <w:tc>
          <w:tcPr>
            <w:tcW w:w="800" w:type="dxa"/>
            <w:vAlign w:val="bottom"/>
            <w:gridSpan w:val="4"/>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$127,075</w:t>
            </w:r>
          </w:p>
        </w:tc>
        <w:tc>
          <w:tcPr>
            <w:tcW w:w="16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4"/>
            <w:shd w:val="clear" w:color="auto" w:fill="CCEEFF"/>
          </w:tcPr>
          <w:p>
            <w:pPr>
              <w:jc w:val="right"/>
              <w:ind w:right="12"/>
              <w:spacing w:after="0" w:line="167" w:lineRule="exact"/>
              <w:rPr>
                <w:sz w:val="20"/>
                <w:szCs w:val="20"/>
                <w:color w:val="auto"/>
              </w:rPr>
            </w:pPr>
            <w:r>
              <w:rPr>
                <w:rFonts w:ascii="Times New Roman" w:cs="Times New Roman" w:eastAsia="Times New Roman" w:hAnsi="Times New Roman"/>
                <w:sz w:val="15"/>
                <w:szCs w:val="15"/>
                <w:color w:val="auto"/>
                <w:w w:val="95"/>
              </w:rPr>
              <w:t>$(46,748)</w:t>
            </w:r>
          </w:p>
        </w:tc>
        <w:tc>
          <w:tcPr>
            <w:tcW w:w="720" w:type="dxa"/>
            <w:vAlign w:val="bottom"/>
            <w:gridSpan w:val="5"/>
            <w:shd w:val="clear" w:color="auto" w:fill="CCEEFF"/>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$(10,352)</w:t>
            </w:r>
          </w:p>
        </w:tc>
        <w:tc>
          <w:tcPr>
            <w:tcW w:w="16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86"/>
              </w:rPr>
              <w:t>(8,500)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4"/>
        </w:trPr>
        <w:tc>
          <w:tcPr>
            <w:tcW w:w="3740" w:type="dxa"/>
            <w:vAlign w:val="bottom"/>
            <w:shd w:val="clear" w:color="auto" w:fill="CCEEFF"/>
          </w:tcPr>
          <w:p>
            <w:pPr>
              <w:spacing w:after="0"/>
              <w:rPr>
                <w:sz w:val="5"/>
                <w:szCs w:val="5"/>
                <w:color w:val="auto"/>
              </w:rPr>
            </w:pP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2"/>
                <w:szCs w:val="2"/>
                <w:color w:val="auto"/>
              </w:rPr>
              <w:t>​ ​​</w:t>
            </w: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
                <w:szCs w:val="2"/>
                <w:color w:val="auto"/>
              </w:rPr>
              <w:t>​​ ​​</w:t>
            </w:r>
          </w:p>
        </w:tc>
        <w:tc>
          <w:tcPr>
            <w:tcW w:w="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
                <w:szCs w:val="2"/>
                <w:color w:val="auto"/>
              </w:rPr>
              <w:t>​​ ​​</w:t>
            </w: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2"/>
                <w:szCs w:val="2"/>
                <w:color w:val="auto"/>
              </w:rPr>
              <w:t>​​ ​​</w:t>
            </w:r>
          </w:p>
        </w:tc>
        <w:tc>
          <w:tcPr>
            <w:tcW w:w="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-173990</wp:posOffset>
            </wp:positionV>
            <wp:extent cx="11874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343916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39160" cy="698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-718185</wp:posOffset>
            </wp:positionV>
            <wp:extent cx="11176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-718185</wp:posOffset>
            </wp:positionV>
            <wp:extent cx="343217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spacing w:after="0" w:line="20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Net Cash Used in Operating Activities</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Net cash used in operating activities for the six months ended June 30, 2024 was $50.1 million, and was primarily due to our net loss of $65.8 million, and a $1.3 million decrease in prepaid expenses and other assets, partially offset by a $2.9 million increase in accounts payable, a $0.5 million increase in other current liabilities, a $10.2 million increase in accrued expenses, a $0.8 million increase in the fair value of our BMS Note liability and $2.5 million of stock-based compensation expense. The increase in accrued expenses and accounts payable was primarily attributable to an increase in research and development expenses, while the decrease in prepaid expenses and other assets was primarily due to the timing of vendor payments.</w:t>
      </w:r>
    </w:p>
    <w:p>
      <w:pPr>
        <w:spacing w:after="0" w:line="279"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Net cash used in operating activities for the six months ended June 30, 2023 was $47.0 million, and was primarily due to our net loss of $48.1 million, a $6.4 million decrease in accrued expenses, a $1.7 million decrease in prepaid expenses and other assets, and a $2.2 million decrease in accounts payable, partially offset by a $10.0 million acquisition of in-process research and development and $1.4 million of stock-based compensation expense. The decrease in accrued expenses and accounts payable was primarily attributable to a decrease in research and development expenses, while the decrease in prepaid expenses and other assets was primarily due to the timing of vendor payments.</w:t>
      </w: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6" w:name="page97"/>
    <w:bookmarkEnd w:id="9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Net cash used in operating activities for the year ended December 31, 2023 was $30.5 million, and was primarily due to our net loss of $37.1 million, a $3.6 million decrease in accrued expenses, a $3.3 million increase in prepaid expenses and other assets, and a $0.4 million decrease in accounts payable, partially offset by $10.0 million of non-cash acquired in-process research and development expense related to a milestone payment, a $0.3 million increase in the fair value of our BMS Note liability, and $3.5 million of stock-based compensation expense. The decrease in accrued expenses and accounts payable was primarily attributable to a decrease in research and development expenses, while the increase in prepaid expenses and other assets was primarily due to the timing of vendor payments.</w:t>
      </w:r>
    </w:p>
    <w:p>
      <w:pPr>
        <w:spacing w:after="0" w:line="10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Net cash used in operating activities for the year ended December 31, 2022 was $65.7 million, and was primarily due to our net loss of $119.3 million and a $4.5 million increase in prepaid expenses and other assets, partially offset by a $29.9 million increase in the fair value of the 2021 Notes, a $13.3 million increase in the fair value of our Xencor Warrant liability, a $12.1 million increase in accrued expenses, a $1.1 million increase in accounts payable, $1.0 million of non-cash acquired in-process research and development expense related to a milestone payment, and $0.7 million of stock-based compensation expense. The increase in accrued expenses and accounts payable was primarily attributable to an increase in research and development expenses, while the increase in prepaid expenses and other assets was primarily due to the timing of vendor payments.</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Net Cash Used in Investing Activities</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Net cash used in investing activities for the six months ended June 30, 2024 was $0.1 million and consisted of purchases of property and equipment. There was no cash used in or provided by investing activities for the six months ended June 30, 2023.</w:t>
      </w:r>
    </w:p>
    <w:p>
      <w:pPr>
        <w:spacing w:after="0" w:line="83"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Net cash used in investing activities for the year ended December 31, 2023 was less than $0.1 million and consisted of immaterial purchases of property and equipment.</w:t>
      </w:r>
    </w:p>
    <w:p>
      <w:pPr>
        <w:spacing w:after="0" w:line="8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Net cash used in investing activities for the year ended December 31, 2022 was $2.2 million, resulting from payments for product candidate license acquisitions and development milestones of $2.0 million and purchases of property and equipment of $0.2 million.</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Net Cash Provided by Financing Activities</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Net cash provided by financing activities for the six months ended June 30, 2024 was $177.1 million, resulting from $178.4 million in proceeds received from the issuance and sale of shares of our Series C Preferred Stock, net of issuance costs, and $0.2 million of proceeds received from the exercise of stock options, partially offset by a $1.4 million payment of offering costs.</w:t>
      </w:r>
    </w:p>
    <w:p>
      <w:pPr>
        <w:spacing w:after="0" w:line="89"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Net cash provided by financing activities for the six months ended June 30, 2023 was $0.1 million, resulting entirely from proceeds received from the exercise of stock options.</w:t>
      </w:r>
    </w:p>
    <w:p>
      <w:pPr>
        <w:spacing w:after="0" w:line="8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Net cash provided by financing activities for the year ended December 31, 2023 was $20.1 million, resulting from $20.0 million in proceeds received from the sale of the BMS Note and $0.1 million in proceeds received from the exercise of stock options.</w:t>
      </w:r>
    </w:p>
    <w:p>
      <w:pPr>
        <w:spacing w:after="0" w:line="9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Net cash provided by financing activities for the year ended December 31, 2022 was $59.4 million, resulting entirely from proceeds received from the issuance and sale of shares of our Series B Preferred Stock, net of issuance costs.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Future Funding Requirements</w:t>
      </w:r>
    </w:p>
    <w:p>
      <w:pPr>
        <w:spacing w:after="0" w:line="117"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As of June 30, 2024, we had $183.9 million in cash. Based on our current operating plan, we believe that our existing cash will be sufficient to fund our operations and capital expenditure requirements for at least twelve months from the date that our financial statements are issued. In addition, we estimate that the anticipated net proceeds from this offering, together with our existing cash as of the date of this prospectus, will be sufficient to fund our projected operations and capital expenditure requirements for at least the next</w:t>
      </w:r>
    </w:p>
    <w:p>
      <w:pPr>
        <w:spacing w:after="0" w:line="2" w:lineRule="exact"/>
        <w:rPr>
          <w:sz w:val="20"/>
          <w:szCs w:val="20"/>
          <w:color w:val="auto"/>
        </w:rPr>
      </w:pPr>
    </w:p>
    <w:p>
      <w:pPr>
        <w:ind w:left="1160" w:right="1179" w:firstLine="4"/>
        <w:spacing w:after="0" w:line="284" w:lineRule="auto"/>
        <w:tabs>
          <w:tab w:leader="none" w:pos="123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months. We have based this estimate on assumptions that may prove to be wrong, and we could expend our capital resources sooner than we expect.</w:t>
      </w: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7" w:name="page98"/>
    <w:bookmarkEnd w:id="9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expect to incur significant expenses and operating losses for the foreseeable future as we advance our product candidates through clinical development, seek regulatory approval, and pursue commercialization of any approved drug candidates. We expect that our research and development and general and administrative costs will increase in connection with our planned research and clinical activities. In addition, upon the completion of this offering, we expect to incur additional costs associated with operating as a public company, including significant audit, legal, regulatory and tax-related expenses, as well as director and officer insurance premiums, investor relations costs, and other expenses that we did not incur as a private company. Cash used to fund operating expenses is impacted by the timing of when we pay these expenses, as reflected in the change in our outstanding accounts payable, accrued expenses, and prepaid expenses. If we receive regulatory approval for any of our product candidates, we expect to incur significant commercialization expenses related to drug manufacturing, sales, marketing and distribution, depending on where we choose to commercialize. We may also require additional capital to pursue in-licenses or acquisitions of other product candidates. As a result, we expect to incur substantial operating losses and negative operating cash flows for the foreseeable future.</w:t>
      </w:r>
    </w:p>
    <w:p>
      <w:pPr>
        <w:spacing w:after="0" w:line="98"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Because of the numerous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including:</w:t>
      </w:r>
    </w:p>
    <w:p>
      <w:pPr>
        <w:spacing w:after="0" w:line="62" w:lineRule="exact"/>
        <w:rPr>
          <w:sz w:val="20"/>
          <w:szCs w:val="20"/>
          <w:color w:val="auto"/>
        </w:rPr>
      </w:pPr>
    </w:p>
    <w:p>
      <w:pPr>
        <w:jc w:val="both"/>
        <w:ind w:left="1600" w:right="1179" w:hanging="143"/>
        <w:spacing w:after="0" w:line="257"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timing, progress results and costs of our ongoing obexelimab clinical studies and other research and development activities associated with the development of our other and future product candidates;</w:t>
      </w:r>
    </w:p>
    <w:p>
      <w:pPr>
        <w:spacing w:after="0" w:line="5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timing and outcome of regulatory review of product candidates;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of future activities, including product sales, medical affairs, marketing, manufacturing and distribution, for any product candidates for which we receive marketing approval;</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of establishing and maintaining arrangements with third party manufacturers for the commercial supply of products that receive marketing approval, if any;</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and timing of manufacturing for obexelimab and other product candidates, including commercial manufacturing at sufficient scale, if any product candidate is approved, including as a result of inflation, any supply chain issues or component shortages;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revenue, if any, received from commercial sale of our products, should any product candidates receive marketing approval;</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cash requirements of any future acquisitions or discovery of product candidates;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and timing of attracting, hiring and retaining skilled personnel to support our operations and continued growth;</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implementing operational, financial and management systems;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of preparing, filing and prosecuting patent applications, maintaining and enforcing our intellectual property rights and defending intellectual property-related claims;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and maintain collaborations, strategic partnerships or marketing, distribution, licensing or other strategic arrangements with third parties on favorable terms, if at all;</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achieve sufficient market acceptance, coverage and adequate reimbursement from third-party payors and adequate market share and revenue for any approved products;</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receipt and amount of sales of, or milestone payments related to or royalties on, current or future product candidates, if any;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associated with operating as a public company following the completion of this offering, including legal, accounting or other expenses in operating our business.</w:t>
      </w:r>
    </w:p>
    <w:p>
      <w:pPr>
        <w:spacing w:after="0" w:line="8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 change in the outcome of any of these or other variables with respect to the development of obexelimab or any other product candidate could significantly change the costs and timing associated with our operating plans. Further, our operating plans may change in the future, and we may need additional funds to meet operational needs and capital requirements associated with such operating plans.</w:t>
      </w: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8" w:name="page99"/>
    <w:bookmarkEnd w:id="9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Until such time, if ever, as we can generate substantial product revenues, we expect to finance our cash needs through a combination of equity offerings, debt financings or other capital sources, which could include collaborations, strategic alliances, or licensing arrangements. We currently have no credit facility or committed sources of capital. Adequate additional funds may not be available to us on acceptable terms, or at all. To the extent that we raise additional capital through the sale of equity or convertible debt securities, the ownership interests of our existing stockholders may be diluted, and the terms of these securities may include liquidation or other preferences that could adversely affect the rights of such stockholders. Debt financing, if available, may involve agreements that include restrictive covenants that limit our ability to take specific actions, such as incurring additional debt, making capital expenditures or declaring dividends, which could adversely impact our ability to conduct our business.</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If we raise additional funds through collaborations, strategic alliances, or licensing arrangements with third parties, we may have to relinquish valuable rights to our technologies, future revenue streams, research program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Material Cash Requirements for Known Contractual and Other Obligations</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Leases</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lease office space in both Waltham, Massachusetts and in Shanghai, China. Both leases are classified as operating leases and will expire in June 2025 and September 2025, respectively. Future minimum commitments under these leases are $0.8 million as of June 30, 2024. Of the $0.8 million balance, $0.8 million is due in less than 12 months and an immaterial amount is due in greater than 12 months. These commitments are also recognized as operating lease liabilities on our balance sheet as of June 30, 2024. See Note 6 in both our unaudited condensed consolidated financial statements and our audited consolidated financial statements appearing elsewhere in this prospectus for more information on our lease obligations.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License and Option Agreements</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have also entered into license agreements under which we may be obligated to make milestone and royalty payments, which are contingent upon future events, such as achieving certain development, regulatory, and commercial milestones or generating product sales. As of June 30, 2024 and December 31, 2023, we were unable to estimate the timing or likelihood of achieving these milestones or generating future product sales. See Note 8 in our unaudited condensed consolidated financial statements and Note 9 in our audited consolidated financial statements appearing elsewhere in this prospectus for a description of our license agreements.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Purchase and Other Obligations</w:t>
      </w:r>
    </w:p>
    <w:p>
      <w:pPr>
        <w:spacing w:after="0" w:line="12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We enter into contracts in the normal course of business with CROs, CMOs, and other third-party vendors for clinical trials and testing and manufacturing services. These contracts do not contain minimum purchase commitments and are cancellable by us upon written notice. Payments due upon cancellation consist of payments for services provided or expenses incurred, including non-cancelable obligations of our service provided up to one year after the date of cancellation.</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Critical Accounting Policies and Significant Judgments and Estimates</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This management’s discussion and analysis is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reported periods.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On an ongoing basis,</w:t>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9" w:name="page100"/>
    <w:bookmarkEnd w:id="9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we evaluate our judgments and estimates in light of changes in circumstances, facts and experiences. Actual results may differ from these estimates under different assumptions or conditions. The effects of material revisions in estimates, if any, will be reflected in the consolidated financial statements prospectively from the date of change in estimates.</w:t>
      </w:r>
    </w:p>
    <w:p>
      <w:pPr>
        <w:spacing w:after="0" w:line="9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While our accounting policies are described in more detail in the notes to our consolidated financial statements appearing elsewhere in this prospectus, we believe the following accounting policies used in the preparation of our consolidated financial statements require the most significant judgments and estimates. See Note 2 in both our unaudited condensed consolidated financial statements and our audited consolidated financial statements appearing elsewhere in this prospectus for a description of our other significant accounting policies.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Revenue Recognition</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 xml:space="preserve">To date, our revenues have consisted solely of payments received related to the BMS Agreement. We apply the revenue recognition guidance in accordance with the Financial Accounting Standards Board (“FASB”), Accounting Standards Codification (“ASC”), Topic 606, </w:t>
      </w:r>
      <w:r>
        <w:rPr>
          <w:rFonts w:ascii="Times New Roman" w:cs="Times New Roman" w:eastAsia="Times New Roman" w:hAnsi="Times New Roman"/>
          <w:sz w:val="15"/>
          <w:szCs w:val="15"/>
          <w:i w:val="1"/>
          <w:iCs w:val="1"/>
          <w:color w:val="auto"/>
        </w:rPr>
        <w:t>Revenue Recognition</w:t>
      </w:r>
      <w:r>
        <w:rPr>
          <w:rFonts w:ascii="Times New Roman" w:cs="Times New Roman" w:eastAsia="Times New Roman" w:hAnsi="Times New Roman"/>
          <w:sz w:val="15"/>
          <w:szCs w:val="15"/>
          <w:color w:val="auto"/>
        </w:rPr>
        <w:t xml:space="preserve"> (“ASC 606”). Under ASC 606, we recognize revenue when our customers obtain control of promised goods or services, in an amount that reflects the consideration which we expect to receive in exchange for those goods or services.</w:t>
      </w:r>
    </w:p>
    <w:p>
      <w:pPr>
        <w:spacing w:after="0" w:line="26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 xml:space="preserve">There is judgement involved in determining whether a collaboration agreement is subject to ASC 606 or FASB ASC 808, </w:t>
      </w:r>
      <w:r>
        <w:rPr>
          <w:rFonts w:ascii="Times New Roman" w:cs="Times New Roman" w:eastAsia="Times New Roman" w:hAnsi="Times New Roman"/>
          <w:sz w:val="15"/>
          <w:szCs w:val="15"/>
          <w:i w:val="1"/>
          <w:iCs w:val="1"/>
          <w:color w:val="auto"/>
        </w:rPr>
        <w:t>Collaborative Arrangements</w:t>
      </w:r>
      <w:r>
        <w:rPr>
          <w:rFonts w:ascii="Times New Roman" w:cs="Times New Roman" w:eastAsia="Times New Roman" w:hAnsi="Times New Roman"/>
          <w:sz w:val="15"/>
          <w:szCs w:val="15"/>
          <w:color w:val="auto"/>
        </w:rPr>
        <w:t xml:space="preserve"> (“ASC 808”), in part or in full. An agreement, or portion thereof, are considered to be a collaborative arrangement when they satisfy the following criteria defined in ASC 808: (i) the parties to the contract must actively participate in the joint operating activity and (ii) the joint operating activity must expose the parties to the possibility of significant risks and rewards, based on whether or not the activity is successful. Payments received from or made to a partner as a result of a collaboration relationship with a partner, instead of a customer relationship, such as co-development activities, are recorded as a reduction or increase to research and development expense, respectively.</w:t>
      </w:r>
    </w:p>
    <w:p>
      <w:pPr>
        <w:spacing w:after="0" w:line="9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For an agreement, or portion thereof, that is not subject to ASC 808, but rather with that of a customer relationship, ASC 606 will be applied. Under ASC 606, there is judgement involved in identifying the promised goods or services in the collaboration agreement, determining whether these are distinct in the context of the contract, and determining if these represent a performance obligation to a customer. These determinations are highly subjective and can differ between arrangements based on specified contractual terms. The identified performance obligations will impact most significantly the timing of revenue recognition, and is a point-in-time assessment performed at the outset of a collaboration agreement.</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To determine the appropriate amount of revenue to be recognized for arrangements determined to be within the scope of ASC 606, we perform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We only apply the five-step model to contracts when it is probable that we will collect consideration we are entitled to in exchange for the goods or services we transfer to our customer. All variable consideration, including milestones and royalties, is constrained until the cumulative revenue related to the consideration is no longer probable of reversal. Due to the uncertainty of research and development based milestones that are not within our control, payment becomes probable upon achievement.</w:t>
      </w:r>
    </w:p>
    <w:p>
      <w:pPr>
        <w:spacing w:after="0" w:line="234"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consideration allocated to each performance obligation is recognized as revenue when control is transferred for the related goods or services.</w:t>
      </w:r>
    </w:p>
    <w:p>
      <w:pPr>
        <w:spacing w:after="0" w:line="7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receive payments from our customers based on billing schedules established in each contract. Upfront payments and fees are recorded as deferred revenue upon receipt or when due until we satisfy our obligations under these arrangements.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Research and Development Expenses</w:t>
      </w:r>
    </w:p>
    <w:p>
      <w:pPr>
        <w:spacing w:after="0" w:line="11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As part of the process of preparing our consolidated financial statements, we are required to estimate our accrued third-party research and development expenses as of each balance sheet date. This process involves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0" w:name="page101"/>
    <w:bookmarkEnd w:id="10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reviewing open contracts and purchase orders, communicating with our personnel and with vendors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0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02"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Research and development expenses also include reimbursements owed to and received from collaboration partners to satisfy cost sharing requirements. These reimbursement amounts reflect our estimates of research and development expense as discussed above. As such, a change in estimates or judgments by us can result in a change to a reimbursement amount. To date, there have been no material true ups from estimated to actual reimbursements owed.</w:t>
      </w:r>
    </w:p>
    <w:p>
      <w:pPr>
        <w:spacing w:after="0" w:line="90"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incurred.</w:t>
      </w:r>
    </w:p>
    <w:p>
      <w:pPr>
        <w:spacing w:after="0" w:line="3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Stock-Based Compensation</w:t>
      </w:r>
    </w:p>
    <w:p>
      <w:pPr>
        <w:spacing w:after="0" w:line="12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measure stock-based awards granted to employees, non-employee consultants and members of our board of directors based on the grant date fair value and recognize stock-based compensation expense on a straight-line basis over the requisite service period of the awards, which is generally the vesting period of the respective award. For non-employee awards, compensation expense is recognized as the services are provided, which is generally ratably over the vesting period. We account for forfeitures as they occur.</w:t>
      </w:r>
    </w:p>
    <w:p>
      <w:pPr>
        <w:spacing w:after="0" w:line="10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fair value of each restricted stock award (“RSA”) at its grant date is based on the estimated fair value of our common stock on that date as determined by our board of directors. 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our expected dividend yield. As there is currently no public market for our common stock, we determined the volatility for awards granted based on an analysis of reported data for a group of guideline companies. The expected volatility has been determined by comparison to the historical volatility measures of this group of guideline companies. We expect to estimate expected volatility based on the group of guideline companies until we have adequate historical data regarding the volatility of our own traded stock price. The expected term of our stock options granted to employees and non-employee directors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We have not paid, and do not anticipate paying, dividends on our common stock; therefore, the expected dividend yield is assumed to be zero.</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1" w:name="page102"/>
    <w:bookmarkEnd w:id="10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The fair value of each RSA at its grant date is based on the estimated fair value of our common stock on that date as determined by our board of directors. See Note 11 in our unaudited condensed consolidated financial statements and Note 12 in our audited consolidated financial statements included elsewhere in this prospectus for information concerning the assumptions we used in applying the Black-Scholes option-pricing model to determine the estimated fair value of our stock options.</w:t>
      </w:r>
    </w:p>
    <w:p>
      <w:pPr>
        <w:spacing w:after="0" w:line="94"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recorded stock-based compensation expense of $2.5 million and $ 1.4 million for the six months ended June 30, 2024 and 2023, respectively. As of June 30, 2024, there was $25.0 million of unrecognized stock-based compensation expense related to unvested stock options, to be recognized over a weighted-average period of 3.4 years. As of June 30, 2024, there was immaterial unrecognized stock-based compensation expense related to outstanding restricted stock awards, to be recognized over a weighted-average period of 0.1 years.</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Determination of Fair Value of Common Stock</w:t>
      </w:r>
    </w:p>
    <w:p>
      <w:pPr>
        <w:spacing w:after="0" w:line="11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As there has been no public market for our common stock to date, the historical estimated fair value of our common stock has been determined by our board of directors, with input from management, considering our most recently available independent third-party valuations of common stock.</w:t>
      </w:r>
    </w:p>
    <w:p>
      <w:pPr>
        <w:spacing w:after="0" w:line="8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 xml:space="preserve">In accordance with the guidance outlined in the American Institute of Certified Public Accountants’ Accounting and Valuation Guide, </w:t>
      </w:r>
      <w:r>
        <w:rPr>
          <w:rFonts w:ascii="Times New Roman" w:cs="Times New Roman" w:eastAsia="Times New Roman" w:hAnsi="Times New Roman"/>
          <w:sz w:val="15"/>
          <w:szCs w:val="15"/>
          <w:i w:val="1"/>
          <w:iCs w:val="1"/>
          <w:color w:val="auto"/>
        </w:rPr>
        <w:t>Valuation of Privately-Held-Company Equity Securities Issued as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Compensation</w:t>
      </w:r>
      <w:r>
        <w:rPr>
          <w:rFonts w:ascii="Times New Roman" w:cs="Times New Roman" w:eastAsia="Times New Roman" w:hAnsi="Times New Roman"/>
          <w:sz w:val="15"/>
          <w:szCs w:val="15"/>
          <w:color w:val="auto"/>
        </w:rPr>
        <w:t>, a third-party valuation firm prepared valuations of our common stock using a market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approach to estimate our enterprise value, and an option pricing method (“OPM”) to allocate value to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98"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assumptions underlying these valuations represent management’s best estimates, which involve inherent uncertainties and the application of management’s judgment. As a result, if factors or expected outcomes change and we use significantly different assumptions or estimates, our stock-based compensation expense could be materially different.</w:t>
      </w:r>
    </w:p>
    <w:p>
      <w:pPr>
        <w:spacing w:after="0" w:line="9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Given the absence of a public market for our common stock to date, our board of directors, with input from management, considered various objective and subjective factors to determine the fair value of our common stock. The factors included, but were not limited to:</w:t>
      </w:r>
    </w:p>
    <w:p>
      <w:pPr>
        <w:spacing w:after="0" w:line="74" w:lineRule="exact"/>
        <w:rPr>
          <w:sz w:val="20"/>
          <w:szCs w:val="20"/>
          <w:color w:val="auto"/>
        </w:rPr>
      </w:pPr>
    </w:p>
    <w:p>
      <w:pPr>
        <w:ind w:left="1600" w:hanging="143"/>
        <w:spacing w:after="0"/>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contemporaneous valuations performed by an independent third-party valuation firm;</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stage of development and business strategy and the material risks related to our business and industry;</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progress of our research and development efforts, including the status of preclinical and clinical studies for our product candidates;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achievement of enterprise milestones;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operating results and financial performance;</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prices of our preferred stock sold to or exchanged between outside investors in arm’s length transactions, if any, and the rights, preferences and privileges of our preferred stock as compared to those of our common stock, including the liquidation preferences of our preferred stock;</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lack of liquidity of our equity as a private company;</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valuation of publicly traded companies in the biopharmaceutical industry, as well as recently completed mergers and acquisitions of peer companies;</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external market conditions, trends, and developments affecting the biopharmaceutical industry;</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likelihood of achieving a liquidity event for the holders of our preferred shares and common stock, such as an IPO, or a sale of our company, given prevailing market conditions;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2" w:name="page103"/>
    <w:bookmarkEnd w:id="10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analysis of IPOs and the market performance of similar companies in the biopharmaceutical industry; and</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economy in general.</w:t>
      </w:r>
    </w:p>
    <w:p>
      <w:pPr>
        <w:spacing w:after="0" w:line="12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Once a public trading market for our common stock has been established in connection with the completion of this offering, the fair value of our common stock will be determined based on the quoted market price of our common stock.</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12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A description of recently issued accounting pronouncements that may potentially impact our financial position and results of operations is disclosed in Note 2 in both our unaudited condensed consolidated financial statements and audited consolidated financial statements appearing elsewhere in this prospectus.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Quantitative and Qualitative Disclosures About Market Risks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Interest Rate Risk</w:t>
      </w:r>
    </w:p>
    <w:p>
      <w:pPr>
        <w:spacing w:after="0" w:line="11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We are exposed to interest rate risk in the ordinary course of our business. As of June 30, 2024 and December 31, 2023, we had no cash equivalents or investments in marketable securities. As of June 30, 2024, we had no outstanding debt obligations. As of December 31, 2023, our outstanding debt obligation of $20.0 million for the BMS Note was at a fixed interest rate.</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Foreign Currency Exchange Risk</w:t>
      </w:r>
    </w:p>
    <w:p>
      <w:pPr>
        <w:spacing w:after="0" w:line="11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Our reporting currency is the U.S. dollar (“USD”). Our functional currency for Zenas BioPharma (HK) Limited, our wholly owned subsidiary in Hong Kong, is the USD, and our functional currency for Shanghai Zenas Biotechnology Co. Limited, our wholly -owned subsidiary in China, is the Chinese Yuan. The functional currency of our wholly-owned U.S. subsidiaries, Zenas BioPharma (USA) LLC and Zenas Biopharma Securities Corporation, is the USD. Adjustments that arise from exchange rate changes on transactions denominated in a currency other than the functional currency are included in other income (expense), net in the consolidated statements of operations and comprehensive loss as incurred. Realized foreign currency transaction gains (losses) were immaterial for the six months ended June 30, 2024 and for the year ended December 31, 2023.</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do not currently engage in currency hedging activities in order to reduce our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 We do not believe that a hypothetical 10% increase or decrease in exchange rates during any of the periods presented would have had a material impact on our financial statements included elsewhere in this prospectus.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Effects of Inflation</w:t>
      </w:r>
    </w:p>
    <w:p>
      <w:pPr>
        <w:spacing w:after="0" w:line="12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Inflation generally affects us by increasing our cost of labor and clinical trial costs. We believe that inflation has not had a material effect on our business, or on our consolidated financial statements included elsewhere in this prospectus.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Implications of Being an Emerging Growth Company and Smaller Reporting Company</w:t>
      </w:r>
    </w:p>
    <w:p>
      <w:pPr>
        <w:spacing w:after="0" w:line="11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qualify as an “emerging growth company” as defined in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 binding advisory votes on executive compensation and golden parachute payments and exemption from the auditor attestation requirement in the assessment of our internal control over financial reporting.</w:t>
      </w:r>
    </w:p>
    <w:p>
      <w:pPr>
        <w:spacing w:after="0" w:line="97"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We may take advantage of these exemptions until the last day of the fiscal year following the fifth anniversary of this offering or such earlier time that we are no longer an emerging growth company. We would</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3" w:name="page104"/>
    <w:bookmarkEnd w:id="10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cease to be an emerging growth company earlier if we have more than $1.235 billion in annual revenue, we have more than $700.0 million in market value of our stock held by non affiliates (and we have been a public company for at least twelve months and have filed one Annual Report on Form 10-K) or we issue more than $1.0 billion of non convertible debt securities over a three 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spacing w:after="0" w:line="10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have elected to take advantage of certain of the reduced disclosure obligations in the registration statement of which this prospectus is a part and may elect to take advantage of other reduced reporting requirements in future filings. In particular, in this prospectus, we have provided only two years of audited financial statements and have not included all of the executive compensation related information that would be required if we were not an emerging growth company. As a result, the information that we provide to our stockholders may be different than you might receive from other public reporting companies in which you hold equity interests.</w:t>
      </w:r>
    </w:p>
    <w:p>
      <w:pPr>
        <w:spacing w:after="0" w:line="10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Therefore, the reported results of operations contained in our financial statements may not be directly comparable to those of other public companies.</w:t>
      </w:r>
    </w:p>
    <w:p>
      <w:pPr>
        <w:spacing w:after="0" w:line="9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We may continue to be a smaller reporting company until the fiscal year following the determination that we no longer meet the requirements necessary to be considered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4" w:name="page105"/>
    <w:bookmarkEnd w:id="104"/>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BUSINESS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are a clinical-stage global biopharmaceutical company committed to being a leader in the development and commercialization of transformative immunology-based therapies for patients in need. With the evolving understanding of the pathogenesis of autoimmune diseases, along with the expansion of promising immunology-based pharmacologic targets, we are building an I&amp;I focused biopharmaceutical company. Our core business strategy combines disciplined product candidate acquisition with strategic deployment of internal expertise and effective use of external resources. We leverage our experienced executive management team and our established networks throughout the biopharmaceutical industry to identify, acquire and develop product candidates that we believe can provide superior clinical benefits to patients living with autoimmune diseases.</w:t>
      </w:r>
    </w:p>
    <w:p>
      <w:pPr>
        <w:spacing w:after="0" w:line="10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Our lead I&amp;I product candidate, obexelimab, is a bifunctional monoclonal antibody designed to bind both CD19 and FcγRIIb, which are broadly present across B cell lineage, in order to inhibit the activity of cells that are implicated in many autoimmune diseases without depleting them. Based on existing clinical data generated to date, we believe that targeting B cell lineage via CD19 and FcγRIIb can inhibit B cells and has been shown to be well-tolerated. While anti-CD20 or other anti-CD19 targeting agents may effectively deplete B cells in systemic circulation, these agents do not fully impact B cells in relevant tissue, and the intermittent dosing regimens of these agents may not provide optimal benefits for all patients. In addition, anti-CD20 and other anti-CD19 targeting agents may cause prolonged depletion of circulating B cells for six months or longer, placing patients at higher risk of opportunistic infections and potentially reducing their ability to respond to, and receive full benefit from, vaccines. We believe obexelimab’s mechanism of action and chronic dosing regimen may broadly and effectively address the pathogenic role of B cell lineage in chronic autoimmune disease. Across five clinical trials, in which 198 subjects were dosed, obexelimab was well-tolerated and demonstrated clinical activity that we believe provides POC for obexelimab as a B cell inhibitor for the treatment of patients living with certain autoimmune diseases and, together with its mechanism of action, positions obexelimab to be a potentially differentiated B cell therapy for the treatment of such patients.</w:t>
      </w:r>
    </w:p>
    <w:p>
      <w:pPr>
        <w:spacing w:after="0" w:line="270"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are developing obexelimab as a potential I&amp;I franchise for patients in several autoimmune diseases, representing substantial commercial opportunities, individually and in the aggregate. The first four indications we are pursuing include IgG4-RD through an ongoing registration-directed Phase 3 trial, MS and SLE through planned Phase 2, double-blind, randomized, placebo-controlled trials, each of which we plan to commence in the third quarter of 2024, and wAIHA through an ongoing Phase 2/3 trial, currently in the Phase 2 open label portion. We estimate that the commercial opportunity across these four indications is approximately $50 billion in the aggregate in the U.S. alone.</w:t>
      </w:r>
    </w:p>
    <w:p>
      <w:pPr>
        <w:spacing w:after="0" w:line="10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Beyond our lead product candidate, obexelimab, we are advancing a pipeline of clinical programs for the potential treatment of other I&amp;I indications that we may continue to develop and ultimately commercialize with partners. Our pipeline includes two global programs, ZB002 (an anti-TNFα monoclonal antibody) and ZB004 (a CTLA-4-Ig fusion), and two regional programs, ZB001 (also known as VRDN-001, an IGF-1R monoclonal antibody), and related programs, and ZB005 (also known as DNTH103, an anti-active C1s monoclonal antibody), for which we hold the development and commercialization rights in greater China. Based on the ongoing clinical studies and clinical data generated to date, we intend to determine future potential indications in which to pursue further clinical development of these programs and ultimately, if approved, commercialization with one or more partners.</w:t>
      </w:r>
    </w:p>
    <w:p>
      <w:pPr>
        <w:spacing w:after="0" w:line="10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To date, we have no product candidates approved for commercial sale in any country and have not generated any revenue from product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5" w:name="page106"/>
    <w:bookmarkEnd w:id="10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Obexelimab Overview</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are developing obexelimab for the treatment of several I&amp;I diseases summarized in the pipeline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84455</wp:posOffset>
            </wp:positionV>
            <wp:extent cx="4018280" cy="11931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18280" cy="1193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Our lead product candidate, obexelimab, was engineered to mimic the natural antigen-antibody complex for the inhibition of B cells. By targeting CD19, obexelimab is designed to inhibit a broader B cell population, including plasmablasts and the subpopulation of CD19 expressing plasma cells, each of which produces high amounts of auto-antibodies. Co-engagement of CD19 and FcγRIIb by obexelimab has been shown to inhibit B cell activity, including antibody production, proliferation, cytokine secretion, B cell differentiation, and antigen presentation to T cells. In addition, obexelimab is designed to inhibit rather than destroy or deplete B cell lineage. Other anti-CD19 and CD20 targeting antibodies rely on antibody-dependent cell-mediated cytotoxicity (“ADCC”), complement-dependent cytotoxicity (“CDC”) and/or apoptosis or programmed cell death as a key component of their mechanism of action. ADCC, CDC and apoptosis activity are generally lower in disease-relevant tissue than the peripheral blood. In addition, in clinical practice other CD19 and CD20 targeted antibodies are typically dosed once every six months which has demonstrated efficacy, but may not provide sustained benefit in all patients due to variability in B cell depletion and recovery. The obexelimab mechanism of action and chronic dosing regimen may more broadly and effectively address the pathogenic role of B cell lineage in chronic autoimmune disease and has the potential to show greater clinical benefits, especially over a longer course of maintenance treatment.</w:t>
      </w:r>
    </w:p>
    <w:p>
      <w:pPr>
        <w:spacing w:after="0" w:line="104"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inhibitory mechanism of obexelimab is believed to reduce the number of B cells in systemic circulation through margination of B cells to other tissues such as the lymph nodes and the spleen, rather than through depletion. The concept of margination is supported by preclinical and clinical data, where the substantial return of B cells in circulation of subjects receiving obexelimab was observed to occur as soon as six weeks after discontinuation of obexelimab administration, contrasted with the much longer period of B cell recovery observed with other CD19 and CD20 targeted depleting agents, which can take six months or longer following the last dose. The risks of prolonged B cell depletion include limitations on a patient’s ability to fight serious and opportunistic infections and on a patient’s ability to generate an adequate response to vaccines such as influenza, shingles, respiratory syncytial virus, and COVID-19. We believe the rapid return in B cell activity following the cessation or pause in obexelimab dosing could allow the patient’s immune system to more quickly return to baseline to protect against infections and allow a patient to receive vaccinations within as few as six weeks of his or her last dose, rather than potentially waiting six months or longer following treatment with an anti-CD19 or anti-CD20 targeted depleting therapy.</w:t>
      </w:r>
    </w:p>
    <w:p>
      <w:pPr>
        <w:spacing w:after="0" w:line="102"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Obexelimab has been evaluated in five completed clinical trials in which a total of 198 subjects have received obexelimab either as IV infusion at doses of up to 10 mg/kg (n=158) or as a SC injection at doses of up to 375 mg (n=40). Obexelimab was well-tolerated across these five trials and demonstrated PK, as well as clinical activity providing POC in multiple I&amp;I indications. Based on this clinical data, we believe obexelimab could have potential advantages over anti-CD19 and -CD20 targeted depleting agents.</w:t>
      </w:r>
    </w:p>
    <w:p>
      <w:pPr>
        <w:spacing w:after="0" w:line="97"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We believe obexelimab holds the potential to provide meaningful clinical benefit for patients in multiple I&amp;I indications. We are currently pursuing a registration-directed trial in patients with IgG4-RD, planning Phase 2, double-blind, randomized, placebo-controlled clinical trials of obexelimab in patients with MS and SLE, each of which we plan to commence in the third quarter of 2024, and are conducting a Phase 2/3 trial, currently in the Phase 2 open label portion, in patients with wAIHA.</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6" w:name="page107"/>
    <w:bookmarkEnd w:id="10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Other Pipeline Programs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Beyond our lead product candidate, obexelimab, we are advancing a pipeline of clinical programs for the potential treatment of other I&amp;I indications that we may continue to develop and ultimately commercialize with partners.</w:t>
      </w:r>
    </w:p>
    <w:p>
      <w:pPr>
        <w:spacing w:after="0" w:line="96"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1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Product Candidate</w:t>
            </w: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 ​</w:t>
            </w:r>
          </w:p>
        </w:tc>
        <w:tc>
          <w:tcPr>
            <w:tcW w:w="106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Territory</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3200" w:type="dxa"/>
            <w:vAlign w:val="bottom"/>
          </w:tcPr>
          <w:p>
            <w:pPr>
              <w:ind w:left="820"/>
              <w:spacing w:after="0"/>
              <w:rPr>
                <w:sz w:val="20"/>
                <w:szCs w:val="20"/>
                <w:color w:val="auto"/>
              </w:rPr>
            </w:pPr>
            <w:r>
              <w:rPr>
                <w:rFonts w:ascii="Times New Roman" w:cs="Times New Roman" w:eastAsia="Times New Roman" w:hAnsi="Times New Roman"/>
                <w:sz w:val="12"/>
                <w:szCs w:val="12"/>
                <w:b w:val="1"/>
                <w:bCs w:val="1"/>
                <w:color w:val="auto"/>
              </w:rPr>
              <w:t>Phase of Development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ZB002</w:t>
            </w:r>
          </w:p>
        </w:tc>
        <w:tc>
          <w:tcPr>
            <w:tcW w:w="1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 ​</w:t>
            </w:r>
          </w:p>
        </w:tc>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Global</w:t>
            </w:r>
          </w:p>
        </w:tc>
        <w:tc>
          <w:tcPr>
            <w:tcW w:w="1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 ​</w:t>
            </w:r>
          </w:p>
        </w:tc>
        <w:tc>
          <w:tcPr>
            <w:tcW w:w="36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Phase 1b MAD study in patients with RA ongoing</w:t>
            </w:r>
          </w:p>
        </w:tc>
        <w:tc>
          <w:tcPr>
            <w:tcW w:w="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0"/>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(anti-TNFα mAb)</w:t>
            </w: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 Global</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 Phase 1</w:t>
            </w:r>
          </w:p>
        </w:tc>
        <w:tc>
          <w:tcPr>
            <w:tcW w:w="320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ZB004</w:t>
            </w:r>
          </w:p>
        </w:tc>
        <w:tc>
          <w:tcPr>
            <w:tcW w:w="12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SAD study in healthy volunteers</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(CTLA-4-Ig fusion)</w:t>
            </w: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 Greater China</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 Phase 1</w:t>
            </w:r>
          </w:p>
        </w:tc>
        <w:tc>
          <w:tcPr>
            <w:tcW w:w="320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ZB001</w:t>
            </w:r>
          </w:p>
        </w:tc>
        <w:tc>
          <w:tcPr>
            <w:tcW w:w="12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MAD study in Chinese patients with active TED</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(IGF-1R mAb)</w:t>
            </w: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 Greater China</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 ​</w:t>
            </w:r>
          </w:p>
        </w:tc>
        <w:tc>
          <w:tcPr>
            <w:tcW w:w="320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ZB005</w:t>
            </w:r>
          </w:p>
        </w:tc>
        <w:tc>
          <w:tcPr>
            <w:tcW w:w="12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20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(anti-active C1s mAb)</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 xml:space="preserve">We are developing ZB002, an anti -TNFα therapy designed to have an extended half -life as compared to existing anti-TNFα therapies. ZB002 is a recombinant human monoclonal antibody directed at human TNFα. ZB002 has an identical amino acid sequence to Humira (adalimumab) in the TNFα-binding region of the fragment variable domain; however, the Fc domain of ZB002 contains modifications designed to extend its half-life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In December 2022, we initiated a Phase 1, double- blind, randomized, placebo-controlled, SAD study designed to evaluate the safety, tolerability, and PK profile of ZB002 in healthy volunteers. Our Phase 1 SAD study demonstrated a half-life of approximately 55 days for ZB002, which we believe may allow for dosing once every four to eight weeks. In the second quarter of 2024, we initiated a Phase 1b MAD study of ZB002 in patients with rheumatoid arthritis. If the results of our ongoing Phase 1b MAD study of ZB002 are favorable, we will seek to identify a partner to advance ZB002 in subsequent trials for potential use as a treatment for certain I&amp;I diseases that can benefit from TNFα inhibition.</w:t>
      </w:r>
    </w:p>
    <w:p>
      <w:pPr>
        <w:spacing w:after="0" w:line="101"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We also are developing ZB004, a CTLA-4-Ig fusion protein designed to have an extended half-life compared to approved CTLA-4- Ig fusion protein therapies, such as Orencia (abatacept) and Nulojix (belatacept). Similar to approved CTLA-4-Ig fusion protein therapies, the ZB004 mechanism of action is selective inhibition of T cell co-stimulation. The CTLA-4 motif binds to CD80 and CD86 on antigen-presenting cells, blocking the interaction of these receptors with CD28 on T lymphocytes, and thus inhibiting T cell co-stimulation. ZB004 contains two CTLA-4 extracellular domain substitutions designed to potentially produce greater CD80 and CD86 binding. In June 2023, we initiated a Phase 1, double-blind, randomized, placebo -controlled, SAD study designed to evaluate the safety, tolerability, PK and PD profile of ZB004 in healthy volunteers. Our Phase 1 single ascending dose (“SAD”) study demonstrated a half-life of approximately 17.4 days at the highest dose level of 200 mg, where CD86 receptor occupancy reached a maximum peak value of 81%, overcoming the effect of target mediated drug disposition. There were no dose limiting toxicities, AEs leading to discontinuation or SAEs. All AEs were mild or moderate in severity. Based on the ongoing analysis of data from the Phase 1 study, along with the known clinical efficacy of approved CTLA-4-Ig fusion protein therapies, we are seeking to advance the clinical development of ZB004 with a potential partner in indications where it could be uniquely positioned given its profile.</w:t>
      </w:r>
    </w:p>
    <w:p>
      <w:pPr>
        <w:spacing w:after="0" w:line="10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also have in-licensed the greater China rights to each of ZB001 (also known as VRDN-001), an IGF-1R monoclonal antibody, and related programs from Viridian, and ZB005 (also known as DNTH103), an anti-active C1s monoclonal antibody, from Dianthus. Following the initial clinical development for each of ZB001 and ZB005, we intend to seek to enter into an agreement with a third party who can complete the clinical development work, obtain regulatory approval, and ultimately, if approved, commercialize these programs in greater China.</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Management Team and Investors</w:t>
      </w:r>
    </w:p>
    <w:p>
      <w:pPr>
        <w:spacing w:after="0" w:line="12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Our executive management team is comprised of seasoned executives and scientists with extensive experience in the biopharmaceutical industry leading drug development and commercialization and executing successful business development strategies. Our company is led by Leon (Lonnie) O. Moulder, Jr., our Founder, Chief Executive Officer and Chairman, and the Managing Member of Tellus BioVentures, LLC, an early-stage</w:t>
      </w: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7" w:name="page108"/>
    <w:bookmarkEnd w:id="10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life sciences investment fund. Prior to founding Zenas, Mr. Moulder co-founded TESARO, an oncology-focused biopharmaceutical company, serving as Chief Executive Officer and Director until its acquisition by GlaxoSmithKline. He previously served as President and Chief Executive Officer of Abraxis BioScience and as Vice Chairman of Eisai Corporation of North America following Eisai’s acquisition of MGI PHARMA, where he served as President and Chief Executive Officer. Mr. Moulder is joined by our team of veteran biopharmaceutical executives, including Joseph Farmer, Jennifer Fox and Orlando Oliveira, who together with the leadership team, bring exceptional track records and experiences across the industry at companies such as TESARO, GlaxoSmithKline, Amgen, Nuvation, Mirati, Cubist and other biopharmaceutical companies. Our leadership team has collectively been responsible for numerous INDs and NDAs/BLAs and the associated commercial product launches of several successful pharmaceutical products.</w:t>
      </w:r>
    </w:p>
    <w:p>
      <w:pPr>
        <w:spacing w:after="0" w:line="253"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Since our inception, we have raised $358.3 million from investors including Enavate Sciences, SR One, Longitude Capital, Tellus BioVentures, Fairmount, New Enterprise Associates, Norwest Venture Partners and Bristol-Myers Squibb. Potential investors should not consider investments made by our existing investors as a factor when making a decision to purchase shares in this offering since our existing investors may have had different risk tolerances and paid less per share than the price at which the shares are being offered in this offering.</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Strategy</w:t>
      </w:r>
    </w:p>
    <w:p>
      <w:pPr>
        <w:spacing w:after="0" w:line="11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vision is to become a global leader in delivering transformative I&amp;I therapeutics to patients in need. We intend to leverage the experience and capabilities of our executive management team and our established networks throughout the biopharmaceutical industry to identify, acquire, develop and, if approved, commercialize product candidates that we believe can offer enhanced efficacy, safety and/or convenience over existing therapies and thereby provide superior benefits to patients. We intend to achieve our goals by implementing the following strategies:</w:t>
      </w:r>
    </w:p>
    <w:p>
      <w:pPr>
        <w:spacing w:after="0" w:line="62" w:lineRule="exact"/>
        <w:rPr>
          <w:sz w:val="20"/>
          <w:szCs w:val="20"/>
          <w:color w:val="auto"/>
        </w:rPr>
      </w:pPr>
    </w:p>
    <w:p>
      <w:pPr>
        <w:jc w:val="both"/>
        <w:ind w:left="1600" w:right="1179" w:hanging="143"/>
        <w:spacing w:after="0" w:line="247" w:lineRule="auto"/>
        <w:tabs>
          <w:tab w:leader="none" w:pos="160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Develop and commercialize our obexelimab franchise across multiple I&amp;I indications</w:t>
      </w:r>
      <w:r>
        <w:rPr>
          <w:rFonts w:ascii="Times New Roman" w:cs="Times New Roman" w:eastAsia="Times New Roman" w:hAnsi="Times New Roman"/>
          <w:sz w:val="15"/>
          <w:szCs w:val="15"/>
          <w:color w:val="auto"/>
        </w:rPr>
        <w:t>. Across five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clinical trials, in which 198 subjects were dosed, obexelimab was well-tolerated and demonstrated clinical activity that we believe provides POC for obexelimab as a B cell inhibitor for the treatment of patients living with certain autoimmune diseases. We are developing obexelimab as a potential I&amp;I franchise for patients in several autoimmune diseases, representing substantial commercial opportunities individually and in the aggregate. The first four indications we are pursuing include IgG4-RD through an ongoing registration-directed Phase 3 trial; MS and SLE through planned Phase 2, double-blind, randomized, placebo-controlled trials which we plan to commence in the third quarter of 2024; and wAIHA through an ongoing Phase 2/3 trial, currently in the Phase 2 open label portion.</w:t>
      </w:r>
    </w:p>
    <w:p>
      <w:pPr>
        <w:spacing w:after="0" w:line="248" w:lineRule="exact"/>
        <w:rPr>
          <w:rFonts w:ascii="Times New Roman" w:cs="Times New Roman" w:eastAsia="Times New Roman" w:hAnsi="Times New Roman"/>
          <w:sz w:val="15"/>
          <w:szCs w:val="15"/>
          <w:color w:val="auto"/>
        </w:rPr>
      </w:pPr>
    </w:p>
    <w:p>
      <w:pPr>
        <w:jc w:val="both"/>
        <w:ind w:left="1600" w:right="1179" w:hanging="143"/>
        <w:spacing w:after="0" w:line="248" w:lineRule="auto"/>
        <w:tabs>
          <w:tab w:leader="none" w:pos="160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Build our operational capabilities to develop and potentially commercialize our products in key regions. </w:t>
      </w:r>
      <w:r>
        <w:rPr>
          <w:rFonts w:ascii="Times New Roman" w:cs="Times New Roman" w:eastAsia="Times New Roman" w:hAnsi="Times New Roman"/>
          <w:sz w:val="15"/>
          <w:szCs w:val="15"/>
          <w:color w:val="auto"/>
        </w:rPr>
        <w:t>With plans to advance our obexelimab franchise in multiple I&amp;I indications, we intend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build the commercial capabilities necessary to achieve our goal of becoming a global development and commercial stage biopharma company. To do so, we plan to leverage the extensive experience of our executive team in launching products in major markets globally. Our intent since inception has been to maintain a global physical presence, and we currently have development and medical affairs capabilities in the United States, Europe and Asia. We intend to continue to expand these capabilities, particularly in the United States and Europe, as we continue to advance our programs into late-stage clinical development and potential commercialization.</w:t>
      </w:r>
    </w:p>
    <w:p>
      <w:pPr>
        <w:spacing w:after="0" w:line="65" w:lineRule="exact"/>
        <w:rPr>
          <w:rFonts w:ascii="Times New Roman" w:cs="Times New Roman" w:eastAsia="Times New Roman" w:hAnsi="Times New Roman"/>
          <w:sz w:val="15"/>
          <w:szCs w:val="15"/>
          <w:color w:val="auto"/>
        </w:rPr>
      </w:pPr>
    </w:p>
    <w:p>
      <w:pPr>
        <w:jc w:val="both"/>
        <w:ind w:left="1600" w:right="1179" w:hanging="143"/>
        <w:spacing w:after="0" w:line="247" w:lineRule="auto"/>
        <w:tabs>
          <w:tab w:leader="none" w:pos="160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Utilize our business development experience and expertise to continue to build a deep and balanced portfolio of products and product candidates. </w:t>
      </w:r>
      <w:r>
        <w:rPr>
          <w:rFonts w:ascii="Times New Roman" w:cs="Times New Roman" w:eastAsia="Times New Roman" w:hAnsi="Times New Roman"/>
          <w:sz w:val="15"/>
          <w:szCs w:val="15"/>
          <w:color w:val="auto"/>
        </w:rPr>
        <w:t>We acquired each of our product candidates through in-licensing from third parties. Our ability to identify, acquire and efficiently advance obexelimab into Phase 3 and Phase 2 clinical trials across multiple indications demonstrates our capabilities and initiative to acquire and advance product candidates that fit our strategic vision. We intend to continue to utilize our business development strategy and expertise to build a balanced portfolio of new product candidates from preclinical through commercial assets. We leverage the deep clinical and preclinical development, regulatory, manufacturing and commercialization expertise of our team to identify, evaluate and acquire product candidates that we believe can be clinically differentiated in terms of efficacy, safety and/or convenience.</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8" w:name="page109"/>
    <w:bookmarkEnd w:id="10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600" w:right="1179" w:hanging="143"/>
        <w:spacing w:after="0" w:line="248" w:lineRule="auto"/>
        <w:tabs>
          <w:tab w:leader="none" w:pos="160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Leverage success with initial indications to expand into broader I&amp;I opportunities. </w:t>
      </w:r>
      <w:r>
        <w:rPr>
          <w:rFonts w:ascii="Times New Roman" w:cs="Times New Roman" w:eastAsia="Times New Roman" w:hAnsi="Times New Roman"/>
          <w:sz w:val="15"/>
          <w:szCs w:val="15"/>
          <w:color w:val="auto"/>
        </w:rPr>
        <w:t>We believe that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biological pathways that are involved in many I&amp;I diseases are related and, therefore, therapies that effectively address these pathways may be applicable in multiple I&amp;I diseases. Our strategy for each product candidate is to initially pursue indications where the clinical translatability of the mechanism of action has been validated, where we believe we can independently and efficiently pursue clinical development and regulatory approval, and where we believe an attractive commercial opportunity exists. We also intend to pursue additional indications with larger patient populations where we believe our product candidates’ mechanisms may be relevant.</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48" w:lineRule="auto"/>
        <w:tabs>
          <w:tab w:leader="none" w:pos="160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Evaluate strategic collaborations as appropriate. </w:t>
      </w:r>
      <w:r>
        <w:rPr>
          <w:rFonts w:ascii="Times New Roman" w:cs="Times New Roman" w:eastAsia="Times New Roman" w:hAnsi="Times New Roman"/>
          <w:sz w:val="15"/>
          <w:szCs w:val="15"/>
          <w:color w:val="auto"/>
        </w:rPr>
        <w:t>We have in the past and may in the future seek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arrangements with other biopharmaceutical companies with strong and proven commercial capabilities for them to commercialize our potential therapies in such territories, if approved. For example, in August 2023, we entered into the BMS Agreement, pursuant to which we granted the exclusive rights to develop and, if approved, commercialize obexelimab in Japan and certain other Asian-Pacific countries. In addition, for certain product candidates, including ZB001, ZB002, ZB004 and ZB005, or indications that may require larger clinical development plans and commercial infrastructure, we may selectively seek to partner to help fund development and commercialization.</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Obexelimab (CD19 x FcγRIIb bifunctional monoclonal antibody) Program</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believe that our lead product candidate, obexelimab, has the potential to address key unmet needs in multiple I&amp;I indications due to its mechanism of action and chronic dosing regimen that may broadly and effectively address the pathogenic role of B cell lineage through reversible inhibition of B cell activity without causing B cell depletion.</w:t>
      </w:r>
    </w:p>
    <w:p>
      <w:pPr>
        <w:spacing w:after="0" w:line="100"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Obexelimab is a bifunctional, non-depleting, humanized monoclonal antibody designed to bind CD19 and FcγRIIb to inhibit B-lineage cell activity. The antibody variable region of obexelimab has been engineered to bind CD19, whereas the constant region has been engineered to enhance affinity for the inhibitory FcγRIIb receptor. FcγRIIb is the only Fc receptor on B cells and serves as an antibody-sensing down-regulator of humoral immunity that is naturally engaged by immune complexes. In addition, FcγRIIb regulates the activity of other B cell stimulators including interleukin-4, lipopolysaccharide and B cell activating factor (“BAFF”) that amplify BCR-driven proliferation and differentiation. By binding CD19 and FcγRIIb, obexelimab mimics the action of naturally occurring antigen-antibody complexes and inhibits B cell activity without depleting B cells in the lymph nodes or spleen.</w:t>
      </w:r>
    </w:p>
    <w:p>
      <w:pPr>
        <w:spacing w:after="0" w:line="9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mechanism of action of obexelimab shown below in Figure 1, involves co-engagement of CD19 and FcγRIIb, leading to inhibition of B cell activity, including antibody production, proliferation, cytokine secretion, B cell differentiation, and antigen presentation to T cells.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Figure 1: Mechanism of Action of Obexelimab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104775</wp:posOffset>
            </wp:positionV>
            <wp:extent cx="1499870" cy="17792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99870" cy="177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9" w:name="page110"/>
    <w:bookmarkEnd w:id="10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 xml:space="preserve">Through </w:t>
      </w:r>
      <w:r>
        <w:rPr>
          <w:rFonts w:ascii="Times New Roman" w:cs="Times New Roman" w:eastAsia="Times New Roman" w:hAnsi="Times New Roman"/>
          <w:sz w:val="15"/>
          <w:szCs w:val="15"/>
          <w:i w:val="1"/>
          <w:iCs w:val="1"/>
          <w:color w:val="auto"/>
        </w:rPr>
        <w:t>in vitro, in vivo</w:t>
      </w:r>
      <w:r>
        <w:rPr>
          <w:rFonts w:ascii="Times New Roman" w:cs="Times New Roman" w:eastAsia="Times New Roman" w:hAnsi="Times New Roman"/>
          <w:sz w:val="15"/>
          <w:szCs w:val="15"/>
          <w:color w:val="auto"/>
        </w:rPr>
        <w:t xml:space="preserve"> and classical animal models of autoimmune disease, obexelimab’s binding to CD19 and FcγRIIb has been shown to enable the inhibition of B cell activity without depleting B cells. Preclinical and clinical studies have demonstrated that obexelimab potently inhibited B cell activity along with a decrease of approximately 50% in circulating B cell levels observed within one to two days. We believe the decrease in circulating B cell levels results from margination of B cells in lymphatic tissues, such as the lymph nodes and spleen, rather than depletion or elimination of the B cells. In contrast, anti-CD20 and other anti-CD19 B cell-targeting agents deplete B cells through B cell destruction. In clinical studies, we have observed substantial recovery of B cell levels in circulation following cessation of therapy with obexelimab within six weeks, as opposed to six months or longer that has been observed with B cell depleting agents. This rapid return in B cell activity following the cessation or pause in obexelimab dosing could allow the patient’s immune system to more quickly return to baseline to protect against infections and could allow a patient to receive vaccination within as few as six weeks of his or her last dose, rather than potentially waiting six months or more following treatment with an anti-CD19 or anti-CD20 targeted depleting therapy.</w:t>
      </w:r>
    </w:p>
    <w:p>
      <w:pPr>
        <w:spacing w:after="0" w:line="2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Clinical Development</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Obexelimab has been evaluated in five completed clinical trials in which a total of 198 subjects have received obexelimab either as an IV infusion at doses of up to 10 mg/kg (n=158) or as a SC injection at doses up to 375 mg (n=40). Across these five trials obexelimab was well-tolerated and demonstrated clinical activity that we believe provides POC for obexelimab as a B cell inhibitor for the treatment of patients living with certain autoimmune diseases. Our current ongoing and planned future trials of obexelimab utilize a fixed 250 mg, dosed weekly as a self-administered SC injection.</w:t>
      </w:r>
    </w:p>
    <w:p>
      <w:pPr>
        <w:sectPr>
          <w:pgSz w:w="11900" w:h="16838" w:orient="portrait"/>
          <w:cols w:equalWidth="0" w:num="1">
            <w:col w:w="9019"/>
          </w:cols>
          <w:pgMar w:left="1440" w:top="98" w:right="1440" w:bottom="1440" w:gutter="0" w:footer="0" w:header="0"/>
        </w:sectPr>
      </w:pP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Summary of Completed Clinical Trials for Obexelimab</w:t>
      </w:r>
    </w:p>
    <w:p>
      <w:pPr>
        <w:spacing w:after="0" w:line="126" w:lineRule="exact"/>
        <w:rPr>
          <w:sz w:val="20"/>
          <w:szCs w:val="20"/>
          <w:color w:val="auto"/>
        </w:rPr>
      </w:pPr>
    </w:p>
    <w:tbl>
      <w:tblPr>
        <w:tblLayout w:type="fixed"/>
        <w:tblInd w:w="1160" w:type="dxa"/>
        <w:tblCellMar>
          <w:top w:w="0" w:type="dxa"/>
          <w:left w:w="0" w:type="dxa"/>
          <w:bottom w:w="0" w:type="dxa"/>
          <w:right w:w="0" w:type="dxa"/>
        </w:tblCellMar>
      </w:tblPr>
      <w:tr>
        <w:trPr>
          <w:trHeight w:val="158"/>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3"/>
              </w:rPr>
              <w:t>Study Description*</w:t>
            </w:r>
          </w:p>
        </w:tc>
        <w:tc>
          <w:tcPr>
            <w:tcW w:w="520" w:type="dxa"/>
            <w:vAlign w:val="bottom"/>
          </w:tcPr>
          <w:p>
            <w:pPr>
              <w:spacing w:after="0"/>
              <w:rPr>
                <w:sz w:val="13"/>
                <w:szCs w:val="13"/>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3"/>
                <w:szCs w:val="13"/>
                <w:color w:val="auto"/>
              </w:rPr>
            </w:pP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Phase</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3"/>
                <w:szCs w:val="13"/>
                <w:color w:val="auto"/>
              </w:rPr>
            </w:pP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N</w:t>
            </w:r>
          </w:p>
        </w:tc>
        <w:tc>
          <w:tcPr>
            <w:tcW w:w="1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c>
          <w:tcPr>
            <w:tcW w:w="35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2"/>
                <w:szCs w:val="12"/>
                <w:b w:val="1"/>
                <w:bCs w:val="1"/>
                <w:color w:val="auto"/>
              </w:rPr>
              <w:t>Key Results</w:t>
            </w:r>
          </w:p>
        </w:tc>
      </w:tr>
      <w:tr>
        <w:trPr>
          <w:trHeight w:val="207"/>
        </w:trPr>
        <w:tc>
          <w:tcPr>
            <w:tcW w:w="1740" w:type="dxa"/>
            <w:vAlign w:val="bottom"/>
            <w:gridSpan w:val="3"/>
          </w:tcPr>
          <w:p>
            <w:pPr>
              <w:spacing w:after="0" w:line="207" w:lineRule="exact"/>
              <w:rPr>
                <w:sz w:val="20"/>
                <w:szCs w:val="20"/>
                <w:color w:val="auto"/>
              </w:rPr>
            </w:pPr>
            <w:r>
              <w:rPr>
                <w:rFonts w:ascii="Times New Roman" w:cs="Times New Roman" w:eastAsia="Times New Roman" w:hAnsi="Times New Roman"/>
                <w:sz w:val="13"/>
                <w:szCs w:val="13"/>
                <w:color w:val="auto"/>
              </w:rPr>
              <w:t>Healthy Volunteers Study</w:t>
            </w:r>
            <w:r>
              <w:rPr>
                <w:rFonts w:ascii="Times New Roman" w:cs="Times New Roman" w:eastAsia="Times New Roman" w:hAnsi="Times New Roman"/>
                <w:sz w:val="24"/>
                <w:szCs w:val="24"/>
                <w:color w:val="auto"/>
                <w:vertAlign w:val="superscript"/>
              </w:rPr>
              <w:t>​ ​</w:t>
            </w: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Phase 1a</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48</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Demonstrated tolerability, PK and target engagement</w:t>
            </w:r>
          </w:p>
        </w:tc>
      </w:tr>
      <w:tr>
        <w:trPr>
          <w:trHeight w:val="198"/>
        </w:trPr>
        <w:tc>
          <w:tcPr>
            <w:tcW w:w="1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Rheumatoid Arthritis</w:t>
            </w:r>
          </w:p>
        </w:tc>
        <w:tc>
          <w:tcPr>
            <w:tcW w:w="1280" w:type="dxa"/>
            <w:vAlign w:val="bottom"/>
            <w:gridSpan w:val="4"/>
          </w:tcPr>
          <w:p>
            <w:pPr>
              <w:ind w:left="120"/>
              <w:spacing w:after="0"/>
              <w:rPr>
                <w:sz w:val="20"/>
                <w:szCs w:val="20"/>
                <w:color w:val="auto"/>
              </w:rPr>
            </w:pPr>
            <w:r>
              <w:rPr>
                <w:rFonts w:ascii="Times New Roman" w:cs="Times New Roman" w:eastAsia="Times New Roman" w:hAnsi="Times New Roman"/>
                <w:sz w:val="15"/>
                <w:szCs w:val="15"/>
                <w:color w:val="auto"/>
              </w:rPr>
              <w:t>​ ​ Phase 1b / 2a​ ​</w:t>
            </w: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56</w:t>
            </w:r>
          </w:p>
        </w:tc>
        <w:tc>
          <w:tcPr>
            <w:tcW w:w="374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 Demonstrated POC by showing clinical activity in</w:t>
            </w:r>
          </w:p>
        </w:tc>
      </w:tr>
      <w:tr>
        <w:trPr>
          <w:trHeight w:val="176"/>
        </w:trPr>
        <w:tc>
          <w:tcPr>
            <w:tcW w:w="1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(“RA”) Trial</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patients with RA</w:t>
            </w:r>
          </w:p>
        </w:tc>
      </w:tr>
      <w:tr>
        <w:trPr>
          <w:trHeight w:val="220"/>
        </w:trPr>
        <w:tc>
          <w:tcPr>
            <w:tcW w:w="1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IgG4-RD Trial</w:t>
            </w:r>
          </w:p>
        </w:tc>
        <w:tc>
          <w:tcPr>
            <w:tcW w:w="1100" w:type="dxa"/>
            <w:vAlign w:val="bottom"/>
            <w:gridSpan w:val="3"/>
          </w:tcPr>
          <w:p>
            <w:pPr>
              <w:ind w:left="120"/>
              <w:spacing w:after="0" w:line="220"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Phase 2</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w:t>
            </w:r>
          </w:p>
        </w:tc>
        <w:tc>
          <w:tcPr>
            <w:tcW w:w="3740" w:type="dxa"/>
            <w:vAlign w:val="bottom"/>
            <w:gridSpan w:val="4"/>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Demonstrated POC in patients with IgG4-RD</w:t>
            </w:r>
          </w:p>
        </w:tc>
      </w:tr>
      <w:tr>
        <w:trPr>
          <w:trHeight w:val="198"/>
        </w:trPr>
        <w:tc>
          <w:tcPr>
            <w:tcW w:w="1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SLE Trial</w:t>
            </w: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 ​ Phase 2</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394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104​ ​ Demonstrated POC in patients with SLE by showing</w:t>
            </w:r>
          </w:p>
        </w:tc>
      </w:tr>
      <w:tr>
        <w:trPr>
          <w:trHeight w:val="190"/>
        </w:trPr>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increased response rates**</w:t>
            </w:r>
          </w:p>
        </w:tc>
      </w:tr>
      <w:tr>
        <w:trPr>
          <w:trHeight w:val="205"/>
        </w:trPr>
        <w:tc>
          <w:tcPr>
            <w:tcW w:w="1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SC &amp; IV Formulation</w:t>
            </w: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 ​ Phase 1</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50</w:t>
            </w:r>
          </w:p>
        </w:tc>
        <w:tc>
          <w:tcPr>
            <w:tcW w:w="374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 Established bridging of IV to SC formulation</w:t>
            </w:r>
          </w:p>
        </w:tc>
      </w:tr>
      <w:tr>
        <w:trPr>
          <w:trHeight w:val="190"/>
        </w:trPr>
        <w:tc>
          <w:tcPr>
            <w:tcW w:w="1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Bioavailability Study</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111760</wp:posOffset>
            </wp:positionV>
            <wp:extent cx="44640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48" w:lineRule="exact"/>
        <w:rPr>
          <w:sz w:val="20"/>
          <w:szCs w:val="20"/>
          <w:color w:val="auto"/>
        </w:rPr>
      </w:pPr>
    </w:p>
    <w:p>
      <w:pPr>
        <w:ind w:left="1460" w:hanging="296"/>
        <w:spacing w:after="0"/>
        <w:tabs>
          <w:tab w:leader="none" w:pos="146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clinical studies were conducted by Xencor. The results of these studies are further described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670" w:lineRule="exact"/>
        <w:rPr>
          <w:sz w:val="20"/>
          <w:szCs w:val="20"/>
          <w:color w:val="auto"/>
        </w:rPr>
      </w:pPr>
    </w:p>
    <w:p>
      <w:pPr>
        <w:sectPr>
          <w:pgSz w:w="11900" w:h="16838" w:orient="portrait"/>
          <w:cols w:equalWidth="0" w:num="2">
            <w:col w:w="7840" w:space="0"/>
            <w:col w:w="1179"/>
          </w:cols>
          <w:pgMar w:left="1440" w:top="98" w:right="1440" w:bottom="1440" w:gutter="0" w:footer="0" w:header="0"/>
          <w:type w:val="continuous"/>
        </w:sectPr>
      </w:pPr>
    </w:p>
    <w:p>
      <w:pPr>
        <w:ind w:left="1460" w:hanging="296"/>
        <w:spacing w:after="0"/>
        <w:tabs>
          <w:tab w:leader="none" w:pos="146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Primary endpoint did not achieve statistical significance.</w:t>
      </w:r>
    </w:p>
    <w:p>
      <w:pPr>
        <w:spacing w:after="0" w:line="71" w:lineRule="exact"/>
        <w:rPr>
          <w:rFonts w:ascii="Times New Roman" w:cs="Times New Roman" w:eastAsia="Times New Roman" w:hAnsi="Times New Roman"/>
          <w:sz w:val="12"/>
          <w:szCs w:val="12"/>
          <w:color w:val="auto"/>
        </w:rPr>
      </w:pPr>
    </w:p>
    <w:p>
      <w:pPr>
        <w:jc w:val="both"/>
        <w:ind w:left="1600" w:right="1179" w:hanging="143"/>
        <w:spacing w:after="0" w:line="247" w:lineRule="auto"/>
        <w:tabs>
          <w:tab w:leader="none" w:pos="1600" w:val="left"/>
        </w:tabs>
        <w:numPr>
          <w:ilvl w:val="1"/>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Study in Healthy Adult Volunteers: </w:t>
      </w:r>
      <w:r>
        <w:rPr>
          <w:rFonts w:ascii="Times New Roman" w:cs="Times New Roman" w:eastAsia="Times New Roman" w:hAnsi="Times New Roman"/>
          <w:sz w:val="15"/>
          <w:szCs w:val="15"/>
          <w:color w:val="auto"/>
        </w:rPr>
        <w:t>XmAb5871-01 was a Phase 1, randomized, blinded, placebo-controlled, SAD IV study of the safety, tolerability and PK of obexelimab in 48 healthy adult volunteers, with 36 receiving study drug, conducted in the United Kingdom. The primary objective of the study was to evaluate the safety and tolerability profile of a single-dose IV administration of obexelimab. The secondary objective was to characterize the single-dose PK and immunogenicity of obexelimab. The study demonstrated that obexelimab was well tolerated at all doses, including the highest dose of 10 mg/kg. Gastrointestinal (“GI”)-related TEAE (including nausea, vomiting, abdominal pain, abdominal discomfort, epigastric discomfort and diarrhea) were the most frequently reported (14/36, 38.9%). There were no SAEs reported. The study was not powered for statistical significance.</w:t>
      </w:r>
    </w:p>
    <w:p>
      <w:pPr>
        <w:spacing w:after="0" w:line="70" w:lineRule="exact"/>
        <w:rPr>
          <w:rFonts w:ascii="Times New Roman" w:cs="Times New Roman" w:eastAsia="Times New Roman" w:hAnsi="Times New Roman"/>
          <w:sz w:val="15"/>
          <w:szCs w:val="15"/>
          <w:color w:val="auto"/>
        </w:rPr>
      </w:pPr>
    </w:p>
    <w:p>
      <w:pPr>
        <w:jc w:val="both"/>
        <w:ind w:left="1600" w:right="1179" w:hanging="143"/>
        <w:spacing w:after="0" w:line="248" w:lineRule="auto"/>
        <w:tabs>
          <w:tab w:leader="none" w:pos="1600" w:val="left"/>
        </w:tabs>
        <w:numPr>
          <w:ilvl w:val="1"/>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Trial in Rheumatoid Arthritis: </w:t>
      </w:r>
      <w:r>
        <w:rPr>
          <w:rFonts w:ascii="Times New Roman" w:cs="Times New Roman" w:eastAsia="Times New Roman" w:hAnsi="Times New Roman"/>
          <w:sz w:val="15"/>
          <w:szCs w:val="15"/>
          <w:color w:val="auto"/>
        </w:rPr>
        <w:t>XmAb5871-02 was a Phase 1b/2a, randomized, placebo-controlled,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double-blind, ascending multiple-IV dose trial of the safety, tolerability, PK, and PD of obexelimab in 56 patients with RA, with 40 receiving study drug. The trial was conducted at nine sites in four countries, including, Hungary, Poland, Czech Republic and Slovakia. The primary objective of the trial was to evaluate the safety and tolerability profile of multiple-dose, every 14-day, IV administration of obexelimab in patients with RA. The secondary objectives were to (i) characterize the PK and immunogenicity of multiple-dose, IV administered obexelimab in patients with RA and (ii) evaluate</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10" w:name="page111"/>
    <w:bookmarkEnd w:id="11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spacing w:after="0" w:line="237" w:lineRule="auto"/>
        <w:rPr>
          <w:sz w:val="20"/>
          <w:szCs w:val="20"/>
          <w:color w:val="auto"/>
        </w:rPr>
      </w:pPr>
      <w:r>
        <w:rPr>
          <w:rFonts w:ascii="Times New Roman" w:cs="Times New Roman" w:eastAsia="Times New Roman" w:hAnsi="Times New Roman"/>
          <w:sz w:val="15"/>
          <w:szCs w:val="15"/>
          <w:color w:val="auto"/>
        </w:rPr>
        <w:t>the effect of obexelimab on RA disease response. Complete CD19 receptor occupancy was seen at doses as low as 1 mg/kg from the first dose through the completion of dosing. The efficacy parameters evaluated in the trial showed an improvement trend in RA patients who received obexelimab when compared to patients who received placebo, although the trial was not powered to show significant changes. Patients who received obexelimab generally had improvement in ACR20, ACR50, ACR70, and DAS28-CRP Disease Activity when compared to patients who received placebo. In general, obexelimab was well tolerated, and the most common TEAEs were vomiting (7/40, 17.5%), headache (7/40, 17.5%), nausea (6/40, 15.0%), pyrexia (4/40, 10.0%), and arthralgia (4/40, 10.0%). Two subjects experienced infusion-related reactions (both at 10.0 mg/kg), one of which was considered an SAE. The other event, associated with the first infusion, was considered of moderate severity. In both cases, the infusion was terminated, and the patients recovered without sequelae. The trial was not powered for statistical significance.</w:t>
      </w:r>
    </w:p>
    <w:p>
      <w:pPr>
        <w:spacing w:after="0" w:line="63" w:lineRule="exact"/>
        <w:rPr>
          <w:sz w:val="20"/>
          <w:szCs w:val="20"/>
          <w:color w:val="auto"/>
        </w:rPr>
      </w:pPr>
    </w:p>
    <w:p>
      <w:pPr>
        <w:jc w:val="both"/>
        <w:ind w:left="1600" w:right="1179" w:hanging="143"/>
        <w:spacing w:after="0" w:line="246" w:lineRule="auto"/>
        <w:tabs>
          <w:tab w:leader="none" w:pos="16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Trial in IgG4-RD: </w:t>
      </w:r>
      <w:r>
        <w:rPr>
          <w:rFonts w:ascii="Times New Roman" w:cs="Times New Roman" w:eastAsia="Times New Roman" w:hAnsi="Times New Roman"/>
          <w:sz w:val="15"/>
          <w:szCs w:val="15"/>
          <w:color w:val="auto"/>
        </w:rPr>
        <w:t>XmAb5871-03 was a Phase 2, open-label, single-arm IV, trial in 20 patients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IgG4-RD, including 15 patients dosed with 5 mg/kg of obexelimab, conducted in Boston, Massachusetts. The primary objective of the trial was to evaluate the effect of every-other-week IV administration of obexelimab on the IgG4-RD RI. The secondary objectives were to (i) evaluate the safety and tolerability of every-other-week IV administration of obexelimab in subjects with active IgG4-RD and (ii) evaluate the PK and immunogenicity of every-other-week IV administration of obexelimab in subjects with active IgG4-RD. In the primary efficacy analysis, in patients receiving 5 mg/kg, the IgG4-related disease Responder Index (“RI”) score at Day 169 had decreased by two or more points versus baseline in 12 (80%) patients, eight (67%) of whom had a score of zero (complete remission). Fourteen (93%) patients achieved an improvement on the RI of two or more points during at least one trial assessment at a median of 15 days (range 14 to 90) from treatment initiation. We believe these data demonstrated POC for obexelimab in IgG4-RD. In general, obexelimab was observed to be well tolerated in patients with IgG4-RD. The most common TEAEs were abdominal pain and nausea (4/20, 20.0%), vomiting (3/20, 15.0%), and diarrhea, chills, headache, nasal congestion, and upper respiratory tract infection (2/20, 10.0%). There was one case of pneumonia accounting for two SAEs (initial and recurrence due to non-compliance with therapy) in one patient and a second patient experienced one SAE (chronic inflammation demyelinating polyradiculoneuropathy in the setting of small lymphocytic lymphoma (pre-existing)). None of the SAEs were considered to be related to obexelimab. The trial was not powered for statistical significance.</w:t>
      </w:r>
    </w:p>
    <w:p>
      <w:pPr>
        <w:spacing w:after="0" w:line="244" w:lineRule="exact"/>
        <w:rPr>
          <w:rFonts w:ascii="Times New Roman" w:cs="Times New Roman" w:eastAsia="Times New Roman" w:hAnsi="Times New Roman"/>
          <w:sz w:val="15"/>
          <w:szCs w:val="15"/>
          <w:color w:val="auto"/>
        </w:rPr>
      </w:pPr>
    </w:p>
    <w:p>
      <w:pPr>
        <w:jc w:val="both"/>
        <w:ind w:left="1600" w:right="1179" w:hanging="143"/>
        <w:spacing w:after="0" w:line="245" w:lineRule="auto"/>
        <w:tabs>
          <w:tab w:leader="none" w:pos="16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Trial in SLE: </w:t>
      </w:r>
      <w:r>
        <w:rPr>
          <w:rFonts w:ascii="Times New Roman" w:cs="Times New Roman" w:eastAsia="Times New Roman" w:hAnsi="Times New Roman"/>
          <w:sz w:val="15"/>
          <w:szCs w:val="15"/>
          <w:color w:val="auto"/>
        </w:rPr>
        <w:t>XmAb5871-04 was a Phase 2, double-blind, randomized, placebo-controlled, potential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POC trial in 104 patients with SLE administered IV, with 52 receiving study drug. The trial was conducted at 23 sites in the United States. The primary objective of the trial was to determine the ability of obexelimab to maintain SLE disease activity improvement achieved by a brief course of disease-suppressing intramuscular (“IM”) steroid therapy. The secondary objectives were to (i) evaluate time to loss of SLE disease activity improvement achieved by a brief course of disease-suppressing IM steroid therapy, (ii) evaluate the safety and tolerability of every-other-week IV administration of obexelimab in subjects with SLE and (iii) evaluate the PK and immunogenicity of every-other-week IV administration of obexelimab in subjects with SLE. Although the primary endpoint (the proportion of patients without loss of improvement in SLE disease activity) in the Efficacy Evaluable (“EE”) population was not achieved with statistical significance, the absolute treatment difference in the ITT population was 17.3% (40.4% obexelimab versus 23.1% placebo response, p = 0.06). The ITT analysis is relevant because all patients are considered in these analyses, whereas in the EE analysis there was a larger number of patients treated with placebo who discontinued treatment for reasons that removed them from the analysis. The difference in response rates between the obexelimab and placebo arms in this trial was similar to that observed in SLE registration-directed trials with other agents, although with different trial design and endpoints. Accordingly, we believe these data demonstrated POC for obexelimab in SLE. Obexelimab was generally well tolerated in patients with SLE. The most frequently occurring TEAEs were nausea (20/52, 39%), headache (12/52, 23%), vomiting (9/52, 17%), back pain and dizziness (8/52, 15%), flushing (7/52, 14%), and pain in extremity (6/52, 12%). There were eight SAEs in patients administered obexelimab, only one SAE (infusion-related reaction) of which was considered related to study drug. Adverse events led to the withdrawal of seven (13%) obexelimab-treated patients (most of which were infusion-related reactions) and two (4%) patients that were administered placebo.</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1" w:name="page112"/>
    <w:bookmarkEnd w:id="11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600" w:right="1179" w:hanging="143"/>
        <w:spacing w:after="0" w:line="246" w:lineRule="auto"/>
        <w:tabs>
          <w:tab w:leader="none" w:pos="16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PK and Relative Bioavailability Study of SC versus IV Formulation: </w:t>
      </w:r>
      <w:r>
        <w:rPr>
          <w:rFonts w:ascii="Times New Roman" w:cs="Times New Roman" w:eastAsia="Times New Roman" w:hAnsi="Times New Roman"/>
          <w:sz w:val="15"/>
          <w:szCs w:val="15"/>
          <w:color w:val="auto"/>
        </w:rPr>
        <w:t>XmAb5871-05 was a Phase 1 PK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relative bioavailability study of obexelimab administered either intravenously or subcutaneously in 50 healthy volunteers, conducted in Glendale, California, USA. The primary objectives of the study were to (i) characterize and compare the PK and bioavailability of obexelimab administered either IV or SC and (ii) evaluate the safety and tolerability of obexelimab administered SC. The secondary objectives of the study were to (i) determine the immunogenicity of obexelimab administered SC and (ii) characterize and compare the PK of healthy subjects with healthy Japanese subjects. In this study, five separate cohorts were treated with five separate obexelimab dosing regimens: 125 mg SC, 250 mg SC, 375 mg SC, or 250 mg IV every two weeks for six weeks, or 125 mg SC every week for three weeks. The absolute bioavailability of obexelimab across all cohorts after the SC administration was observed to be 58.1% and 53.6% after the first and third doses, respectively. All of the SC doses were observed to be well tolerated in all subjects. In the SC cohorts, the only TEAE occurring in more than two subjects was injection site bruising, which occurred in less than 2% of injections, was considered mild and resolved within 24 hours. The incidence of GI TEAE attributed to SC administration of obexelimab was less than 3%. There were no SAEs reported. Accordingly, we believe that the PK, relative bioavailability, and tolerability demonstrated in this study support the continued clinical development of the SC formulation of obexelimab.</w:t>
      </w:r>
    </w:p>
    <w:p>
      <w:pPr>
        <w:spacing w:after="0" w:line="106"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Obexelimab has demonstrated clinical activity across multiple I&amp;I indications. We are currently pursuing a registration-directed trial in patients with IgG4-RD, planning Phase 2, double-blind, randomized, placebo-controlled clinical trials of obexelimab in patients with MS and SLE, and are conducting a Phase 2/3 trial, currently in the Phase 2 open label portion, in patients with wAIHA. Despite the promising results from the Phase 1b/2a trial of obexelimab in RA, we do not intend to develop obexelimab further in RA due to the competitive landscape in that disease.</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Obexelimab for the Treatment of IgG4-RD</w:t>
      </w:r>
    </w:p>
    <w:p>
      <w:pPr>
        <w:spacing w:after="0" w:line="128"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We believe obexelimab’s differentiated mechanism of action as an inhibitor of B cell lineage supports its potential to play an important role in the treatment of IgG4-RD. The reported evidence for the role of B cells in the pathogenesis of IgG4-RD, the observed effects of B cell targeting agents in previous trials in IgG4-RD and the data from our Phase 2 IgG4-RD trial with obexelimab support the continued development of obexelimab in patients with IgG4-RD. We are enrolling patients in our INDIGO Trial, a global Phase 3 registration-directed, randomized, double-blind placebo-controlled trial of obexelimab delivered 250 mg subcutaneously weekly to evaluate the prevention of flares in patients with IgG4-RD. We expect to report topline data from our INDIGO Trial in 2025 and, subject to the data, submit a BLA in 2026.</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IgG4-RD Histology and Disease Background</w:t>
      </w:r>
    </w:p>
    <w:p>
      <w:pPr>
        <w:spacing w:after="0" w:line="115"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IgG4-RD is a chronic fibro-inflammatory condition that can affect virtually all organ systems, including the pancreas, biliary tract, salivary and lacrimal glands, lungs, and kidneys. Patients with IgG4-RD may present with a single organ involved but more frequently present with multiple organ involvement. As the disease progresses and patients experience new or worsening symptoms (i.e., flares), lesions develop in additional organs and the cellular inflammation characterizing early disease moves toward a more fibrotic stage, which can lead to major irreversible tissue damage and ultimately organ failure. The most common symptoms in patients with IgG4-RD and their relative frequency of presentation are highlighted below in Figure 2. IgG4-RD is a relatively recently described disease that incorporates groups of manifestations that were diagnosed as separate disease entities prior to 2003. We estimate that the currently diagnosed population of IgG4-RD patients in the United States is approximately 20,000, with comparable prevalence rates globally. We estimate IgG4-RD to be an approximately $3 billion commercial opportunity in the U.S. alone. The pathogenesis of IgG4-RD suggests that B cell-targeted therapies may provide therapeutic benefit. Several B cell subsets have recently been shown to be elevated in the peripheral blood of IgG4-RD patients. Moreover, plasmablasts have been shown to actively contribute to tissue fibrosis through multiple mechanisms, including production of pro-fibrotic molecules and stimulation of collagen production by fibroblasts.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2" w:name="page113"/>
    <w:bookmarkEnd w:id="11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Figure 2: IgG4-RD: A Chronic Fibro-inflammatory Disease Characterized by Flares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111760</wp:posOffset>
            </wp:positionV>
            <wp:extent cx="4025265" cy="25323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025265" cy="2532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Current Treatment and Unmet Need</w:t>
      </w:r>
    </w:p>
    <w:p>
      <w:pPr>
        <w:spacing w:after="0" w:line="126"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Despite the growing recognition of IgG4-RD and advances in the understanding of its pathophysiology, there are no approved therapies for the treatment of this disease and there remains high unmet medical need. There are few treatment options, which are often limited by co-morbidities common among patients with IgG4-RD, including diabetes, obesity and hypertension. The current standard of care is glucocorticoid treatment (“GCs”), however such treatment often results in various complications. Although GCs are initially effective in most patients, up to 60% of patients with IgG4-RD will relapse within 12 months of discontinuing GC treatment.</w:t>
      </w:r>
    </w:p>
    <w:p>
      <w:pPr>
        <w:spacing w:after="0" w:line="97"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color w:val="auto"/>
        </w:rPr>
        <w:t>IgG4-RD is a disease commonly marked by flares, which can lead to the accumulation of fibrosis, resulting in irreversible organ damage, often involving multiple organs, and past flares are often a strong indicator of future flares. Therefore, patients are in need of long-term maintenance treatment. However, maintenance therapy with GCs has not been shown to prevent recurrence of disease and can lead to significant toxicity and complications, including osteoporosis, hypertension, and diabetes, especially in elderly patients.</w:t>
      </w:r>
    </w:p>
    <w:p>
      <w:pPr>
        <w:spacing w:after="0" w:line="289"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In addition to GCs, the pathogenesis of IgG4-RD suggests that B cell-targeted therapies may provide therapeutic benefit. As a result, although not approved by any regulatory bodies to treat IgG4-RD, certain B cell depleting agents (e.g. rituximab) are occasionally used in such patients. However, B cell depleting agents are often associated with infections, including serious opportunistic infections, and can compromise a patient’s ability to mount a response to vaccinations. This was shown in a small pilot study of rituximab, a B cell-targeted therapy, in patients with IgG4-RD. We believe this is due to the fact that rituximab and other B cell depleting agents can cause prolonged depletion of B cells for six months or longer, which places patients at risk of opportunistic infections and potentially reduces response to vaccines.</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Summary of the Completed Phase 2 Trial of Obexelimab in IgG4-RD</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In August 2023, the results of the Phase 2, open-label, single-arm, trial of obexelimab for the treatment of patients with IgG4-RD were published in The Lancet Rheumatology. Twenty patients with active IgG4-RD, defined as an IgG4-RD RI score of three or more, were enrolled. Fifteen patients received obexelimab 5 mg/kg</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3" w:name="page114"/>
    <w:bookmarkEnd w:id="11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IV every two weeks for 24 weeks. The protocol was later amended to also provide for the enrollment of an additional five patients who would receive a fixed dose of obexelimab of 90 mg IV or 180 mg IV every two weeks for 24 weeks.</w:t>
      </w:r>
    </w:p>
    <w:p>
      <w:pPr>
        <w:spacing w:after="0" w:line="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pre-specified primary analysis of this study focused on the 15 patients enrolled at obexelimab</w:t>
      </w:r>
    </w:p>
    <w:p>
      <w:pPr>
        <w:spacing w:after="0" w:line="18" w:lineRule="exact"/>
        <w:rPr>
          <w:sz w:val="20"/>
          <w:szCs w:val="20"/>
          <w:color w:val="auto"/>
        </w:rPr>
      </w:pPr>
    </w:p>
    <w:p>
      <w:pPr>
        <w:jc w:val="both"/>
        <w:ind w:left="1160" w:right="1179" w:firstLine="4"/>
        <w:spacing w:after="0" w:line="244" w:lineRule="auto"/>
        <w:tabs>
          <w:tab w:leader="none" w:pos="1279"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mg/kg. At baseline, the median IgG4-RD RI score was 12 (IQR 7-13). In the primary efficacy analysis, as shown in Figure 3 below, the median decrease in the IgG4-RD RI score was 11.5 points (IQR 7.5-14.5). The IgG4-RD RI score at day 169 had decreased by two or more points from baseline in 12 (80%) patients, eight (67%) of whom had a score of zero (complete remission). These patients included four (80%) of five patients who had achieved remission on previous therapies. Fourteen (93%) patients achieved an improvement on the RI of two or more points during at least one trial assessment at a median of 15 days (range 14 to 90) from treatment initiation. One (7%) patient did not achieve an improvement on the RI score of two or more points, and further evaluation found that this patient who failed to achieve at least a two point improvement on the RI scale had atypical disease activity in only the larynx. Twelve (80%) patients achieved a combined (secondary) endpoint of a decrease on the RI of two or more points at day 169, with no steroid use after day 57, and no disease flares. All primary responders had sustained responses through the end of the trial. The one (7%) patient who did not meet clinical response criteria had a RI score of two at baseline and a score of one before withdrawing from the trial after the Day 71 dose due to lack of efficacy (an IgG4-RD RI score reduction of less than two). Two responders also did not complete the trial: one discontinued after experiencing a disease relapse and one discontinued after an infusion-related hypersensitivity reaction during the fifth infusion. Thirteen (87%) patients experienced adverse events with the most common adverse event of GI infusion-related, including nausea, abdominal pain, and diarrhea.</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Figure 3: Rapid and Sustained IgG4-RD RI Responses from Phase 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104775</wp:posOffset>
            </wp:positionV>
            <wp:extent cx="4178935" cy="20091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178935" cy="2009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Furthermore, as shown in Figure 4 below, circulating B cell counts decreased by approximately 60% throughout the treatment period. However, among seven patients with post-treatment follow-up data, four (57%) demonstrated recovery of circulating B cells to at least 75% of baseline within 42 days of the final obexelimab dose. Circulating plasmablasts also decreased quickly, by approximately 70 to 80%, and began returning following cessation of obexelimab. Obexelimab inhibited B cell receptor-linked signaling pathways but did not induce B cell depletion. Both reductions in circulating B cells without evidence of depletion during obexelimab treatment and their rapid rebound after treatment discontinuation suggest that obexelimab might lead to B cell sequestration (margination) in lymphoid organs or the bone marrow. After the first dose of obexelimab, CD19 receptor occupancy was nearly 100% for most patients and remained at or near complete occupancy until after the last dose of obexelimab at day 155. We believe these results are promising and support the continued development of obexelimab for the treatment of IgG4-RD and potentially other B cell-mediated immunology and inflammation conditions.</w:t>
      </w: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4" w:name="page115"/>
    <w:bookmarkEnd w:id="11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Figure 4: Rapid Recovery of Systemic B Cells Upon Discontinuation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118745</wp:posOffset>
            </wp:positionV>
            <wp:extent cx="3997325" cy="20161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997325" cy="201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Following enrollment of the first 15 patients treated at 5 mg/kg every other week, an additional five patients were enrolled in a separate cohort to explore a fixed dose regimen of obexelimab 90 mg IV every other week. All five patients achieved a decrease of two points or greater in the IgG4-RD RI at some time during the trial; however, three patients required an increased dose of obexelimab 180 mg IV every other week for disease flare, and two patients also received corticosteroids after Day 57. Peak serum concentration for patients who received 90 mg of obexelimab was approximately 25% and at 180 mg were approximately 50% of those patients who received 5 mg/kg.</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Safety Summary</w:t>
      </w:r>
    </w:p>
    <w:p>
      <w:pPr>
        <w:spacing w:after="0" w:line="126"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One patient experienced pneumonia accounting for two SAEs (initial and recurrence due to non-compliance with antibiotic therapy), and a second patient experienced one SAE (chronic inflammatory demyelinating polyradiculoneuropathy in the setting of small lymphocytic lymphoma (preexisting)). None of these events were considered by the investigator to be related to obexelimab. Certain patients also experienced mild to moderate IV infusion-related GI symptoms. The most common TEAEs were abdominal pain and nausea (4/20, 20.0%), vomiting (3/20, 15.0%), and diarrhea, chills, headache, nasal congestion and upper respiratory tract infection (2/20, 10.0%).</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INDIGO Trial—Our Ongoing Phase 3 Trial in IgG4-RD</w:t>
      </w:r>
    </w:p>
    <w:p>
      <w:pPr>
        <w:spacing w:after="0" w:line="115"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color w:val="auto"/>
        </w:rPr>
        <w:t>We are enrolling patients in our INDIGO Trial, a global Phase 3 registration-directed, double-blind, placebo-controlled trial to evaluate the safety and efficacy of SC obexelimab in patients with active IgG4-RD in a randomized controlled period followed by an optional open-label extension period. We expect to enroll up to approximately 200 patients and complete enrollment in the RCP in 2024. All patients from the RCP will be eligible for the OLE period. The trial will be conducted at approximately 100 sites in 20 countries. The RCP consists of a screening period (Day -28 to Day -1) and a 52-week treatment period, during which 250 mg of obexelimab or placebo will be administered as an SC injection every seven days. Following the 52-week RCP, eligible patients will have the opportunity to continue in an OLE period where all patients will receive obexelimab.</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5" w:name="page116"/>
    <w:bookmarkEnd w:id="11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i w:val="1"/>
          <w:iCs w:val="1"/>
          <w:color w:val="auto"/>
        </w:rPr>
        <w:t>Figure 5: INDIGO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104775</wp:posOffset>
            </wp:positionV>
            <wp:extent cx="4053205" cy="7258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053205" cy="72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To be considered eligible for the screening period, patients must have a clinical diagnosis of IgG4-RD, meet the 2019 ACR/EULAR classification criteria for IgG4-RD, as determined by an Adjudication Committee (“AC”), and have active IgG4-RD signs/symptoms (i.e., flare) that require, as assessed by the investigator, the initiation of GC therapy or an increase in background long -term GC therapy. All patients are required to receive three to six weeks of GC treatment at a dose of 20 to 60 mg/day prednisone equivalent prior to randomization. The required GC therapy can be either newly initiated or an increase in long- term GC therapy (i.e., patient was previously on a dose of ≤ 10 mg/day prednisone equivalent). The exact dose and taper schedule during the screening period and prior to randomization are at the discretion of the investigator. However, on the day of randomization, patients must have no disease activity and be at a dose of 20 mg/day prednisone equivalent. Patients will be randomized 1:1 to receive obexelimab or placebo. The primary efficacy assessment is time to first IgG4-RD flare, as determined by the investigator and the AC. If the investigator suspects an IgG4-RD flare, based on reappearance of previous signs/symptoms or appearance of new signs/​symptoms of IgG4-RD, organ-specific diagnostic assessments will be conducted, including a physical examination, imaging and/or testing of biochemical parameters specific to the involved organ(s), to correlate symptoms and to document disease activity. The investigator will then determine if an IgG4-RD flare has occurred and whether the initiation of rescue therapy is required. The AC will independently review these diagnostic assessments to determine if, in their judgement, the signs/symptoms represent a flare. Patients who meet the protocol-defined criteria for IgG4-RD flare, by both the investigator and the AC, will be counted as treatment failures for the primary endpoint of time to first flare and the key secondary endpoint of proportion of patients who remain free of IgG4-RD flare (i.e., complete remission). Rescue therapy outside of permitted GC therapy will result in discontinuation from obexelimab or placebo treatment, as the case may be. The trial was designed with approximately 90% power to detect a hazard ratio of 0.376 using a one-sided log-rank test at a significance level equal to 0.025.</w:t>
      </w:r>
    </w:p>
    <w:p>
      <w:pPr>
        <w:spacing w:after="0" w:line="10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Patients who have completed the RCP Week 52 visit and meet all OLE eligibility criteria will have the option to participate in the trial for up to an additional 60 weeks (52-week treatment period followed by an eight- week follow-up) in the OLE period. During the OLE, all patients will receive obexelimab once every seven days beginning on Day 1 of the OLE period, regardless of their treatment assignment during the RCP. The primary objectives for the OLE are to evaluate the safety and efficacy of obexelimab in patients with IgG4-RD.</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Obexelimab for the Treatment of MS</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believe obexelimab’s differentiated mechanism of action as an inhibitor of B cell lineage supports its potential for the treatment of MS. The role of B cells in the pathogenesis of MS has been demonstrated through the successful clinical development, approval and clinical use of anti-CD20 B cell targeting therapies of other companies, including OCREVUS (ocrelizumab) and KESIMPTA (ofatumumab), which selectively deplete peripheral CD20-expressing B cells. B cells are thought to play a central role in MS pathology and its concomitant neurodegeneration via multiple mechanisms. In addition to antibody secretion by plasmablasts and plasma cells, B cell functions implicated in MS pathogenesis include antigen presentation to T cells and production of pro-inflammation cytokines. We believe this activity observed from B cells may contribute to both MS relapses as well as the underlying disease progression. We plan to commence a Phase 2, multicenter, randomized, double-blind, placebo-controlled trial, to evaluate the efficacy and safety of obexelimab in patients with MS in the third quarter of 2024.</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MS Histology and Disease Background</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MS is the most common immune-mediated, chronic inflammatory demyelinating disease of the central nervous system (“CNS”), affecting over two million people worldwide including as many as 1,000,000 in the</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6" w:name="page117"/>
    <w:bookmarkEnd w:id="11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United States, according to the National MS Society and the MS Foundation. We estimate a diagnosed prevalence of approximately 650,000 patients in the United States with MS. We estimate the commercial opportunity in MS to be approximately $37 billion in the U.S. alone, where B-cell therapies currently represent 50 – 60% of the overall market share.</w:t>
      </w:r>
    </w:p>
    <w:p>
      <w:pPr>
        <w:spacing w:after="0" w:line="9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MS is characterized by numerous demyelinating lesions of the brain and spinal cord. The magnetic resonance imaging (“MRI”) hallmark of the disease are multiple areas of demyelination in the CNS. The clinical features of an MS attack depend on the areas of the brain or spinal cord involved, thus symptoms may include sensory and visual disturbances, motor, coordination impairment and spasticity, fatigue, pain, and cognitive deficits. Its peak onset is typically in adults between 20 – 40 years old. The most common course of MS is relapsing-remitting (“RRMS”), which affects as many as 85% of MS patients. Patients with RRMS experience episodes of neurological dysfunction followed by complete or incomplete recovery. Over time, the majority of RRMS patients develop disease progression, with or without relapses, referred to as secondary progressive MS (“SPMS”) . Patients with RRMS and SPMS with relapses are typically referred to as having RMS. Lastly, 10 to 15% of patients present with a gradually progressive disease course from onset known as primary progressive MS (“PPMS”).</w:t>
      </w:r>
    </w:p>
    <w:p>
      <w:pPr>
        <w:spacing w:after="0" w:line="9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Most patients initially diagnosed with RRMS experience two distinct clinical phases, the relapsing-remitting and progressive phases, each of which is reflected by a distinct pathological process. During the relapsing-remitting phase, inflammation drives disease activity while neurodegeneration, which is characterized by accumulating disability, is predominant in the progressive phase. However, underlying progression occurs in all forms of MS, and obexelimab’s unique mechanism of action has the potential to impact both the inflammation and neurodegeneration aspects of MS pathogenesis.</w:t>
      </w:r>
    </w:p>
    <w:p>
      <w:pPr>
        <w:spacing w:after="0" w:line="9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Currently, the cause of MS remains unknown; however, both B and T cells play an important role in the pathogenesis of the disease, including inflammation and demyelination process. In addition to producing autoantibodies and inflammatory cytokines, B cells have an important function as antigen-presenting cells (“APCs”) involved in T cell activation. The APC function of B cells is thought to be an important reason for the beneficial effects of B cell therapies in MS. Chronic CNS inflammation in the MS lesion is maintained, in part, with activated pro-inflammatory macrophages, microglia and astrocytes at the rim of chronic active or slowly expanding MS lesions, which are the site of ongoing demyelination and neuronal damage. The continued expansion of chronic active lesions is believed to play a role in the pathogenesis of disease progression in MS.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Figure 6: Role of B and T Cells in Multiple Sclerosis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97790</wp:posOffset>
            </wp:positionV>
            <wp:extent cx="4164965" cy="21139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164965" cy="2113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potential efficacy of obexelimab in the treatment of MS has been demonstrated preclinically in a prophylactic disease animal model. An obexelimab surrogate antibody (XENP8206) was evaluated versus a</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7" w:name="page118"/>
    <w:bookmarkEnd w:id="11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color w:val="auto"/>
        </w:rPr>
        <w:t>rituximab surrogate antibody and vehicle control in a preclinical experimental autoimmune encephalomyelitis (“EAE”) model. As shown in Figure 7 below, XENP8206 prevented disease incidence to a greater extent than the rituximab surrogate antibody and the activity of XENP8206 was not associated with B cell depletion.</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i w:val="1"/>
          <w:iCs w:val="1"/>
          <w:color w:val="auto"/>
        </w:rPr>
        <w:t>Figure 7: Suppression of Disease Activity in EAE Model Without B Cell Depletion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104775</wp:posOffset>
            </wp:positionV>
            <wp:extent cx="4241800" cy="13881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241800" cy="138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Current Treatment, Limitations and Remaining Unmet Need</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Despite various treatments available for MS patients, unmet clinical needs remain, including a lack of an effect on progression independent of relapse activity (also known as “silent progression”), which has been observed even in patients with early RMS on highly effective therapies. Gadolinium enhancement is a sensitive technique for detecting active MS lesions and confirms the inflammatory activity of the disease. Monitoring the change in these MRI contrast enhancing lesions is routine and decreased MRI activity represents the earliest treatment effects in clinical trials. In many MS Phase 3 clinical trials, including those of B cell therapies, reductions in inflammatory lesions, initially demonstrated in Phase 2 POC trials utilizing MRI endpoints, were often accompanied by clinical improvements. The paramagnetic rim lesion may serve as another important emerging MRI marker of chronic neuroinflammation, with any modification observed in a clinical trial potentially indicating a change in disease progression. In the third quarter of 2024, we intend to commence a Phase 2 potential POC trial of obexelimab in RMS patients, utilizing various MRI detection techniques and biomarkers to assess its impact in both the acute and chronic aspects of the disease.</w:t>
      </w:r>
    </w:p>
    <w:p>
      <w:pPr>
        <w:spacing w:after="0" w:line="23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To date, there are a number of therapies that have been approved for the treatment of MS, including injectable, oral and infused medications. Although MS is historically considered a T cell disease, blockade of B cell autoreactivity inhibits neuroinflammation through several pathways, including (i) preventing B cells from acting as antigen-presenting cells that activate autoreactive T cells, (ii) preventing B cells from releasing proinflammatory cytokines, (iii) preventing B cells from transforming into plasma cells that may produce myelin-directed autoantibodies, and (iv) preventing B cells from forming meningeal lymphoid follicles. Despite effective treatment for relapses, there remains a considerable proportion of patients who experience ongoing disease activity and/or accumulating progression of disability. Within 20 years of diagnosis, 30 – 60% of patients with RRMS convert to SPMS with relapse-independent disability progression resulting in severe limitations on quality of life. Despite currently approved therapies, there is an enduring need for additional safe and effective treatments that address the underlying progression seen in MS to potentially alter the course of disability.</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Our Planned Phase 2 Trial in RMS</w:t>
      </w:r>
    </w:p>
    <w:p>
      <w:pPr>
        <w:spacing w:after="0" w:line="11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Given the clinical activity observed with B cell depleting agents, we intend to commence the MoonStone Trial, a Phase 2 potential POC trial of obexelimab in RMS patients in the third quarter of 2024. The proposed Phase 2 trial in RMS will be a randomized, placebo- controlled trial in patients with relapsing active forms of MS in order to assess the safety and efficacy of a 250 mg weekly SC dose of obexelimab, utilizing various MRI detection techniques and biomarkers to assess its impact in both the active and chronic aspects of the disease. The primary objective of this trial will be to assess the change from baseline in the cumulative number of new Gd-enhancing lesions identified on T1-weighted MRI over the course of three months. Upon completion of the three-month period, patients on placebo will receive obexelimab treatment for at least three months and</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8" w:name="page119"/>
    <w:bookmarkEnd w:id="11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3" w:lineRule="auto"/>
        <w:rPr>
          <w:sz w:val="20"/>
          <w:szCs w:val="20"/>
          <w:color w:val="auto"/>
        </w:rPr>
      </w:pPr>
      <w:r>
        <w:rPr>
          <w:rFonts w:ascii="Times New Roman" w:cs="Times New Roman" w:eastAsia="Times New Roman" w:hAnsi="Times New Roman"/>
          <w:sz w:val="15"/>
          <w:szCs w:val="15"/>
          <w:color w:val="auto"/>
        </w:rPr>
        <w:t>patients initially randomized to obexelimab will continue on treatment. Important secondary endpoints will include changes in various other MRI assessments (i.e., changes in T2-weighted lesions, changes in the number of new phase RIM lesions, number of T1 lesion conversions to phase RIM lesions, etc.). We expect to report initial data from the MoonStone Trial in 2025.</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Obexelimab for the Treatment of SLE</w:t>
      </w:r>
    </w:p>
    <w:p>
      <w:pPr>
        <w:spacing w:after="0" w:line="12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crucial role of B cells in SLE pathogenesis is well recognized, from producing autoantibodies to abnormal regulation of immune responses. Moreover, SLE is an autoimmune disease characterized by B cell dysfunction, the production of autoantibodies toward cellular and nuclear components, and multiorgan damage caused by immune complex deposition and inflammation within affected tissues. Obexelimab has demonstrated clinical activity as a B cell-directed agent due to its inhibitory effect on B cell lineage via its binding to CD19 and FcγRIIb, and a prior Phase 2 double-blind, randomized trial we believe demonstrated POC in SLE. We plan to advance obexelimab in a Phase 2, multicenter, randomized, double-blind, placebo-controlled trial, to evaluate the efficacy and safety of obexelimab to reduce disease activity in patients with SLE, which we intend to commence in the third quarter of 2024.</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SLE Histology and Disease Background</w:t>
      </w:r>
    </w:p>
    <w:p>
      <w:pPr>
        <w:spacing w:after="0" w:line="115"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color w:val="auto"/>
        </w:rPr>
        <w:t>SLE, the most common form of lupus, is a complex, chronic autoimmune disease characterized most notably by unpredictable flares in joints, skin, kidneys and other vital organs that cause progressive organ damage. The prognosis of SLE varies from patient to patient, with alternating periods of active symptoms and remission throughout their lifetime. SLE ranges from a relatively benign disease to rapidly progressive and even fatal. Comorbidities, such as infections, malignancies, hypertension, lipid disorders and diabetes, increase the risk of disability and death in patients. SLE commonly affects the central nervous system, kidneys, gastrointestinal system, mucous membranes, heart, skin, hematologic system, musculoskeletal system and lungs.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9" w:name="page120"/>
    <w:bookmarkEnd w:id="11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Figure 8: SLE Disease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976630</wp:posOffset>
            </wp:positionH>
            <wp:positionV relativeFrom="paragraph">
              <wp:posOffset>104775</wp:posOffset>
            </wp:positionV>
            <wp:extent cx="3767455" cy="35369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767455" cy="3536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Increased B cell activity and survival mediated through BCR abnormalities is a classic feature of SLE. BCR signals are impacted by several regulatory surface proteins, including CD19 and FcγRIIb. Activation of FcγRIIb is known to effectively dampen BCR signaling and decrease B cell responses to activating signals, which may play a pivotal role in suppressing a patient’s own immune system from attacking cells. In addition, data in both murine lupus models and human lupus studies provide a rationale for targeting CD19 and FcγRIIb as a treatment for SLE.</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Current Treatment, Limitations and Remaining Unmet Need</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According to the Lupus Foundation of America, at least 1.5 million Americans are afflicted by lupus and more than 16,000 new cases are reported annually. It is estimated that five million people throughout the world suffer from some form of lupus, of which 70% suffer from the most common form, SLE. Lupus affects primarily women of childbearing age (15 to 44 years). However, men, children and teenagers can also develop lupus. We estimate a diagnosed prevalence of approximately 245,000 patients in the United States having lupus, with approximately 172,000 having SLE. We estimate SLE to be an approximately $8 billion commercial opportunity in the U.S. alone.</w:t>
      </w:r>
    </w:p>
    <w:p>
      <w:pPr>
        <w:spacing w:after="0" w:line="99"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The current treatment strategy for SLE is based on treating the affected organ(s) and focuses on achieving a defined state of remission or low disease activity. Targeting B and plasma cells may have positive results in the overall treatment of SLE because of the role autoantibodies play in the pathogenesis of the disease.</w:t>
      </w:r>
    </w:p>
    <w:p>
      <w:pPr>
        <w:spacing w:after="0" w:line="26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Current treatments include non-steroidal anti-inflammatory drugs (NSAIDs), glucocorticoids, hydroxychloroquine, Benlysta (belimumab) (FDA approved for SLE in 2011), and Saphnelo (anifrolumab)</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0" w:name="page121"/>
    <w:bookmarkEnd w:id="12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(FDA approved for SLE in 2021). These limited options are modestly effective with improvement over placebo in clinical trials of nine to seventeen percentage points. We believe there is an opportunity to identify a clinically-validated biomarker to guide the selection or optimal administration of treatments.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Summary of Obexelimab—Phase 2 Trial in Patients with SLE</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Study XmAb5871-04 was a Phase 2, double-blind, randomized, placebo-controlled trial to evaluate the ability of obexelimab to maintain SLE disease activity improvement in patients after brief treatment of active disease with corticosteroids. Patients were randomized 1:1 to receive intravenous obexelimab (5 mg/kg) or matching placebo every two weeks for 16 doses or until loss of improvement (“LOI”). LOI was defined by either a 4-point increase in the hybrid Systemic Lupus Erythematosus Disease Activity Index (“hSLEDAI”) score or at least one British Isles Lupus Assessment Group (“BILAG”) A or B score rated “new” or “worse”. One hundred and four patients were randomized, with 52 assigned to obexelimab treatment and 52 to placebo. Patients completing the trial included 28 (53.8%) receiving obexelimab and 17 (32.7%) receiving placebo. Median months of treatment was 6.9 (range 0 – 7.4) with obexelimab and 3.6 (range 0 – 7) with placebo.</w:t>
      </w:r>
    </w:p>
    <w:p>
      <w:pPr>
        <w:spacing w:after="0" w:line="28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primary endpoint was assessed as the proportion of patients reaching week 32 without LOI, using an EE population, defined as patients who completed the trial or withdrew for flare or treatment-related toxicity. Twenty-one out of 50 (42.0%) obexelimab-treated patients versus 12 out of 42 (28.6%) placebo-treated patients achieved the primary endpoint. Although the primary endpoint was not achieved with statistical significance (p = 0.183), the ITT population revealed a larger absolute treatment difference of 17.3% (40.4% versus 23.1%, p=0.06) in the obexelimab-treated group versus the placebo-treated group. The ITT analysis is relevant since all patients are considered in this analysis, whereas in the EE analysis a larger number of placebo-treated patients than obexelimab-treated patients discontinued treatment for reasons that removed them from the analysis (10 patients versus 2 patients). Furthermore, the placebo response rate (28.6% in the EE analysis and 23.1% in the ITT analysis) was higher than the 10% rate which was assumed in the statistical assumptions for the trial. Nevertheless, the difference in response rates between the obexelimab and placebo arms in this trial was similar to that observed in SLE registration-directed trials with other agents, although with different trial design and endpoints.</w:t>
      </w:r>
    </w:p>
    <w:p>
      <w:pPr>
        <w:spacing w:after="0" w:line="9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Further, there was an association between obexelimab concentration and time to LOI. PK analysis revealed that quartiles of patients with progressively higher drug concentration had progressively longer</w:t>
      </w:r>
    </w:p>
    <w:p>
      <w:pPr>
        <w:spacing w:after="0" w:line="1" w:lineRule="exact"/>
        <w:rPr>
          <w:sz w:val="20"/>
          <w:szCs w:val="20"/>
          <w:color w:val="auto"/>
        </w:rPr>
      </w:pPr>
    </w:p>
    <w:p>
      <w:pPr>
        <w:jc w:val="both"/>
        <w:ind w:left="1160" w:right="1179"/>
        <w:spacing w:after="0" w:line="210" w:lineRule="auto"/>
        <w:rPr>
          <w:sz w:val="20"/>
          <w:szCs w:val="20"/>
          <w:color w:val="auto"/>
        </w:rPr>
      </w:pPr>
      <w:r>
        <w:rPr>
          <w:rFonts w:ascii="Times New Roman" w:cs="Times New Roman" w:eastAsia="Times New Roman" w:hAnsi="Times New Roman"/>
          <w:sz w:val="15"/>
          <w:szCs w:val="15"/>
          <w:color w:val="auto"/>
        </w:rPr>
        <w:t>time to LOI. In the EE analysis, patients in C</w:t>
      </w:r>
      <w:r>
        <w:rPr>
          <w:rFonts w:ascii="Times New Roman" w:cs="Times New Roman" w:eastAsia="Times New Roman" w:hAnsi="Times New Roman"/>
          <w:sz w:val="21"/>
          <w:szCs w:val="21"/>
          <w:color w:val="auto"/>
          <w:vertAlign w:val="subscript"/>
        </w:rPr>
        <w:t>trough</w:t>
      </w:r>
      <w:r>
        <w:rPr>
          <w:rFonts w:ascii="Times New Roman" w:cs="Times New Roman" w:eastAsia="Times New Roman" w:hAnsi="Times New Roman"/>
          <w:sz w:val="15"/>
          <w:szCs w:val="15"/>
          <w:color w:val="auto"/>
        </w:rPr>
        <w:t xml:space="preserve"> quartiles three and four exhibited a larger absolute LOI treatment difference of 35% in the obexelimab-treated group versus the placebo-treated group. Accordingly,</w:t>
      </w:r>
    </w:p>
    <w:p>
      <w:pPr>
        <w:ind w:left="1160"/>
        <w:spacing w:after="0"/>
        <w:rPr>
          <w:sz w:val="20"/>
          <w:szCs w:val="20"/>
          <w:color w:val="auto"/>
        </w:rPr>
      </w:pPr>
      <w:r>
        <w:rPr>
          <w:rFonts w:ascii="Times New Roman" w:cs="Times New Roman" w:eastAsia="Times New Roman" w:hAnsi="Times New Roman"/>
          <w:sz w:val="15"/>
          <w:szCs w:val="15"/>
          <w:color w:val="auto"/>
        </w:rPr>
        <w:t>we believe these data demonstrated POC for obexelimab in SLE.</w:t>
      </w:r>
    </w:p>
    <w:p>
      <w:pPr>
        <w:spacing w:after="0" w:line="109"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Fourteen (26.9%) patients that received obexelimab and 25 (48.1%) patients that received placebo withdrew for LOI. Adverse events led to the withdrawal of seven (13%) obexelimab-treated patients (most of which were infusion-related reactions) and two (4%) patients that were administered placebo. Withdrawal for other reasons occurred in three patients that were administered obexelimab and eight that were administered placebo. There was no increase in the proportion of patients with infection in obexelimab as compared to placebo treated groups. The most frequently occurring TEAEs in patients who received obexelimab administered IV were nausea (20/52, 39%), headache (12/52, 23%), vomiting (9/52, 17%), back pain and dizziness (8/52, 15%), flushing (7/52, 14%) and pain in extremity (6/52, 12%).</w:t>
      </w:r>
    </w:p>
    <w:p>
      <w:pPr>
        <w:spacing w:after="0" w:line="10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Biomarker analysis identified baseline gene expression profiles associated with increased response to obexelimab. Patients with adequate baseline RNA samples (71 in total) were assigned into one of seven clusters (immunophenotypes) as defined by Guthridge et al. 2020 using the Oklahoma Lupus Cohort. Patients in gene expression clusters three and six exhibited greater prolongation of time-to-flare with obexelimab, whereas in the other clusters obexelimab was not associated with a prolongation in time-to-flare. Patients in gene expression clusters three and six exhibited a larger absolute treatment difference in LOI of 52% in the obexelimab-treated group versus the placebo-treated group. There was a relatively small difference in time-to-flare between patients treated with placebo in clusters three and six compared with patients treated with placebo in the other clusters, suggesting that clusters three and six had higher predictive than prognostic value. Clusters three and six represent 38% of the population tested, which is similar to the 31% of cluster three and six patients in the original Oklahoma cohort. These clusters include patients of African and European descent and share increased expression of B cell pathways and low expression of inflammation pathways. These</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1" w:name="page122"/>
    <w:bookmarkEnd w:id="12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83" w:lineRule="auto"/>
        <w:rPr>
          <w:sz w:val="20"/>
          <w:szCs w:val="20"/>
          <w:color w:val="auto"/>
        </w:rPr>
      </w:pPr>
      <w:r>
        <w:rPr>
          <w:rFonts w:ascii="Times New Roman" w:cs="Times New Roman" w:eastAsia="Times New Roman" w:hAnsi="Times New Roman"/>
          <w:sz w:val="15"/>
          <w:szCs w:val="15"/>
          <w:color w:val="auto"/>
        </w:rPr>
        <w:t>responsive immunophenotype subgroups are thus consistent with the drug’s mechanism of action, inhibition of B cell, plasmablasts, and plasma cell activity, an impact that was observed in patients treated with obexelimab.</w:t>
      </w:r>
    </w:p>
    <w:p>
      <w:pPr>
        <w:spacing w:after="0" w:line="263" w:lineRule="exact"/>
        <w:rPr>
          <w:sz w:val="20"/>
          <w:szCs w:val="20"/>
          <w:color w:val="auto"/>
        </w:rPr>
      </w:pPr>
    </w:p>
    <w:p>
      <w:pPr>
        <w:jc w:val="both"/>
        <w:ind w:left="1160" w:right="1179" w:firstLine="293"/>
        <w:spacing w:after="0" w:line="264" w:lineRule="auto"/>
        <w:rPr>
          <w:sz w:val="20"/>
          <w:szCs w:val="20"/>
          <w:color w:val="auto"/>
        </w:rPr>
      </w:pPr>
      <w:r>
        <w:rPr>
          <w:rFonts w:ascii="Times New Roman" w:cs="Times New Roman" w:eastAsia="Times New Roman" w:hAnsi="Times New Roman"/>
          <w:sz w:val="15"/>
          <w:szCs w:val="15"/>
          <w:color w:val="auto"/>
        </w:rPr>
        <w:t>We believe the obexelimab efficacy data in the overall trial population and the increased response in biomarker-defined subpopulations, coupled with the safety data obtained to date, provide support for further clinical trials and the use of a SC obexelimab formulation in patients with SLE.</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Our Planned Phase 2 Trial in Patients with SLE</w:t>
      </w:r>
    </w:p>
    <w:p>
      <w:pPr>
        <w:spacing w:after="0" w:line="126"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color w:val="auto"/>
        </w:rPr>
        <w:t>In the third quarter of 2024, we plan to commence the SunStone Trial, a Phase 2, multicenter, randomized, double-blind, placebo-controlled trial to evaluate the efficacy and safety of obexelimab when used to reduce disease activity in patients with SLE. We expect to enroll approximately 190 patients and to conduct the trial at multiple sites worldwide. We expect to complete enrollment of the SunStone Trial in 2025.</w:t>
      </w:r>
    </w:p>
    <w:p>
      <w:pPr>
        <w:spacing w:after="0" w:line="288"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To be eligible for the trial, patients enrolled must have active SLE at screening, as defined by BILAG 2004 and hSLEDAI. Patients will be randomized 1:1 to obexelimab 250 mg or placebo SC injection every seven days over 24 weeks. The primary endpoint will be the percentage of responders, defined by BILAG-based Composite Lupus Assessment, with a reduction of SLE disease activity at week 24. Biomarker analysis is planned to be conducted in all patients. This includes baseline RNA expression profiles to immunophenotype patients and evaluation of their differential responses to treatment. Additional biomarker assessments include serum cytokines and chemokines, SLE disease markers (complement C3/ C4, anti-dsDNA), and immune cell subsets (B cells, plasma cells, etc.).</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Obexelimab for the Treatment of wAIHA</w:t>
      </w:r>
    </w:p>
    <w:p>
      <w:pPr>
        <w:spacing w:after="0" w:line="115" w:lineRule="exact"/>
        <w:rPr>
          <w:sz w:val="20"/>
          <w:szCs w:val="20"/>
          <w:color w:val="auto"/>
        </w:rPr>
      </w:pPr>
    </w:p>
    <w:p>
      <w:pPr>
        <w:jc w:val="both"/>
        <w:ind w:left="1160" w:right="1179" w:firstLine="293"/>
        <w:spacing w:after="0" w:line="261" w:lineRule="auto"/>
        <w:rPr>
          <w:sz w:val="20"/>
          <w:szCs w:val="20"/>
          <w:color w:val="auto"/>
        </w:rPr>
      </w:pPr>
      <w:r>
        <w:rPr>
          <w:rFonts w:ascii="Times New Roman" w:cs="Times New Roman" w:eastAsia="Times New Roman" w:hAnsi="Times New Roman"/>
          <w:sz w:val="15"/>
          <w:szCs w:val="15"/>
          <w:color w:val="auto"/>
        </w:rPr>
        <w:t>IgG autoantibodies are the key pathogenic factors involved in most forms of wAIHA. Accordingly, we believe that obexelimab’s ability to inhibit or down-regulate B cells and the clinical activity and tolerability profile observed in previous clinical studies provide a strong rationale for its development in wAIHA. In 2023, we initiated SApHiAre, a two-part global trial that includes a potential registration-directed, randomized, double-blind, placebo-controlled evaluation of obexelimab delivered SC weekly to evaluate the efficacy and safety of obexelimab in patients with wAIHA.</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wAIHA Histology and Disease Background</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AIHA is an acquired disorder in which autoantibodies directed against a patient’s own red blood cell (“RBC”) membrane antigens lead to their accelerated destruction, and the rate of production of new cells in the bone marrow can no longer compensate for their loss. wAIHA can be either primary (or idiopathic) or it can be associated with an underlying disease, which occurs in at least half the cases and is classified as secondary wAIHA. As depicted in Figure 9 below, B cells contribute to the pathogenic process in immune-mediated disorders by producing autoantibodies and inflammatory cytokines and by acting as antigen-presenting cells, leading to T cell activation. Recent findings have also pointed to an important role of different T cell subtypes in the onset and progression of various autoimmune disorders, including wAIHA. A vital role of B cells in the pathogenesis of wAIHA is supported by a randomized, double-blind, placebo-controlled trial of 32 adult patients that showed rituximab was effective in treating wAIHA over the course of 4.5 years (2.5 years of treatment and 2 years of follow-up).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2" w:name="page123"/>
    <w:bookmarkEnd w:id="12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Figure 9: Pathogenesis of wAIHA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111760</wp:posOffset>
            </wp:positionV>
            <wp:extent cx="4046220" cy="23717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046220" cy="2371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Current Treatment, Limitations and Remaining Unmet Need</w:t>
      </w:r>
    </w:p>
    <w:p>
      <w:pPr>
        <w:spacing w:after="0" w:line="11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wAIHA is the most prevalent form of AIHA and accounts for 70% to 80% of all cases in adults and almost 50% of all cases in children. We estimate that the currently diagnosed population of wAIHA patients in the U.S. is approximately 40,000, with similar prevalence rates in other countries. We estimate wAIHA to be a multi-billion-dollar commercial opportunity in the U.S. alone. Glucocorticoids (prednisone or prednisolone) are commonly given as first-line treatment. Although there is an initial clinically significant response achieved in 70% to 80% of cases, approximately 60% to 80% of patients require additional treatment within one year of initial treatment. However, similar to IgG4-RD patients, long-term steroid maintenance therapy can lead to significant toxicity and complications, including osteoporosis, high blood pressure, and diabetes. For patients that do not adequately respond to and/or are unable to tolerate corticosteroids, other unapproved treatments carrying higher risk such as rituximab, other immunosuppressant therapies, blood transfusions and/or splenectomy are used.</w:t>
      </w:r>
    </w:p>
    <w:p>
      <w:pPr>
        <w:spacing w:after="0" w:line="10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Despite not being approved for use by any regulatory agency for the treatment of wAIHA, rituximab is the preferred second-line therapy for steroid refractory patients. However, only a minority of patients achieve long-term disease remission with rituximab in the second-line setting, even though most patients (60% to 70%) initially respond well to treatment. In addition, rituximab carries a boxed warning for fatal infusion- related reactions, severe mucocutaneous reactions, hepatitis B virus reactivation and progressive multifocal leukoencephalopathy. Further, similar to IgG4-RD, rituximab is a B cell depleting agent, which carries the same potential limitations and risks discussed above.</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Obexelimab—SApHiAre Trial</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late 2023, we initiated our SApHiAre Trial, a global Phase 2/3, multicenter, randomized, double-blind, placebo-controlled trial, with an SRP to evaluate the efficacy and safety of obexelimab in patients with wAIHA. We expect initial data from the SRP will be available in the fourth quarter of 2024 for patients enrolled prior to such date. After considering a number of factors, including whether the results of the SRP portion of the SApHiAre Trial are favorable, we may meet with the FDA to finalize the design, including the proposed endpoints, of the RCP. If we continue with the Phase 3 RCP of this trial, we expect that a total of approximately 134 patients would be enrolled in the trial, including the patients enrolled in the SRP, at approximately 90 sites in 18 countries. If we continue with the Phase 3 RCP portion of the SApHiAre Trial</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3" w:name="page124"/>
    <w:bookmarkEnd w:id="12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and if the results of the RCP portion are then favorable, we would intend to seek regulatory approval for the treatment of wAIHA.</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Open-Label Safety and Dose Confirmation Run-in Period (Part A)</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anticipate enrolling up to 14 patients with primary wAIHA or secondary wAIHA due to autoimmune disorders (e.g., SLE) in Cohort 1 of the open-label SRP (Part A) which will provide preliminary safety, tolerability, PK/PD and efficacy data in a similar wAIHA population as the population intended to be enrolled in the RCP. Up to six additional patients with secondary wAIHA due to a lymphoproliferative disease may be enrolled in Cohort 2 to provide preliminary data on a broad wAIHA population. All patients enrolled in the SRP will receive obexelimab 250 mg SC dose every seven days. During the SRP, patients will undergo assessments for efficacy, safety, PK, PD, and immunogenicity. The primary efficacy endpoint in the SRP is proportion of patients with a hemoglobin (“Hgb”) ≥ 10 g/dL and ≥ 2 g/dL increase from baseline on at least 3 of 4 consecutive visits, on or after Week 12, with no use of blood transfusion or GC rescue therapy prior to attaining response. Following the conclusion of the SRP, after considering a number of factors, including whether the results of the SRP are favorable, we may meet with the FDA to agree on the final trial design, including the primary endpoint or endpoints required for the RCP and whether a patient reported outcome co-primary or key secondary endpoint will be required.</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Randomized Control Period (Part B)</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decision to initiate the RCP (Part B) will be based on a number of factors, including the data collected in Cohort 1 and our discussions with the FDA. We anticipate that up to approximately 114 patients would be enrolled in the RCP, randomized 1:1 to obexelimab 250 mg or placebo SC injection every seven days over 24 weeks. If initiated, the RCP may begin once all 14 patients with primary wAIHA or secondary wAIHA due to underlying autoimmune disorder (Cohort 1) have reached Week 12 (or withdrawn from the trial). We expect that the primary efficacy endpoint in the RCP will be the proportion of patients who achieve a durable Hgb response (defined as Hgb ≥ 10 g/dL and ≥ 2 g/dL increase from baseline on at least three of four consecutive available visits), at the earliest on or after Week 12, with no use of blood transfusion or GC rescue therapy prior to attaining durable response through Week 24. Following the completion of the RCP, eligible patients will have the opportunity to enroll into the OLE Period (Part C) of the trial, in which all patients will receive obexelimab.</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Safety Profile of Obexelimab</w:t>
      </w:r>
    </w:p>
    <w:p>
      <w:pPr>
        <w:spacing w:after="0" w:line="128"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Overall, 198 subjects have received obexelimab, 158 subjects as an IV infusion at doses of up to 10 mg/kg and 40 subjects as a SC injection of up to 375 mg. The majority of TEAEs in the studies using obexelimab were mild or moderate.</w:t>
      </w:r>
    </w:p>
    <w:p>
      <w:pPr>
        <w:spacing w:after="0" w:line="9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clinically important identified risk of obexelimab, defined by serious and related events, included unanticipated infusion related reactions which have not been observed for the subcutaneous injection of obexelimab. The clinically non -important identified risks of obexelimab, defined as non-serious and related events, included intravenous infusion related GI events and injection site reactions via the SC administration. The injection site reactions were of minimal clinical impact, non-serious, did not lead to study drug discontinuation, and are anticipated to occur in less than 2% of injections. The IV infusion related GI events were non-serious and were not observed with SC injection.</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Serious Adverse Events</w:t>
      </w:r>
    </w:p>
    <w:p>
      <w:pPr>
        <w:spacing w:after="0" w:line="11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only SAEs considered by the investigator to be related to obexelimab or placebo across the five clinical studies completed to date were: two IV infusion related reactions, one in each of two obexelimab treated patients, one venous thrombosis in an obexelimab treated patient, one herpes zoster in a placebo treated patient and a post herpetic neuralgia in a placebo treated patient.</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Anti-Drug Antibodies</w:t>
      </w:r>
    </w:p>
    <w:p>
      <w:pPr>
        <w:spacing w:after="0" w:line="11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development of anti-drug antibodies (“ADA”) has been observed in all studies; however, the ADA response did not have an apparent effect on PK or safety parameters (i.e., accelerated clearance), with the</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4" w:name="page125"/>
    <w:bookmarkEnd w:id="12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possible exception of one subject (in the first in human (“FIH”) study) and the three subjects with hypersensitivity reactions mentioned above.</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Safety Summary of Previously Completed Clinical Studies</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u w:val="single" w:color="auto"/>
          <w:color w:val="auto"/>
        </w:rPr>
        <w:t>Study XmAb5871-01</w:t>
      </w:r>
    </w:p>
    <w:p>
      <w:pPr>
        <w:spacing w:after="0" w:line="11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Overall, doses of up to and including 10 mg/kg obexelimab were well tolerated by healthy male subjects. GI-related TEAEs (including nausea, vomiting, abdominal pain, abdominal discomfort, epigastric discomfort and diarrhea) were the most frequently reported (14/36, 38.9%). Eight subjects (8/36, 22.2%) who had received 0.2 to 10 mg/kg obexelimab had their IV infusion temporarily interrupted as a result of the GI-related symptoms. In all cases, symptoms leading to infusion interruption were transient and subjects were able to continue the infusion after a short break without recurrence of symptoms. Symptom resolution did not require the use of concomitant medications. No infusion-related reactions or hypersensitivity reactions were observed. There were no SAEs reported. No subject was withdrawn and none self-withdrew. There was no consistent dose-response relationship with the incidence of TEAEs and no dose-limiting toxicities were observed.</w:t>
      </w:r>
    </w:p>
    <w:p>
      <w:pPr>
        <w:spacing w:after="0" w:line="24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u w:val="single" w:color="auto"/>
          <w:color w:val="auto"/>
        </w:rPr>
        <w:t>Study XmAb5871-02</w:t>
      </w:r>
    </w:p>
    <w:p>
      <w:pPr>
        <w:spacing w:after="0" w:line="124"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Among the 40 patients who received obexelimab, the most common TEAEs were vomiting (7/40, 17.5%), headache (7/40, 17.5%), nausea (6/40, 15.0%), pyrexia (4/40, 10.0%), and arthralgia (4/40, 10.0%). As in the FIH study in healthy male volunteers (Study XmAb5871-01), gastrointestinal-related TEAEs (nausea, vomiting, diarrhea) were mostly mild to moderate, resolved with interruption of infusion and did not reoccur with reinitiation of infusion.</w:t>
      </w:r>
    </w:p>
    <w:p>
      <w:pPr>
        <w:spacing w:after="0" w:line="97"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In general, multiple doses of up to 10 mg/kg obexelimab were well tolerated in patients with RA. Two subjects experienced infusion-related reactions (both at 10.0 mg/kg), one of which was considered an SAE. The other event, associated with the first infusion, was considered of moderate severity. In both cases, the infusion was terminated, and the patients recovered without sequelae. The nature and severity of these infusion reactions were consistent with those reported for other monoclonal antibody therapies.</w:t>
      </w:r>
    </w:p>
    <w:p>
      <w:pPr>
        <w:spacing w:after="0" w:line="9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u w:val="single" w:color="auto"/>
          <w:color w:val="auto"/>
        </w:rPr>
        <w:t>Study XmAb5871-03</w:t>
      </w:r>
    </w:p>
    <w:p>
      <w:pPr>
        <w:spacing w:after="0" w:line="124"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general, obexelimab was well tolerated in patients with IgG4-RD. The most common TEAEs were abdominal pain and nausea (4/20, 20%), vomiting (3/20, 15%), and diarrhea, chills, headache, nasal congestion, and upper respiratory tract infection (2/20, 10%) . Four patients (4/20, 20%) had first dose GI symptoms of nausea, vomiting, and/or diarrhea as described previously with IV infusions. The symptoms were relieved by interrupting the infusion for a short period of time. There was one infusion-related hypersensitivity reaction that was associated with the presence of ADA, that was treated with symptomatic medications and that resolved after obexelimab was stopped. This patient recovered fully and discontinued the trial. There was one case of pneumonia accounting for two SAEs (initial and recurrence due to non-compliance with therapy) in one patient and a second patient experienced one SAE (chronic inflammation demyelinating polyradiculoneuropathy in the setting of small lymphocytic lymphoma (pre-existing)). None of the SAEs were considered to be related to obexelimab.</w:t>
      </w:r>
    </w:p>
    <w:p>
      <w:pPr>
        <w:spacing w:after="0" w:line="10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u w:val="single" w:color="auto"/>
          <w:color w:val="auto"/>
        </w:rPr>
        <w:t>Study XmAb5871-04</w:t>
      </w:r>
    </w:p>
    <w:p>
      <w:pPr>
        <w:spacing w:after="0" w:line="124"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Obexelimab was generally well tolerated in patients with SLE. The most frequently occurring TEAEs were nausea (20/52, 39%), headache (12/52, 23%), vomiting (9/52, 17%), back pain and dizziness (8/52, 15%), flushing (7/52, 14%), and pain in extremity (6/52, 12%). The majority of these events were mild and resolved. There were 8 SAEs in patients administered obexelimab, only one (infusion-related reaction) of which was considered related to study drug. Fourteen (14/52, 26.9%) patients that received obexelimab and 25 (48.1%) patients that received placebo withdrew for LOI. Adverse events led to the withdrawal of seven (7/52, 13%) obexelimab-treated patients (most of which were infusion-related reactions) and two (4%) patients that were administered placebo. Withdrawal for other reasons occurred in three patients that were administered obexelimab and eight that were administered placebo.</w:t>
      </w:r>
    </w:p>
    <w:p>
      <w:pPr>
        <w:spacing w:after="0" w:line="9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u w:val="single" w:color="auto"/>
          <w:color w:val="auto"/>
        </w:rPr>
        <w:t>Study XmAb5871-05</w:t>
      </w:r>
    </w:p>
    <w:p>
      <w:pPr>
        <w:spacing w:after="0" w:line="113"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Overall, the SC administration of obexelimab was well tolerated. The most common TEAEs across all SC dose regimens were headache and injection site reaction (3/40, 8%). The incidence of injections with injection</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5" w:name="page126"/>
    <w:bookmarkEnd w:id="12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site erythema, induration and/or pain as a total out of all injections was 4/207 (total), or 1.9% of injections. The symptoms involved only one of the possible two or three sites injected on that day, were mild, and resolved within 24 hours.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Dosage and Administration for Obexelimab</w:t>
      </w:r>
    </w:p>
    <w:p>
      <w:pPr>
        <w:spacing w:after="0" w:line="12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Obexelimab has been evaluated in five completed clinical trials in which a total of 198 subjects have received obexelimab either as an IV infusion at doses of up to 10 mg/kg (n=158) or as a SC injection at does up to 375 mg (n=40). We believe these trials have demonstrated obexelimab’s PK/PD and tolerability profile.</w:t>
      </w:r>
    </w:p>
    <w:p>
      <w:pPr>
        <w:spacing w:after="0" w:line="27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current ongoing and planned trials of obexelimab utilize or will utilize a fixed 250 mg self-administered SC injection dosed weekly. This dosing regimen is supported by the totality of existing clinical efficacy and safety data, PK/PD modeling, and nonclinical data. The 250 mg weekly SC dose is designed to maximize the potential for efficacy by providing maximum PD target engagement, comparable exposure</w:t>
      </w:r>
    </w:p>
    <w:p>
      <w:pPr>
        <w:spacing w:after="0" w:line="2" w:lineRule="exact"/>
        <w:rPr>
          <w:sz w:val="20"/>
          <w:szCs w:val="20"/>
          <w:color w:val="auto"/>
        </w:rPr>
      </w:pPr>
    </w:p>
    <w:p>
      <w:pPr>
        <w:jc w:val="both"/>
        <w:ind w:left="1160" w:right="1179"/>
        <w:spacing w:after="0" w:line="210" w:lineRule="auto"/>
        <w:rPr>
          <w:sz w:val="20"/>
          <w:szCs w:val="20"/>
          <w:color w:val="auto"/>
        </w:rPr>
      </w:pPr>
      <w:r>
        <w:rPr>
          <w:rFonts w:ascii="Times New Roman" w:cs="Times New Roman" w:eastAsia="Times New Roman" w:hAnsi="Times New Roman"/>
          <w:sz w:val="15"/>
          <w:szCs w:val="15"/>
          <w:color w:val="auto"/>
        </w:rPr>
        <w:t>and, importantly, a higher C</w:t>
      </w:r>
      <w:r>
        <w:rPr>
          <w:rFonts w:ascii="Times New Roman" w:cs="Times New Roman" w:eastAsia="Times New Roman" w:hAnsi="Times New Roman"/>
          <w:sz w:val="21"/>
          <w:szCs w:val="21"/>
          <w:color w:val="auto"/>
          <w:vertAlign w:val="subscript"/>
        </w:rPr>
        <w:t>trough</w:t>
      </w:r>
      <w:r>
        <w:rPr>
          <w:rFonts w:ascii="Times New Roman" w:cs="Times New Roman" w:eastAsia="Times New Roman" w:hAnsi="Times New Roman"/>
          <w:sz w:val="15"/>
          <w:szCs w:val="15"/>
          <w:color w:val="auto"/>
        </w:rPr>
        <w:t xml:space="preserve"> when compared with the 5 mg/kg IV every two weeks dosing regimen, which demonstrated clinical activity in the IgG4-RD and SLE Phase 2 trials of obexelimab. In addition, the</w:t>
      </w:r>
    </w:p>
    <w:p>
      <w:pPr>
        <w:jc w:val="both"/>
        <w:ind w:left="1160" w:right="1179"/>
        <w:spacing w:after="0" w:line="220" w:lineRule="auto"/>
        <w:rPr>
          <w:sz w:val="20"/>
          <w:szCs w:val="20"/>
          <w:color w:val="auto"/>
        </w:rPr>
      </w:pPr>
      <w:r>
        <w:rPr>
          <w:rFonts w:ascii="Times New Roman" w:cs="Times New Roman" w:eastAsia="Times New Roman" w:hAnsi="Times New Roman"/>
          <w:sz w:val="15"/>
          <w:szCs w:val="15"/>
          <w:color w:val="auto"/>
        </w:rPr>
        <w:t>250 mg weekly SC dose was designed to maintain a lower C</w:t>
      </w:r>
      <w:r>
        <w:rPr>
          <w:rFonts w:ascii="Times New Roman" w:cs="Times New Roman" w:eastAsia="Times New Roman" w:hAnsi="Times New Roman"/>
          <w:sz w:val="21"/>
          <w:szCs w:val="21"/>
          <w:color w:val="auto"/>
          <w:vertAlign w:val="subscript"/>
        </w:rPr>
        <w:t>max</w:t>
      </w:r>
      <w:r>
        <w:rPr>
          <w:rFonts w:ascii="Times New Roman" w:cs="Times New Roman" w:eastAsia="Times New Roman" w:hAnsi="Times New Roman"/>
          <w:sz w:val="15"/>
          <w:szCs w:val="15"/>
          <w:color w:val="auto"/>
        </w:rPr>
        <w:t xml:space="preserve"> than the 5 mg/kg IV every two weeks dosing regimen to provide sufficient safety margins and an acceptable tolerability profile based on both clinical and nonclinical study data of obexelimab.</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Preclinical Characterization</w:t>
      </w:r>
    </w:p>
    <w:p>
      <w:pPr>
        <w:spacing w:after="0" w:line="115"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i w:val="1"/>
          <w:iCs w:val="1"/>
          <w:color w:val="auto"/>
        </w:rPr>
        <w:t xml:space="preserve">In vitro </w:t>
      </w:r>
      <w:r>
        <w:rPr>
          <w:rFonts w:ascii="Times New Roman" w:cs="Times New Roman" w:eastAsia="Times New Roman" w:hAnsi="Times New Roman"/>
          <w:sz w:val="15"/>
          <w:szCs w:val="15"/>
          <w:color w:val="auto"/>
        </w:rPr>
        <w:t>studies demonstrated that obexelimab has a high affinity for human CD19 and human FcγRIIb.</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half-maximal effective concentration (“EC</w:t>
      </w:r>
      <w:r>
        <w:rPr>
          <w:rFonts w:ascii="Times New Roman" w:cs="Times New Roman" w:eastAsia="Times New Roman" w:hAnsi="Times New Roman"/>
          <w:sz w:val="21"/>
          <w:szCs w:val="21"/>
          <w:color w:val="auto"/>
          <w:vertAlign w:val="subscript"/>
        </w:rPr>
        <w:t>50</w:t>
      </w:r>
      <w:r>
        <w:rPr>
          <w:rFonts w:ascii="Times New Roman" w:cs="Times New Roman" w:eastAsia="Times New Roman" w:hAnsi="Times New Roman"/>
          <w:sz w:val="15"/>
          <w:szCs w:val="15"/>
          <w:color w:val="auto"/>
        </w:rPr>
        <w:t>”) of binding of obexelimab to a human CD19 expressing cell line is 0.3 nM, and the EC</w:t>
      </w:r>
      <w:r>
        <w:rPr>
          <w:rFonts w:ascii="Times New Roman" w:cs="Times New Roman" w:eastAsia="Times New Roman" w:hAnsi="Times New Roman"/>
          <w:sz w:val="21"/>
          <w:szCs w:val="21"/>
          <w:color w:val="auto"/>
          <w:vertAlign w:val="subscript"/>
        </w:rPr>
        <w:t>50</w:t>
      </w:r>
      <w:r>
        <w:rPr>
          <w:rFonts w:ascii="Times New Roman" w:cs="Times New Roman" w:eastAsia="Times New Roman" w:hAnsi="Times New Roman"/>
          <w:sz w:val="15"/>
          <w:szCs w:val="15"/>
          <w:color w:val="auto"/>
        </w:rPr>
        <w:t xml:space="preserve"> of binding of obexelimab to human primary B cells is 1.4 nM. The binding affinity of obexelimab for human FcγRIIb (8 nM) has been increased approximately 230-fold relative to human native IgG1 as a result of Fc engineering.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co-engagement of CD19 and FcγRIIb by obexelimab results in the inhibition of calcium mobilization upon stimulation of B cells from normal volunteers as well as in RA and SLE patients.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obexelimab demonstrated inhibition of an induced human B cell response to immunization with tetanus toxoid in severe combined immunodeficient mice engrafted with human peripheral blood mononuclear cells. In addition, obexelimab demonstrated disease improvement in several animal models of disease, including collagen-induced arthritis, AIHA and MS. Obexelimab has shown no antibody-dependent cellular cytotoxicity mediated B cell depletion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nor has there been any significant obexelimab-mediated IL-6 or TNF-α cytokine release.</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Other Pipeline Programs</w:t>
      </w:r>
    </w:p>
    <w:p>
      <w:pPr>
        <w:spacing w:after="0" w:line="12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Beyond our lead product candidate, obexelimab, we are advancing a pipeline of clinical programs for the potential treatment of other I&amp;I indications that we may continue to develop and ultimately commercialize with partners. Our pipeline includes two global programs, ZB002 (an anti-TNFα monoclonal antibody) and ZB004 (a CTLA-4-Ig fusion), and two regional programs, ZB001 (also known as VRDN-001, an IGF-1R monoclonal antibody), and related programs, and ZB005 (also known as DNTH103, an anti-active C1s monoclonal antibody), for which we hold the development and commercialization rights in greater China. Based on the ongoing clinical studies and clinical data generated to date, we intend to determine future potential indications in which to pursue further clinical development of these programs and ultimately, if approved, commercialization with one or more partners.</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ZB002 Program (anti-tumor necrosis alpha monoclonal antibody)</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 xml:space="preserve">ZB002 is a monoclonal antibody inhibitor of TNFα designed to have an extended half-life as compared to existing anti-TNFα therapies. ZB002 is identical to adalimumab in the TNFα-binding region of the fragment variable domain, but the Fc domain contains modifications to extend ZB002’s half-life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(Xencor’s Xtend technology). Our Phase 1 SAD study demonstrated a half-life of approximately 55 days for ZB002, which we believe may allow for dosing once every four to eight weeks. In the second quarter of 2024, we initiated a Phase 1b MAD study of ZB002 in patients with rheumatoid arthritis. A head-to-head preclinical study in mice demonstrated ZB002’s extended (≥ 2-fold longer) half-life over adalimumab. If the results of our</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6" w:name="page127"/>
    <w:bookmarkEnd w:id="12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ongoing Phase 1b MAD study of ZB002 are favorable, we may seek to identify a partner to advance ZB002 in subsequent trials for potential use as a treatment for certain I&amp;I diseases that can benefit from TNFα inhibition.</w:t>
      </w:r>
    </w:p>
    <w:p>
      <w:pPr>
        <w:spacing w:after="0" w:line="3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Anti-TNFα Background and Mechanism of Action</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TNFα is a potent inflammatory cytokine, produced primarily by activated monocytes, macrophages and T cells, as a cell surface protein. After being activated, TNFα is released and binds to receptors on TNFα-responsive cells to enhance the inflammation and immune response to environmental stimuli such as foreign antigens. Elevated expression of TNFα has been linked to a number of I&amp;I diseases, and inhibition of TNFα signaling has been validated as a therapeutic approach to treat several diseases. The FDA and other comparable foreign regulatory agencies have approved five anti-TNFα therapies to treat diseases, including rheumatoid arthritis, psoriatic arthritis, ankylosing spondylitis, Crohn’s disease, psoriasis, ulcerative colitis, hidradenitis suppurativa, and uveitis. Among those approved therapies are Remicade (infliximab), Simponi (golimumab) and Humira (adalimumab), monoclonal antibodies that target TNFα for inhibition.</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Summary of Clinical Trials</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conducted a Phase 1 SAD study designed to evaluate the safety, tolerability, PK and PD profiles of ZB002 in healthy volunteers. We enrolled 48 healthy volunteers across six cohorts of varying dose levels, ranging from 20 mg to 240 mg, for the study. Eight healthy volunteers were randomized 3:1 to ZB002 or placebo, per cohort. There was one SAE of peri- anal abscess. Our Phase 1 SAD study demonstrated a half-life of approximately 55 days for ZB002, which we believe may allow for dosing once every four to eight weeks. In the second quarter of 2024, we initiated a Phase 1b MAD study of ZB002 in patients with rheumatoid arthritis. If the results of our ongoing Phase 1b MAD study of ZB002 are favorable, we will seek to identify a partner to advance ZB002 in subsequent trials and ultimately, if approved, commercialize ZB002 for potential use as a treatment for certain I&amp;I diseases that can benefit from TNFα inhibition.</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Preclinical Characterization</w:t>
      </w:r>
    </w:p>
    <w:p>
      <w:pPr>
        <w:spacing w:after="0" w:line="115" w:lineRule="exact"/>
        <w:rPr>
          <w:sz w:val="20"/>
          <w:szCs w:val="20"/>
          <w:color w:val="auto"/>
        </w:rPr>
      </w:pPr>
    </w:p>
    <w:p>
      <w:pPr>
        <w:jc w:val="both"/>
        <w:ind w:left="1160" w:right="1179" w:firstLine="293"/>
        <w:spacing w:after="0" w:line="212" w:lineRule="auto"/>
        <w:rPr>
          <w:sz w:val="20"/>
          <w:szCs w:val="20"/>
          <w:color w:val="auto"/>
        </w:rPr>
      </w:pPr>
      <w:r>
        <w:rPr>
          <w:rFonts w:ascii="Times New Roman" w:cs="Times New Roman" w:eastAsia="Times New Roman" w:hAnsi="Times New Roman"/>
          <w:sz w:val="15"/>
          <w:szCs w:val="15"/>
          <w:color w:val="auto"/>
        </w:rPr>
        <w:t>ZB002 has similar pharmacological characteristics to adalimumab, including TNFα binding and inhibition. The EC</w:t>
      </w:r>
      <w:r>
        <w:rPr>
          <w:rFonts w:ascii="Times New Roman" w:cs="Times New Roman" w:eastAsia="Times New Roman" w:hAnsi="Times New Roman"/>
          <w:sz w:val="21"/>
          <w:szCs w:val="21"/>
          <w:color w:val="auto"/>
          <w:vertAlign w:val="subscript"/>
        </w:rPr>
        <w:t>50</w:t>
      </w:r>
      <w:r>
        <w:rPr>
          <w:rFonts w:ascii="Times New Roman" w:cs="Times New Roman" w:eastAsia="Times New Roman" w:hAnsi="Times New Roman"/>
          <w:sz w:val="15"/>
          <w:szCs w:val="15"/>
          <w:color w:val="auto"/>
        </w:rPr>
        <w:t xml:space="preserve"> for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inhibition of TNFα signaling is roughly equivalent (18.17 ng/mL for ZB002 and 14.25 ng/mL for adalimumab), and ZB002 and adalimumab inhibited TNFα-induced lethality in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mouse models at similar rates. However, ZB002 has a higher fragment crystallizable receptor (“FcRn”) binding affinity (K</w:t>
      </w:r>
      <w:r>
        <w:rPr>
          <w:rFonts w:ascii="Times New Roman" w:cs="Times New Roman" w:eastAsia="Times New Roman" w:hAnsi="Times New Roman"/>
          <w:sz w:val="21"/>
          <w:szCs w:val="21"/>
          <w:color w:val="auto"/>
          <w:vertAlign w:val="subscript"/>
        </w:rPr>
        <w:t>D</w:t>
      </w:r>
      <w:r>
        <w:rPr>
          <w:rFonts w:ascii="Times New Roman" w:cs="Times New Roman" w:eastAsia="Times New Roman" w:hAnsi="Times New Roman"/>
          <w:sz w:val="15"/>
          <w:szCs w:val="15"/>
          <w:color w:val="auto"/>
        </w:rPr>
        <w:t xml:space="preserve"> = 6.54 ×10 </w:t>
      </w: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5"/>
          <w:szCs w:val="15"/>
          <w:color w:val="auto"/>
        </w:rPr>
        <w:t xml:space="preserve"> M) compared to adalimumab (K</w:t>
      </w:r>
      <w:r>
        <w:rPr>
          <w:rFonts w:ascii="Times New Roman" w:cs="Times New Roman" w:eastAsia="Times New Roman" w:hAnsi="Times New Roman"/>
          <w:sz w:val="21"/>
          <w:szCs w:val="21"/>
          <w:color w:val="auto"/>
          <w:vertAlign w:val="subscript"/>
        </w:rPr>
        <w:t>D</w:t>
      </w:r>
      <w:r>
        <w:rPr>
          <w:rFonts w:ascii="Times New Roman" w:cs="Times New Roman" w:eastAsia="Times New Roman" w:hAnsi="Times New Roman"/>
          <w:sz w:val="15"/>
          <w:szCs w:val="15"/>
          <w:color w:val="auto"/>
        </w:rPr>
        <w:t xml:space="preserve"> = 1.88 ×10</w:t>
      </w: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5"/>
          <w:szCs w:val="15"/>
          <w:color w:val="auto"/>
        </w:rPr>
        <w:t xml:space="preserve"> M), which is designed to</w:t>
      </w:r>
    </w:p>
    <w:p>
      <w:pPr>
        <w:jc w:val="both"/>
        <w:ind w:left="1160" w:right="1179"/>
        <w:spacing w:after="0" w:line="235" w:lineRule="auto"/>
        <w:rPr>
          <w:sz w:val="20"/>
          <w:szCs w:val="20"/>
          <w:color w:val="auto"/>
        </w:rPr>
      </w:pPr>
      <w:r>
        <w:rPr>
          <w:rFonts w:ascii="Times New Roman" w:cs="Times New Roman" w:eastAsia="Times New Roman" w:hAnsi="Times New Roman"/>
          <w:sz w:val="15"/>
          <w:szCs w:val="15"/>
          <w:color w:val="auto"/>
        </w:rPr>
        <w:t xml:space="preserve">extend ZB002’s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half-life. In the human neonatal FcRn expressed transgenic mice, the PK profile of ZB002 was found to be similar to that of adalimumab with the exception of an extended (≥ 2-fold longer) half-life (t1/2 = 9.9 hours and 4.1 hours for ZB002 and adalimumab, respectively). The subcutaneous bioavailability of ZB002 was 62.4% to 106.0% in cynomolgus monkeys, depending on the dose. Weekly subcutaneous administration of ZB002 for 13 weeks in cynomolgus monkeys demonstrated no adverse safety findings at any dose tested up to 200 mg/kg, providing an adequate therapeutic window for assessment in humans.</w:t>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ZB004 Program (CTLA-4-Ig fusion)</w:t>
      </w:r>
    </w:p>
    <w:p>
      <w:pPr>
        <w:spacing w:after="0" w:line="12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ZB004 is a CTLA-4-Ig fusion protein designed to have an extended half-life versus existing CTLA-4-Ig fusion protein therapies. Based on the results from our ongoing Phase 1 study, we plan to evaluate the path forward for the development of ZB004 in the treatment of I&amp;I indications.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CTLA-4-Ig Background and Mechanism of Action</w:t>
      </w:r>
    </w:p>
    <w:p>
      <w:pPr>
        <w:spacing w:after="0" w:line="11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ZB004 is comprised of two CTLA-4 extracellular domain substitutions and an IgG Fc region containing substitutions (Xencor’s Xtend technology) . This design allows for increased binding affinity to human CD80 and CD86 and FcRn. Its mechanism of action is selective inhibition of T cell co-stimulation by binding to CD80 and CD86 receptors, which blocks their interaction with CD28 on T cells.</w:t>
      </w:r>
    </w:p>
    <w:p>
      <w:pPr>
        <w:spacing w:after="0" w:line="95"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In rheumatoid arthritis, T cells contribute to lymphoid organogenesis in the inflamed joint and neoangiogenesis, stimulate synoviocyte proliferation, and support the development of osteoclasts. CTLA-4, a protein expressed on the surface of CD4+ and CD8+ T cells, is an inhibitory receptor with high homology to</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7" w:name="page128"/>
    <w:bookmarkEnd w:id="12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2" w:lineRule="auto"/>
        <w:rPr>
          <w:sz w:val="20"/>
          <w:szCs w:val="20"/>
          <w:color w:val="auto"/>
        </w:rPr>
      </w:pPr>
      <w:r>
        <w:rPr>
          <w:rFonts w:ascii="Times New Roman" w:cs="Times New Roman" w:eastAsia="Times New Roman" w:hAnsi="Times New Roman"/>
          <w:sz w:val="15"/>
          <w:szCs w:val="15"/>
          <w:color w:val="auto"/>
        </w:rPr>
        <w:t>the costimulatory receptor CD28. It acts as a negative regulator of CD28-mediated activation of CD4+ and CD8+ T cells. CTLA-4-Ig fusion proteins disrupt binding of CD28 with ligand B7 molecules, CD80 and CD86, expressed on antigen-presenting cells. Inhibition of this signaling pathway results in a suppression of T cell effector function and is clinically validated by the regulatory approval of two CTLA-4-Ig therapeutics in several I&amp;I diseases: Orencia (abatacept) and Nulojix (belatacept).</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Clinical Development</w:t>
      </w:r>
    </w:p>
    <w:p>
      <w:pPr>
        <w:spacing w:after="0" w:line="115"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color w:val="auto"/>
        </w:rPr>
        <w:t>We conducted a Phase 1 SAD study designed to evaluate the safety, tolerability, PK immunogenicity and PD profiles of ZB004 in healthy volunteers. Our Phase 1 SAD study enrolled 40 healthy volunteers across five cohorts of varying dose levels, ranging from 3 mg to 200 mg, with eight healthy volunteers randomized 3:1 to ZB004 or placebo, per cohort. Our Phase 1 SAD study demonstrated a half-life of approximately 17.4 days at the highest dose level of 200 mg, where CD86 receptor occupancy reached a maximum peak value of 81%, overcoming the effect of target mediated drug disposition. There were no SAEs reported.</w:t>
      </w:r>
    </w:p>
    <w:p>
      <w:pPr>
        <w:spacing w:after="0" w:line="3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Preclinical Characterization</w:t>
      </w:r>
    </w:p>
    <w:p>
      <w:pPr>
        <w:spacing w:after="0" w:line="126" w:lineRule="exact"/>
        <w:rPr>
          <w:sz w:val="20"/>
          <w:szCs w:val="20"/>
          <w:color w:val="auto"/>
        </w:rPr>
      </w:pPr>
    </w:p>
    <w:p>
      <w:pPr>
        <w:jc w:val="both"/>
        <w:ind w:left="1160" w:right="1179" w:firstLine="293"/>
        <w:spacing w:after="0" w:line="229" w:lineRule="auto"/>
        <w:rPr>
          <w:sz w:val="20"/>
          <w:szCs w:val="20"/>
          <w:color w:val="auto"/>
        </w:rPr>
      </w:pPr>
      <w:r>
        <w:rPr>
          <w:rFonts w:ascii="Times New Roman" w:cs="Times New Roman" w:eastAsia="Times New Roman" w:hAnsi="Times New Roman"/>
          <w:sz w:val="15"/>
          <w:szCs w:val="15"/>
          <w:color w:val="auto"/>
        </w:rPr>
        <w:t xml:space="preserve">ZB004 has been engineered to increase its affinity to human CD80 and CD86 by approximately six-fold compared to abatacept. ZB004 also binds with higher affinity to human FcRn which is expected to extend ZB004 half-life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ZB004 has shown potency by inhibiting T cell activity and cytokine release. In an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functional inhibition assay of T cell activity, the mean half-maximal inhibitory concentration (“IC</w:t>
      </w:r>
      <w:r>
        <w:rPr>
          <w:rFonts w:ascii="Times New Roman" w:cs="Times New Roman" w:eastAsia="Times New Roman" w:hAnsi="Times New Roman"/>
          <w:sz w:val="21"/>
          <w:szCs w:val="21"/>
          <w:color w:val="auto"/>
          <w:vertAlign w:val="subscript"/>
        </w:rPr>
        <w:t>50</w:t>
      </w:r>
      <w:r>
        <w:rPr>
          <w:rFonts w:ascii="Times New Roman" w:cs="Times New Roman" w:eastAsia="Times New Roman" w:hAnsi="Times New Roman"/>
          <w:sz w:val="15"/>
          <w:szCs w:val="15"/>
          <w:color w:val="auto"/>
        </w:rPr>
        <w:t>”) value was 0.334 µg/mL for ZB004 (2 donors) and &gt; 50 µg/mL for abatacept. When the inhibition of inflammation cytokine release was assessed, the IC</w:t>
      </w:r>
      <w:r>
        <w:rPr>
          <w:rFonts w:ascii="Times New Roman" w:cs="Times New Roman" w:eastAsia="Times New Roman" w:hAnsi="Times New Roman"/>
          <w:sz w:val="21"/>
          <w:szCs w:val="21"/>
          <w:color w:val="auto"/>
          <w:vertAlign w:val="subscript"/>
        </w:rPr>
        <w:t>50</w:t>
      </w:r>
      <w:r>
        <w:rPr>
          <w:rFonts w:ascii="Times New Roman" w:cs="Times New Roman" w:eastAsia="Times New Roman" w:hAnsi="Times New Roman"/>
          <w:sz w:val="15"/>
          <w:szCs w:val="15"/>
          <w:color w:val="auto"/>
        </w:rPr>
        <w:t xml:space="preserve"> values for interleukin 2 (IL-2) secretion driven by ZB004 or abatacept were &lt; 0.003 µg/mL and 0.152 µg/mL, respectively. The IC</w:t>
      </w:r>
      <w:r>
        <w:rPr>
          <w:rFonts w:ascii="Times New Roman" w:cs="Times New Roman" w:eastAsia="Times New Roman" w:hAnsi="Times New Roman"/>
          <w:sz w:val="21"/>
          <w:szCs w:val="21"/>
          <w:color w:val="auto"/>
          <w:vertAlign w:val="subscript"/>
        </w:rPr>
        <w:t>50</w:t>
      </w:r>
      <w:r>
        <w:rPr>
          <w:rFonts w:ascii="Times New Roman" w:cs="Times New Roman" w:eastAsia="Times New Roman" w:hAnsi="Times New Roman"/>
          <w:sz w:val="15"/>
          <w:szCs w:val="15"/>
          <w:color w:val="auto"/>
        </w:rPr>
        <w:t xml:space="preserve"> values for interferon gamma secretion driven by ZB004 and abatacept were 0.0054 µg/mL and &gt; 50 µg/mL, respectively. ZB004 has shown prophylactic efficacy in a collagen-induced arthritis disease model.</w:t>
      </w:r>
    </w:p>
    <w:p>
      <w:pPr>
        <w:spacing w:after="0" w:line="112"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ZB004 was well tolerated in toxicology studies up to 13 weeks via subcutaneous administration in cynomolgus monkeys and rats, providing an adequate therapeutic window for assessment in humans. In addition, ZB004 has a PK profile in animals with a dose-disproportional increase in exposure. The terminal half-life parameter of ZB004 was determined at least 1.39-fold longer than that of abatacept in cynomolgus monkeys. The subcutaneous bioavailability of ZB004 was 45.4% to 72.5% for rats and 73.4% to 79.9% for cynomolgus monkeys, depending upon the doses.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ZB001, insulin-like growth factor-1 receptor (anti-IGF-1R) mAb</w:t>
      </w:r>
    </w:p>
    <w:p>
      <w:pPr>
        <w:spacing w:after="0" w:line="126"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ZB001 is a monoclonal antibody that binds to, and is designed to act as a full antagonist of, IGF-1 receptor. This mechanism of action has been clinically and commercially validated by the only FDA product approved for the treatment of thyroid eye disease (“TED”), Tepezza (teprotumumab). TED is a debilitating condition that significantly impacts quality of life and can cause proptosis, double vision and vision loss. In October 2020, we entered into an exclusive license with Viridian, to develop, manufacture, and commercialize certain IGF-1R directed antibody products, including ZB001, for non-oncology indications in greater China. Pursuant to our agreement with Viridian, we are obligated to reimburse Viridian for certain CMC and development expenses, and pay Viridian upon achievement of development milestones and royalties on net sales. For more information on our agreement with Viridian, see the section titled “Certain Relationships and Related Party Transactions—Director Affiliations—Agreements with Viridian Therapeutics Inc.”</w:t>
      </w:r>
    </w:p>
    <w:p>
      <w:pPr>
        <w:spacing w:after="0" w:line="291"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 April 2023, we completed a Phase 1 SAD clinical study in China in healthy volunteers showing ZB001 was well tolerated when administered in doses up to 20 mg/kg. In April 2024, we completed the last patient visit in the Phase 1 MAD clinical study of ZB001 in Chinese patients with active TED. Preliminary data showed significant and rapid improvement in both signs and symptoms after 4 infusions of ZB001 in both 2 dose cohorts of 3mg/kg and 10mg/kg. All AEs were mild or moderate in severity and no SAEs were reported. Following the initial clinical development of ZB001, we intend to seek to enter into an agreement with a third party who can complete the clinical development work, obtain regulatory approval and ultimately, if approved, commercialize ZB001 and other IGF-1R antibodies pursuant to the license with Viridian in greater China.</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8" w:name="page129"/>
    <w:bookmarkEnd w:id="12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ZB005, anti-active C1s mAb</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ZB005 is a highly potent, highly selective, and human IgG4 monoclonal antibody designed to selectively bind only to the active form of C1s, a validated target in the I&amp;I field. As a result, ZB005 may have a reduced risk of infection from encapsulated bacteria. In addition, ZB005 is engineered with YTE half-life extension technology and has a PK profile designed to support less frequent, lower dose, self-administration as a SC injection. We believe that ZB005 has the potential to yield therapeutic benefit in multiple I&amp;I disease indications, in part due to an extended half-life and this complement protein component (C1s) inhibitor class’s lack of an FDA boxed warning for serious meningococcal infections which are associated with other complement inhibitor classes (e.g., complement protein C5 inhibitor, complement protein C3 inhibitor, and complement factor B inhibitor). In June 2022, we entered into an exclusive license with Dianthus to research, develop, manufacture and commercialize monoclonal antibody antagonists targeting the human Complement C1s protein (including ZB005, also known as DNTH103) in greater China. The agreement with Dianthus entitles Dianthus to reimbursement for certain CMC and development expenses, development milestones and royalties on net sales. For more information on our agreement with Dianthus, see the section titled “Certain Relationships and Related Party Transactions— Director Affiliations—Agreement with Dianthus Therapeutics, Inc.”</w:t>
      </w:r>
    </w:p>
    <w:p>
      <w:pPr>
        <w:spacing w:after="0" w:line="104"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In August 2023, Dianthus reported data from its ongoing Phase 1 study in 52 healthy volunteers across seven dose cohorts. These data validated the extended half- life and potent classical pathway inhibition, which we believe supports a differentiated safety profile of ZB005 and the potential of ZB005 to yield therapeutic benefit in multiple I&amp;I disease indications. Dianthus has stated that it plans to initiate a Phase 2 trial in the first quarter of 2024 with respect to myasthenia gravis.</w:t>
      </w:r>
    </w:p>
    <w:p>
      <w:pPr>
        <w:spacing w:after="0" w:line="97"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Based on the clinical data generated to date and additional data we or Dianthus plan to generate, we intend to seek to enter into an agreement with a third party who can complete the clinical development work, obtain regulatory approval, and ultimately, if approved, commercialize ZB005 pursuant to the license with Dianthus in greater China.</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License Agreements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License Agreements with Xencor</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September 2020, we entered into a license agreement (the “2020 Xencor Agreement”) with Xencor, to obtain (a) an exclusive, royalty-bearing, sublicensable worldwide license under certain patent rights controlled by Xencor and (b) a non-exclusive payment bearing license under certain know-how controlled by Xencor to research, develop, manufacture, market and sell three antibody product candidates (the “2020 Licensed Assets”), including ZB002 and ZB004. We subsequently relinquished rights to the third product candidate back to Xencor and that asset is no longer a 2020 Licensed Asset. Xencor obtained the rights to some of the intellectual property licensed to us pursuant to license agreements between Xencor and a third party (each such agreement, an “Upstream License Agreement”). As such, the 2020 Xencor Agreement provides that the parties agree that some of the licenses granted by Xencor to us constitute sublicenses under the Upstream License Agreements and are subject, and subordinate, to the terms and conditions of the Upstream License Agreements. As consideration for the 2020 Xencor Agreement, we issued Xencor a 15% equity interest in Zenas. The 2020 Xencor Agreement became effective in November 2020, upon Zenas’ issuance of 5,041,542 shares of its Series A Preferred Stock with a fair value of $16.1 million to Xencor as initial consideration.</w:t>
      </w:r>
    </w:p>
    <w:p>
      <w:pPr>
        <w:spacing w:after="0" w:line="23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Under the 2020 Xencor Agreement, we are obligated to use commercially reasonable efforts to conduct all preclinical (excluding preclinical activities previously conducted by Xencor at the time the 2020 Xencor Agreement was executed), clinical and regulatory activities necessary to develop and obtain the regulatory approval of the 2020 Licensed Assets worldwide. We are further required to use commercially reasonable efforts to commercialize the 2020 Licensed Assets having regulatory approvals in certain specified countries (United States, UK, France, Germany, Italy, and Spain). We are not required to pay any development, regulatory or sales milestone payments under the 2020 Xencor Agreement. We are required to pay Xencor tiered royalties on annual net sales of successfully commercialized products utilizing the 2020 Licensed Assets. The royalty percentage rates vary by geographic areas as defined in the 2020 Xencor Agreement and range from the mid-single digits to the mid-teens. On a region-by region basis and product -by-product basis, the term during which the royalties are payable by us to Xencor is until the latest of (a) last-to-expire licensed</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9" w:name="page130"/>
    <w:bookmarkEnd w:id="12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patent covering the product in the applicable region, (b) the expiration of regulatory exclusivity for the product in the applicable region, or (c) the twelfth anniversary of the first commercial sale of the product in the applicable region. As of the date of this prospectus, the last-to-expire patent under the 2020 Xencor Agreement will have an expiration date of December 22, 2028 for ZB002 and February 22, 2031 for ZB004, provided the latest application in each of these countries is allowed. The expected termination of the royalty obligations will depend on factors such as the filing of additional patents covering the products during the term of the 2020 Xencor Agreement, the availability and application of patent term extensions and/or expiration of regulatory exclusivity for the products in the applicable region. We are obligated to reimburse Xencor for certain third-party costs as further specified under the 2020 Xencor Agreement. During the six months ended June 30, 2024, we incurred no such reimbursable costs. During the six months ended June 30, 2023, we incurred immaterial reimbursable costs. During the years ended December 31, 2023 and 2022, we incurred immaterial costs and $0.1 million of such reimbursable costs, respectively.</w:t>
      </w:r>
    </w:p>
    <w:p>
      <w:pPr>
        <w:spacing w:after="0" w:line="98"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Under the 2020 Xencor Agreement, (a) Xencor owns all know-how and patent rights invented solely by Xencor, (b) we own all know-how and patent rights invented solely by us; and (c) Xencor and we jointly own all joint intellectual property. Subject to the license grants under the 2020 Xencor Agreement, both parties may practice the joint intellectual property for all purposes on a worldwide basis without consent of and without a duty of accounting to the other party.</w:t>
      </w:r>
    </w:p>
    <w:p>
      <w:pPr>
        <w:spacing w:after="0" w:line="9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Under the 2020 Xencor Agreement, during the term of the agreement and for two years thereafter, we agree we will not develop, manufacture, or commercialize a competing product for any 2020 Licensed Asset (i.e., any product that binds to the same target as such 2020 Licensed Asset). The 2020 Xencor Agreement will remain in effect, on a region-by region basis and product-by-product basis, until the expiration of all royalty payment obligations. The 2020 Xencor Agreement may be terminated by either party for the other party’s uncured material breach or insolvency. Xencor may terminate the 2020 Xencor Agreement if we challenge a licensed patent. We may terminate for convenience on a country-by-country basis with advance notice to Xencor, with the notice period differing based on whether such termination right is exercised prior to or following the first commercial sale.</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Upon termination, all licenses granted by Xencor to us automatically terminate. We are obligated to assign to Xencor all regulatory filings or approvals specifically related to the terminated assets or products. At Xencor’s sole discretion, we are obligated to transfer (a) our rights under agreements between us and third parties that solely relate to the development, manufacture or commercialization of terminated assets or products, (b) all materials developed by us for use for commercialization of terminated assets or products and (c) any product mark for terminated assets or products.</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Upon termination, if Xencor elects to continue development and commercialization of terminated assets or products, we are obligated to grant to Xencor (a) an exclusive license under certain of our patent rights and (b) a nonexclusive license under certain of our know-how, where such licenses are irrevocable, perpetual, royalty-bearing and sublicensable solely to develop, manufacture, and commercialize the terminated assets or products. In consideration for these licenses, Xencor is obligated to pay us (a) mid-single digits royalty on net sales of the terminated assets or products if Xencor commercializes such terminated assets or products and (b) low double digits percentage of all payments receives from sublicensees if Xencor sublicenses the licenses granted by us. Xencor’s obligation to make payments for these licenses is, on a product-by-product basis and region-by-region basis, until last-to-expire licensed patent covering the product in the applicable region.</w:t>
      </w:r>
    </w:p>
    <w:p>
      <w:pPr>
        <w:spacing w:after="0" w:line="24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May 2021, we entered into a license agreement (the “2021 Xencor Agreement”) with Xencor to obtain (a) an exclusive, royalty-bearing, sublicensable worldwide license under certain patent rights controlled by Xencor and (b) a non-exclusive payment bearing license under certain know-how controlled by Xencor to research, develop, manufacture, market and sell obexelimab, an antibody product candidate based on Xencor’s (and its licensors’) proprietary technology. In addition, Xencor granted us a non-exclusive, royalty-free, sublicensable worldwide license under the same patent and know-how rights to develop, manufacture and commercialize companion diagnostics for obexelimab. Xencor obtained the rights to some of the intellectual property licensed to us pursuant to the Upstream Agreements. As such, the 2021 Xencor Agreement provides that the parties agree that some of the licenses granted by Xencor to us constitute sublicenses under the Upstream Agreements and are subject and subordinate to the terms and conditions of the Upstream Agreements. The 2021 Xencor Agreement became effective in November 2021, upon the execution of an amendment to the 2021 Xencor Agreement and Zenas’ concurrent issuance to Xencor of a warrant with a fair</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0" w:name="page131"/>
    <w:bookmarkEnd w:id="13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value of $20.7 million to Xencor as initial consideration providing Xencor the right to acquire additional equity, such that its total equity in Zenas would be 15% of its fully diluted capitalization at the completion of our Series B financing.</w:t>
      </w:r>
    </w:p>
    <w:p>
      <w:pPr>
        <w:spacing w:after="0" w:line="9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Under the 2021 Xencor Agreement, we are obligated to use commercially reasonable efforts to conduct all preclinical, clinical, regulatory and other activities (excluding activities previously conducted by Xencor at the time the 2021 Xencor Agreement was executed) necessary to develop and obtain the regulatory approval of obexelimab worldwide. We are further required to use commercially reasonable efforts to commercialize obexelimab following regulatory approvals in certain specified countries (United States, UK, France, Germany, Italy, and Spain).</w:t>
      </w:r>
    </w:p>
    <w:p>
      <w:pPr>
        <w:spacing w:after="0" w:line="10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were obligated to make development milestone payments of up to $10.0 million, at Xencor’s option either in cash or fully-paid newly issued shares, which milestone payment was paid in Series B Preferred Shares in June 2023. We are obligated to make regulatory milestone payments up to $75.0 million. We are also obligated to make one-time sales milestone payments up to $385.0 million upon achieving milestone events of net sales in a given calendar year in the territory equal to certain threshold amounts. In addition, we are required to pay Xencor tiered royalties on annual net sales of successfully commercialized products utilizing obexelimab, with the royalty rates varying based on regions and ranging from the mid-single digits to the mid-teens. On a region-by region basis and product-by-product basis, the term during which the royalties are payable by us to Xencor is until the latest of (a) the last-to-expire licensed patent covering the product in the applicable region, (b) the expiration of regulatory exclusivity for the product in the applicable region, or (c) the twelfth anniversary of the first commercial sale of the product in the applicable region. As of the date of this prospectus, the last-to-expire patent under the 2021 Xencor Agreement will have an expiration date of October 6, 2041, provided the latest application in each of these countries is allowed. The expected termination of the royalty obligations will depend on factors such as the filing of additional patents covering product during the term of the 2021 Xencor Agreement, the availability and application of patent term extensions and/or expiration of regulatory exclusivity for the product in the applicable region.</w:t>
      </w:r>
    </w:p>
    <w:p>
      <w:pPr>
        <w:spacing w:after="0" w:line="9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Under the 2021 Xencor Agreement, we agree we will not research or develop obexelimab in a way that would produce a molecule that would be classified as obexelimab or an obexelimab product. In addition, during the term and for two years thereafter, we agree not to develop, manufacture, or commercialize a competing product to obexelimab (i.e., any product that binds to CD19 and incorporates FcγRIIb Technology). During the term, Xencor is obligated to refrain from developing, manufacturing, or commercializing a competing product to obexelimab as well. The non-competes do not apply to any pre-existing activity for a competing product of an acquirer, subject to customary restrictions on such activity following such acquisition.</w:t>
      </w:r>
    </w:p>
    <w:p>
      <w:pPr>
        <w:spacing w:after="0" w:line="279"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2021 Xencor Agreement will remain in effect, on a region-by region basis and product-by-product basis, until the expiration of all royalty payment obligations. The 2021 Xencor Agreement may be terminated by either party for the other party’s uncured material breach or insolvency. We may terminate for convenience on a country-by-country basis with advance notice to Xencor, with the notice period differing based on whether such termination right is exercised prior to or following the first commercial sale.</w:t>
      </w:r>
    </w:p>
    <w:p>
      <w:pPr>
        <w:spacing w:after="0" w:line="10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Upon termination, all licenses granted by Xencor to us automatically terminate. We are obligated to assign to Xencor all regulatory filings or approvals specifically related to the terminated assets or products. At Xencor’s sole discretion, we are obligated to transfer (a) our rights under agreements between us and third parties that solely relate to the development, manufacture or commercialization of terminated assets or products, (b) all materials developed by us for use for commercialization of terminated assets or products; and (c) any product mark in relation to the Compound (as defined below) or the Products (as defined below).</w:t>
      </w:r>
    </w:p>
    <w:p>
      <w:pPr>
        <w:spacing w:after="0" w:line="267"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Upon termination, if Xencor elects to continue development and commercialization of terminated assets or products, we are obligated to grant to Xencor (a) an exclusive license under certain of our patent rights, and (ii) a nonexclusive license under certain of our know-how, where such licenses are irrevocable, perpetual, royalty-bearing and sublicensable solely to develop, manufacture, and commercialize the terminated assets or products. In consideration for these licenses, Xencor is obligated to pay us (a) mid-single digits royalty on net sales of the terminated assets or products if Xencor commercializes such terminated assets or products and (b) low double digits percentage of all payments receives from sublicensees if Xencor sublicenses the licenses</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1" w:name="page132"/>
    <w:bookmarkEnd w:id="13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2" w:lineRule="auto"/>
        <w:rPr>
          <w:sz w:val="20"/>
          <w:szCs w:val="20"/>
          <w:color w:val="auto"/>
        </w:rPr>
      </w:pPr>
      <w:r>
        <w:rPr>
          <w:rFonts w:ascii="Times New Roman" w:cs="Times New Roman" w:eastAsia="Times New Roman" w:hAnsi="Times New Roman"/>
          <w:sz w:val="15"/>
          <w:szCs w:val="15"/>
          <w:color w:val="auto"/>
        </w:rPr>
        <w:t>granted by us. Xencor’s obligation to make payments for these licenses is, on a product-by-product basis and region-by-region basis, until the last-to-expire licensed patent covering the product in the applicable region.</w:t>
      </w:r>
    </w:p>
    <w:p>
      <w:pPr>
        <w:spacing w:after="0" w:line="3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License Agreement with Bristol-Myers Squibb</w:t>
      </w:r>
    </w:p>
    <w:p>
      <w:pPr>
        <w:spacing w:after="0" w:line="12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On August 30, 2023 (the “BMS Effective Date”), we entered into a strategic license and collaboration agreement with BMS under which we provided (a) an exclusive (even as to us) license under certain of our patents and joint patents to be developed under the BMS Agreement, and (b) a non-exclusive license under certain of our know-how. The license grants are for BMS to (a) develop, manufacture (subject to our rights to be the exclusive manufacturer for BMS for a certain period of time), commercialize or otherwise exploit our proprietary CD19 x FcγRIIb antibody, obexelimab (the “Compound”) and any biological product (irrespective of presentations, formulations or dosages) containing the Compound but not any of our other proprietary active ingredient (the “Product”) for treatment of any disease in human or animal in the BMS Territory and (b) conduct development and manufacture of the Compound and Products outside the BMS Territory provided that the Compound and Product are solely used in the BMS Territory. We also provided BMS a non-exclusive and royalty-free license under the same patent and know-how rights for BMS to develop, manufacture, commercialize, or otherwise exploit companion diagnostics for the Compound and Products in the BMS Territory. We retain all rights to commercialize obexelimab outside of the BMS Territory.</w:t>
      </w:r>
    </w:p>
    <w:p>
      <w:pPr>
        <w:spacing w:after="0" w:line="28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Under the BMS Agreement, during the term of the BMS Agreement and for a certain period thereafter, BMS has agreed not to develop, manufacture, or commercialize in the BMS Territory a competing product to obexelimab. We have similarly agreed, during the term of the BMS Agreement and for a certain period thereafter, not to develop, manufacture of commercialize in the BMS Territory a product that competes with obexelimab. The non-competes do not apply to any pre-existing activity for a competing product of an acquirer, subject to customary restrictions on such activity following such acquisition.</w:t>
      </w:r>
    </w:p>
    <w:p>
      <w:pPr>
        <w:spacing w:after="0" w:line="9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Under the BMS Agreement, we own all intellectual property in (a) improvements and modification to our pre-existing intellectual property, irrespective of which party develops such improvements and modification, (b) any item relating solely to the Compound and Products derived from use of our pre-existing intellectual property and confidential information, irrespective of which party develops such item and (c) any item generated solely by us in relation to the BMS Agreement. With the exclusion of intellectual property allocated as our intellectual property pursuant to (a) or (b) in the foregoing, (a) BMS shall own intellectual property generated solely by BMS under this Agreement and (b) parties will jointly own all other jointly developed intellectual property.</w:t>
      </w:r>
    </w:p>
    <w:p>
      <w:pPr>
        <w:spacing w:after="0" w:line="101"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As part of the BMS Agreement, BMS is solely responsible for conducting all development activities required to obtain regulatory approval for the Compound or Products in the BMS Territory and BMS is obligated to use commercially reasonable efforts to develop at least one Product and seek and maintain regulatory approvals for such Product in Japan and certain other jurisdictions in the BMS Territory.</w:t>
      </w:r>
    </w:p>
    <w:p>
      <w:pPr>
        <w:spacing w:after="0" w:line="100"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parties agreed that we will manufacture and supply and BMS will exclusively purchase all of BMS’s requirements of (a) Products (and placebo) for development in the BMS Territory, subject to the terms of a separate clinical supply agreement and clinical supply quality agreement, to be executed after the BMS Effective Date and (b) finished Products for commercialization in the BMS Territory, subject to the terms of a separate commercial supply agreement and commercial supply quality agreement, to be executed within a certain number of months prior to the first regulatory approval in the BMS Territory. However, BMS may elect to manufacture the Product itself or via a third party (a) at any time after a certain period following the BMS Effective Date or (b) during such period following the BMS Effective Date if we fail to supply above a certain threshold quantity of the Product ordered in any given calendar quarter. BMS has exclusive rights to commercialize the Product in the BMS Territory and is obligated to use commercially reasonable efforts to commercialize Products in Japan and certain other jurisdictions in the BMS Territory after obtaining the applicable regulatory approvals.</w:t>
      </w:r>
    </w:p>
    <w:p>
      <w:pPr>
        <w:spacing w:after="0" w:line="9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Under the terms of the BMS Agreement, we have received a one-time upfront payment of $50.0 million. We are entitled to receive further separate development and regulatory milestone payments up to $79.5 million and sales milestone payments up to $70.0 million upon BMS achieving certain net sales milestones in a given calendar year in the BMS Territory.</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2" w:name="page133"/>
    <w:bookmarkEnd w:id="13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addition, if BMS successfully develops and commercializes the Product in the BMS Territory, BMS will pay us tiered royalties ranging from (a) the mid- teens to very-low twenties for net sales of Product in Japan and (b) high single digit to low- teens for net sales of Product in all other countries in the BMS Territory, subject to specified reductions. On a country-by-country basis, the term during which the royalties are payable to us is until the latest of (a) the last-to-expire licensed patent covering the Product, (b) the expiration of regulatory exclusivity for the Product or (c) the twelfth anniversary of the first commercial sale of the Product. As of the date of this prospectus, the last-to-expire patent under the BMS Agreement will have an expiration date of October 2, 2044, provided the latest application in each of these countries is allowed. The expected termination of the royalty obligations will depend on factors such as the filing of additional patents covering the Product during the term of the BMS Agreement, the availability and application of patent term extensions and/or expiration of regulatory exclusivity for the Product in the BMS Territory. Finally, BMS will be required to pay a portion of the costs associated with our ongoing INDIGO Trial, in which BMS is participating, as well as any other global study in which BMS elects to participate. During the year ended December 31, 2023, we recorded $4.1 million as a reduction to research and development expense for costs associated with our INDIGO Trial that will be reimbursed by BMS. During the six months ended June 30, 2024, we recorded $2.7 million as a reduction to research and development expense for costs associated with our INDIGO Trial that will be reimbursed by BMS. We recognized no revenue during the six months ended June 30, 2024 pursuant to the BMS Agreement.</w:t>
      </w:r>
    </w:p>
    <w:p>
      <w:pPr>
        <w:spacing w:after="0" w:line="100"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BMS Agreement will remain in effect, on a country-by-country basis, until the expiration of all royalty payment obligations, and may be earlier terminated by either party for the other party’s uncured material breach or insolvency. BMS may terminate for convenience on a country-by-country basis with advance notice to us, with the notice period differing based on whether such termination right is exercised prior to or following the first commercial sale. In addition to customary events of termination, we also have a right to terminate the agreement (a) automatically upon written notice if the upstream Xencor License Agreement terminates and (b) with written notice if BMS challenges the licensed patents.</w:t>
      </w:r>
    </w:p>
    <w:p>
      <w:pPr>
        <w:spacing w:after="0" w:line="99"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Upon termination of the BMS Agreement, all licenses granted by us to BMS will automatically terminate and BMS is obligated to cease developing, manufacturing (subject to any transition assistance) and commercializing the Compound and Products in the BMS Territory. Additionally, BMS is obligated to transfer to us all regulatory filings and regulatory approvals related to the Compound or the Products in the Field in the BMS Territory. BMS is further obligated, at our sole discretion, to assign to us (to the extent permissible) (a) BMS’s rights under agreements between BMS and third parties that solely relate to the development, commercialization or manufacture of the Compound or the Products, (b) documentation relating to the commercialization of the Compound or the Products in the BMS Territory; and (c) any BMS owned marks for the Compound or the Products. BMS is obligated to provide reasonable transition supply assistance with respect to any agreement for manufacturing Compound or Products transferred to us, including manufacturing the Compound or Products for up to 18 months following termination.</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Intellectual Property</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own or license patents in the United States and foreign countries that protect our products, their methods of use and manufacture, as well as other innovations important to our business, and in order to help bring new therapies to patients. We consider the overall protection of our patents, trademarks, licenses and other intellectual property rights to be of material value. We also rely on trade secrets to protect aspects of our business that are not amenable to, or that we do not consider appropriate for, patent protection. Our success will, in part, depend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other proprietary rights of third parties. We also rely on regulatory protection, particularly biological data exclusivity, know-how, continuing technological innovation and in-licensing opportunities to develop, strengthen and maintain the proprietary position of our products and development programs.</w:t>
      </w:r>
    </w:p>
    <w:p>
      <w:pPr>
        <w:spacing w:after="0" w:line="98"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In the biopharmaceutical industry, a substantial portion of an innovative product’s commercial value is usually realized during the period in which the product has exclusivity. A product’s exclusivity is generally determined by two forms of intellectual property: patent rights held by the innovator company and any regulatory forms of exclusivity to which the innovative drug is entitled.</w:t>
      </w: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3" w:name="page134"/>
    <w:bookmarkEnd w:id="13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Patents are a key determinant of exclusivity for most pharmaceuticals. Patents provide the innovator with the right to exclude others from practicing an invention related to the medicine. Patents may cover, among other things, the active ingredient(s), various uses of a drug product, discovery tools, pharmaceutical formulations, biomarkers, drug delivery mechanisms and processes for (or intermediates useful in) the manufacture of products. The protection afforded by a patent extends for a 20- year term from its filing date, without taking into account any potential patent term adjustment or extension. The protection provided by a patent depends on the scope of its coverage and the availability of meaningful legal remedies to enforce patent claims in the country or countries where it has issued.</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Market exclusivity can also be influenced by regulatory data protection (“RDP”). Many developed countries provide certain non-patent incentives for the development of medicines. For example, in the United States, EU member states, UK, Japan, and certain other countries, RDP intellectual property rights are offered to: (i) provide a time period of data protection during which a generic company is not allowed to rely on the innovator’s data in seeking approval; (ii) restore patent term lost during drug development and approval; and (iii) provide incentives for research on medicines for rare diseases, or orphan drugs, and on medicines useful in treating pediatric patients. These incentives may extend a product’s market exclusivity period beyond the patent term.</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Patent Portfolio</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As of June 30, 2024, we own or exclusively in-license 11 patent families that specifically cover our product candidates obexelimab (our CD19 x FcγRIIb antibody), ZB002 (our anti-TNFα antibody), and ZB004 (our CTLA-4-Ig fusion protein). These families include 14 issued U.S. patents, six pending U.S. applications, 119 issued foreign patents, two pending PCT applications and 24 pending foreign patent applications in Australia, Brazil, Canada, China, Europe, Eurasia, Israel, Mexico, South Africa, South Korea, Hong Kong, Japan, India, Russia and Taiwan. In addition, we own or exclusively in-license eight United States provisional patent applications, which belong to four different patent families, within the priority year. Any United States or foreign patents issued from national stage filings of our owned, or exclusively in-licensed PCT patent applications, any U.S. patents issued from our exclusively in-licensed non-provisional applications, and any United States patents or foreign patents issued from non-provisional applications we may file in connection with our provisional patent applications would be scheduled to expire on various dates from 2027 through 2045.</w:t>
      </w:r>
    </w:p>
    <w:p>
      <w:pPr>
        <w:spacing w:after="0" w:line="9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All expected expiration dates provided herein are based on a 20-year term, without taking into account any possible PTA or PTE and assuming payment of all appropriate maintenance, renewal, annuity or other governmental fees.</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Obexelimab</w:t>
      </w:r>
    </w:p>
    <w:p>
      <w:pPr>
        <w:spacing w:after="0" w:line="128"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Obexelimab is a bifunctional, non-cytolytic, humanized monoclonal antibody that binds CD19 and FcγRIIb to inhibit B-lineage cell activity. As of June 30, 2024, we own or exclusively in-license from Xencor eight patent families that specifically cover the composition of matter, mechanism of action, manufacturing, biomarkers and the clinical uses of obexelimab for treating IgG4-RD, SLE, MS and wAIHA.</w:t>
      </w:r>
    </w:p>
    <w:p>
      <w:pPr>
        <w:spacing w:after="0" w:line="9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 first patent family specifically covers the composition of matter of obexelimab and includes six issued patents and two pending applications in the United States, and 21 issued foreign patents in Australia, Hong Kong, India, Israel and various European countries including Belgium, Denmark, France, Germany, Ireland, Italy, Latvia, Lithuania, Luxembourg, Monaco, Netherlands, Spain, Sweden, Switzerland, and UK. The 20-year statutory term for the patents issued in this family expires in May 2028, excluding any extension of patent term that may be available. A second patent family is directed to obexelimab’s mechanism of action and includes one issued patent and one pending application in the United States, four pending applications in Canada, Europe and Japan, and 19 issued patents in Japan and European countries including Austria, Belgium, Denmark, France, Germany, Ireland, Italy, Netherlands, Norway, Poland, Portugal, Sweden, Turkey and UK. The 20-year statutory term for any patents issued in this family expires in June 2037, excluding any extension of patent term that may be available. A third patent family is directed to the use of biomarkers for treating autoimmune diseases (e.g., SLE) and includes one pending United States application, and 13 pending applications in Australia, Brazil, Canada, China, Eurasia, Europe, Hong Kong, Israel, Japan, South Korea, Mexico, South Africa and Taiwan. The 20-year statutory term for any patents issued in this family would</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4" w:name="page135"/>
    <w:bookmarkEnd w:id="13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expire in October 2041, excluding any extension of patent term that may be available. A fourth patent family is directed to the clinical use of obexelimab for treating IgG4-RD, currently including a pending PCT application and a Taiwanese application. The 20-year statutory term for any patents issued in this family would expire in June 2043, excluding any extension of patent term that may be available. A fifth patent family is directed to the clinical use of obexelimab for treating wAIHA, currently including a pending PCT application and a Taiwanese application. The 20-year statutory term for any patents issued in this family would expire in April 2044, excluding any extension of patent term that may be available. A sixth patent family is directed to the clinical use of obexelimab for treating MS currently including four provisional applications. Assuming the provisional applications are converted to a non-provisional application at the 12-month from priority deadline, the 20-year statutory term for any patents issued in this family would expire in October 2044, excluding any extension of patent term that may be available. A seventh patent family is directed to the SC administration of obexelimab for treating SLE currently including one provisional application. Assuming the provisional application is converted to a non-provisional application at the 12-month from priority deadline, the 20-year statutory term for any patents issued in this family would expire in January 2045, excluding any extension of patent term that may be available. An eighth patent family is directed to the manufacturing processes for obexelimab currently including one provisional application. Assuming the provisional application is converted to a non-provisional application at the 12-month from priority deadline, the 20- year statutory term for any patents issued in this family would expire in June 2045, excluding any extension of patent term that may be available. A PTE of up to five years may be available and can be applied in one of these families as appropriate.</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ZB002</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ZB002 is an anti- TNFα monoclonal antibody with the Xtend technology modified to have an extended half-life as compared to existing anti- TNFα therapies. As of June 30, 2024, we exclusively own or in-licensed two patent families covering ZB002. A first patent family specifically covers the full-length amino acid sequences of ZB002, including three issued patents in the United States, Brazil and Japan, and four pending applications in the United States, Europe, Hong Kong and Russia. The 20- year statutory term for U.S. patents in this family expires in October 2027 and any foreign patents that are in this family are expected to expire in December 2028, excluding any extension of patent term that may be available. A second patent family is directed to the formulation and dosing of ZB002 in treating autoimmune diseases currently including two provisional applications. Assuming the provisional applications are converted to a non-provisional application at the 12-month from priority deadline, the 20-year statutory term for any patents issued in this family would expire in March 2045. A PTE of up to five years may be available and can be applied in one of these families as appropriate.</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ZB004</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ZB004 is a CTLA-4-Ig fusion protein with the Xtend technology modified to have an extended half -life versus existing CTLA-4-Ig fusion protein therapies. As of June 30, 2024, we exclusively in-licensed one patent family that specifically covers the composition of matter of ZB004 and related methods of use including six issued patents and one pending application in the United States, two pending foreign applications in China and Hong Kong, and 77 issued foreign patents in Australia, Canada, China, India, Japan, South Korea and European countries including Albania, Austria, Belgium, Bulgaria, Croatia, Cyprus, Czech Republic, Denmark, Estonia, Finland, France, Germany, Greece, Hungary, Iceland, Ireland, Italy, Latvia, Lichtenstein, Lithuania, Luxembourg, Macedonia, Malta, Monaco, Netherlands, Norway, Poland, Portugal, Romania, San Marino, Serbia, Slovakia, Slovenia, Spain, Sweden, Switzerland, Turkey, and UK. The 20-year statutory term for the patents issued in this family expires in February 2031, excluding any extension of patent term that may be available. A PTE of up to five years may be available.</w:t>
      </w:r>
    </w:p>
    <w:p>
      <w:pPr>
        <w:spacing w:after="0" w:line="163" w:lineRule="exact"/>
        <w:rPr>
          <w:sz w:val="20"/>
          <w:szCs w:val="20"/>
          <w:color w:val="auto"/>
        </w:rPr>
      </w:pPr>
    </w:p>
    <w:tbl>
      <w:tblPr>
        <w:tblLayout w:type="fixed"/>
        <w:tblInd w:w="140" w:type="dxa"/>
        <w:tblCellMar>
          <w:top w:w="0" w:type="dxa"/>
          <w:left w:w="0" w:type="dxa"/>
          <w:bottom w:w="0" w:type="dxa"/>
          <w:right w:w="0" w:type="dxa"/>
        </w:tblCellMar>
      </w:tblPr>
      <w:tr>
        <w:trPr>
          <w:trHeight w:val="194"/>
        </w:trPr>
        <w:tc>
          <w:tcPr>
            <w:tcW w:w="244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i w:val="1"/>
                <w:iCs w:val="1"/>
                <w:color w:val="auto"/>
              </w:rPr>
              <w:t>Trademark Portfolio</w:t>
            </w:r>
          </w:p>
        </w:tc>
        <w:tc>
          <w:tcPr>
            <w:tcW w:w="1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72"/>
        </w:trPr>
        <w:tc>
          <w:tcPr>
            <w:tcW w:w="244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632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As of June 30, 2024, we own three federal trademark registrations for the marks</w:t>
            </w:r>
          </w:p>
        </w:tc>
        <w:tc>
          <w:tcPr>
            <w:tcW w:w="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ZENAS</w:t>
            </w:r>
          </w:p>
        </w:tc>
        <w:tc>
          <w:tcPr>
            <w:tcW w:w="1560" w:type="dxa"/>
            <w:vAlign w:val="bottom"/>
          </w:tcPr>
          <w:p>
            <w:pPr>
              <w:spacing w:after="0"/>
              <w:rPr>
                <w:sz w:val="15"/>
                <w:szCs w:val="15"/>
                <w:color w:val="auto"/>
              </w:rPr>
            </w:pPr>
          </w:p>
        </w:tc>
      </w:tr>
      <w:tr>
        <w:trPr>
          <w:trHeight w:val="190"/>
        </w:trPr>
        <w:tc>
          <w:tcPr>
            <w:tcW w:w="244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r>
      <w:tr>
        <w:trPr>
          <w:trHeight w:val="315"/>
        </w:trPr>
        <w:tc>
          <w:tcPr>
            <w:tcW w:w="244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BIOPHARMA and</w:t>
            </w:r>
          </w:p>
        </w:tc>
        <w:tc>
          <w:tcPr>
            <w:tcW w:w="472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 in the United States, four federal trademark registrations for the marks</w:t>
            </w:r>
          </w:p>
        </w:tc>
        <w:tc>
          <w:tcPr>
            <w:tcW w:w="1560" w:type="dxa"/>
            <w:vAlign w:val="bottom"/>
          </w:tcPr>
          <w:p>
            <w:pPr>
              <w:jc w:val="right"/>
              <w:ind w:right="1307"/>
              <w:spacing w:after="0"/>
              <w:rPr>
                <w:sz w:val="20"/>
                <w:szCs w:val="20"/>
                <w:color w:val="auto"/>
              </w:rPr>
            </w:pPr>
            <w:r>
              <w:rPr>
                <w:rFonts w:ascii="Times New Roman" w:cs="Times New Roman" w:eastAsia="Times New Roman" w:hAnsi="Times New Roman"/>
                <w:sz w:val="15"/>
                <w:szCs w:val="15"/>
                <w:color w:val="auto"/>
              </w:rPr>
              <w:t>,</w:t>
            </w:r>
          </w:p>
        </w:tc>
      </w:tr>
      <w:tr>
        <w:trPr>
          <w:trHeight w:val="165"/>
        </w:trPr>
        <w:tc>
          <w:tcPr>
            <w:tcW w:w="2440" w:type="dxa"/>
            <w:vAlign w:val="bottom"/>
          </w:tcPr>
          <w:p>
            <w:pPr>
              <w:ind w:left="10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ind w:left="540"/>
              <w:spacing w:after="0" w:line="165" w:lineRule="exact"/>
              <w:rPr>
                <w:sz w:val="20"/>
                <w:szCs w:val="20"/>
                <w:color w:val="auto"/>
              </w:rPr>
            </w:pPr>
            <w:r>
              <w:rPr>
                <w:rFonts w:ascii="Times New Roman" w:cs="Times New Roman" w:eastAsia="Times New Roman" w:hAnsi="Times New Roman"/>
                <w:sz w:val="15"/>
                <w:szCs w:val="15"/>
                <w:color w:val="auto"/>
              </w:rPr>
              <w:t>​</w:t>
            </w:r>
          </w:p>
        </w:tc>
      </w:tr>
      <w:tr>
        <w:trPr>
          <w:trHeight w:val="190"/>
        </w:trPr>
        <w:tc>
          <w:tcPr>
            <w:tcW w:w="3940" w:type="dxa"/>
            <w:vAlign w:val="bottom"/>
            <w:gridSpan w:val="2"/>
          </w:tcPr>
          <w:p>
            <w:pPr>
              <w:ind w:left="1940"/>
              <w:spacing w:after="0"/>
              <w:rPr>
                <w:sz w:val="20"/>
                <w:szCs w:val="20"/>
                <w:color w:val="auto"/>
              </w:rPr>
            </w:pPr>
            <w:r>
              <w:rPr>
                <w:rFonts w:ascii="Times New Roman" w:cs="Times New Roman" w:eastAsia="Times New Roman" w:hAnsi="Times New Roman"/>
                <w:sz w:val="15"/>
                <w:szCs w:val="15"/>
                <w:color w:val="auto"/>
              </w:rPr>
              <w:t>, ZENAS BIOPHARMA and</w:t>
            </w:r>
          </w:p>
        </w:tc>
        <w:tc>
          <w:tcPr>
            <w:tcW w:w="4780" w:type="dxa"/>
            <w:vAlign w:val="bottom"/>
            <w:gridSpan w:val="3"/>
          </w:tcPr>
          <w:p>
            <w:pPr>
              <w:jc w:val="right"/>
              <w:ind w:right="1147"/>
              <w:spacing w:after="0"/>
              <w:rPr>
                <w:sz w:val="20"/>
                <w:szCs w:val="20"/>
                <w:color w:val="auto"/>
              </w:rPr>
            </w:pPr>
            <w:r>
              <w:rPr>
                <w:rFonts w:ascii="Times New Roman" w:cs="Times New Roman" w:eastAsia="Times New Roman" w:hAnsi="Times New Roman"/>
                <w:sz w:val="15"/>
                <w:szCs w:val="15"/>
                <w:color w:val="auto"/>
              </w:rPr>
              <w:t>  in the EU, and six federal trademark registrations for</w:t>
            </w:r>
          </w:p>
        </w:tc>
      </w:tr>
      <w:tr>
        <w:trPr>
          <w:trHeight w:val="527"/>
        </w:trPr>
        <w:tc>
          <w:tcPr>
            <w:tcW w:w="2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80" w:type="dxa"/>
            <w:vAlign w:val="bottom"/>
          </w:tcPr>
          <w:p>
            <w:pPr>
              <w:jc w:val="right"/>
              <w:ind w:right="1787"/>
              <w:spacing w:after="0"/>
              <w:rPr>
                <w:sz w:val="20"/>
                <w:szCs w:val="20"/>
                <w:color w:val="auto"/>
              </w:rPr>
            </w:pPr>
            <w:r>
              <w:rPr>
                <w:rFonts w:ascii="Times New Roman" w:cs="Times New Roman" w:eastAsia="Times New Roman" w:hAnsi="Times New Roman"/>
                <w:sz w:val="15"/>
                <w:szCs w:val="15"/>
                <w:color w:val="auto"/>
              </w:rPr>
              <w:t>132</w:t>
            </w: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2"/>
        </w:trPr>
        <w:tc>
          <w:tcPr>
            <w:tcW w:w="24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-746125</wp:posOffset>
            </wp:positionV>
            <wp:extent cx="586105" cy="1606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6105" cy="160655"/>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-1290320</wp:posOffset>
            </wp:positionV>
            <wp:extent cx="160655" cy="167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60655" cy="167640"/>
                    </a:xfrm>
                    <a:prstGeom prst="rect">
                      <a:avLst/>
                    </a:prstGeom>
                    <a:noFill/>
                  </pic:spPr>
                </pic:pic>
              </a:graphicData>
            </a:graphic>
          </wp:anchor>
        </w:drawing>
        <w:drawing>
          <wp:anchor simplePos="0" relativeHeight="251657728" behindDoc="1" locked="0" layoutInCell="0" allowOverlap="1">
            <wp:simplePos x="0" y="0"/>
            <wp:positionH relativeFrom="column">
              <wp:posOffset>1506855</wp:posOffset>
            </wp:positionH>
            <wp:positionV relativeFrom="paragraph">
              <wp:posOffset>-899160</wp:posOffset>
            </wp:positionV>
            <wp:extent cx="271780" cy="977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1780" cy="97790"/>
                    </a:xfrm>
                    <a:prstGeom prst="rect">
                      <a:avLst/>
                    </a:prstGeom>
                    <a:noFill/>
                  </pic:spPr>
                </pic:pic>
              </a:graphicData>
            </a:graphic>
          </wp:anchor>
        </w:drawing>
        <w:drawing>
          <wp:anchor simplePos="0" relativeHeight="251657728" behindDoc="1" locked="0" layoutInCell="0" allowOverlap="1">
            <wp:simplePos x="0" y="0"/>
            <wp:positionH relativeFrom="column">
              <wp:posOffset>4569460</wp:posOffset>
            </wp:positionH>
            <wp:positionV relativeFrom="paragraph">
              <wp:posOffset>-969010</wp:posOffset>
            </wp:positionV>
            <wp:extent cx="160655" cy="167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60655" cy="167640"/>
                    </a:xfrm>
                    <a:prstGeom prst="rect">
                      <a:avLst/>
                    </a:prstGeom>
                    <a:noFill/>
                  </pic:spPr>
                </pic:pic>
              </a:graphicData>
            </a:graphic>
          </wp:anchor>
        </w:drawing>
        <w:drawing>
          <wp:anchor simplePos="0" relativeHeight="251657728" behindDoc="1" locked="0" layoutInCell="0" allowOverlap="1">
            <wp:simplePos x="0" y="0"/>
            <wp:positionH relativeFrom="column">
              <wp:posOffset>2476500</wp:posOffset>
            </wp:positionH>
            <wp:positionV relativeFrom="paragraph">
              <wp:posOffset>-690245</wp:posOffset>
            </wp:positionV>
            <wp:extent cx="271780" cy="1047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71780" cy="10477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5" w:name="page136"/>
    <w:bookmarkEnd w:id="135"/>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267970</wp:posOffset>
            </wp:positionV>
            <wp:extent cx="271780" cy="1047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71780" cy="10477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7"/>
              </w:rPr>
              <w:t>the​ marks ZENAS BIOPHARMA, and</w:t>
            </w:r>
          </w:p>
        </w:tc>
        <w:tc>
          <w:tcPr>
            <w:tcW w:w="342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 in China. We also own three allowed federal</w:t>
            </w:r>
          </w:p>
        </w:tc>
        <w:tc>
          <w:tcPr>
            <w:tcW w:w="3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1"/>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34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5"/>
                <w:szCs w:val="15"/>
                <w:color w:val="auto"/>
              </w:rPr>
              <w:t> and ZENAS BIOPHARMA in the United</w:t>
            </w:r>
          </w:p>
        </w:tc>
        <w:tc>
          <w:tcPr>
            <w:tcW w:w="3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9"/>
        </w:trPr>
        <w:tc>
          <w:tcPr>
            <w:tcW w:w="2340" w:type="dxa"/>
            <w:vAlign w:val="bottom"/>
          </w:tcPr>
          <w:p>
            <w:pPr>
              <w:spacing w:after="0" w:line="139" w:lineRule="exact"/>
              <w:rPr>
                <w:sz w:val="20"/>
                <w:szCs w:val="20"/>
                <w:color w:val="auto"/>
              </w:rPr>
            </w:pPr>
            <w:r>
              <w:rPr>
                <w:rFonts w:ascii="Times New Roman" w:cs="Times New Roman" w:eastAsia="Times New Roman" w:hAnsi="Times New Roman"/>
                <w:sz w:val="15"/>
                <w:szCs w:val="15"/>
                <w:color w:val="auto"/>
              </w:rPr>
              <w:t>trademark applications for the marks</w:t>
            </w:r>
          </w:p>
        </w:tc>
        <w:tc>
          <w:tcPr>
            <w:tcW w:w="640" w:type="dxa"/>
            <w:vAlign w:val="bottom"/>
            <w:vMerge w:val="continue"/>
          </w:tcPr>
          <w:p>
            <w:pPr>
              <w:spacing w:after="0"/>
              <w:rPr>
                <w:sz w:val="12"/>
                <w:szCs w:val="12"/>
                <w:color w:val="auto"/>
              </w:rPr>
            </w:pPr>
          </w:p>
        </w:tc>
        <w:tc>
          <w:tcPr>
            <w:tcW w:w="3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States, one pending federal trademark application for the mark</w:t>
            </w:r>
          </w:p>
        </w:tc>
        <w:tc>
          <w:tcPr>
            <w:tcW w:w="2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in China, two pending federal</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trademark applications for the mark</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and</w:t>
            </w:r>
          </w:p>
        </w:tc>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 in the United States, and two pending federal</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trademark applications for the mark</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and</w:t>
            </w:r>
          </w:p>
        </w:tc>
        <w:tc>
          <w:tcPr>
            <w:tcW w:w="10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 in the EU.</w:t>
            </w:r>
          </w:p>
        </w:tc>
        <w:tc>
          <w:tcPr>
            <w:tcW w:w="2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-1115695</wp:posOffset>
            </wp:positionV>
            <wp:extent cx="244475" cy="838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44475" cy="83820"/>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-975995</wp:posOffset>
            </wp:positionV>
            <wp:extent cx="802005" cy="167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02005" cy="167640"/>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-704215</wp:posOffset>
            </wp:positionV>
            <wp:extent cx="160655" cy="167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60655" cy="167640"/>
                    </a:xfrm>
                    <a:prstGeom prst="rect">
                      <a:avLst/>
                    </a:prstGeom>
                    <a:noFill/>
                  </pic:spPr>
                </pic:pic>
              </a:graphicData>
            </a:graphic>
          </wp:anchor>
        </w:drawing>
        <w:drawing>
          <wp:anchor simplePos="0" relativeHeight="251657728" behindDoc="1" locked="0" layoutInCell="0" allowOverlap="1">
            <wp:simplePos x="0" y="0"/>
            <wp:positionH relativeFrom="column">
              <wp:posOffset>2162175</wp:posOffset>
            </wp:positionH>
            <wp:positionV relativeFrom="paragraph">
              <wp:posOffset>-403860</wp:posOffset>
            </wp:positionV>
            <wp:extent cx="104775" cy="1257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4775" cy="125730"/>
                    </a:xfrm>
                    <a:prstGeom prst="rect">
                      <a:avLst/>
                    </a:prstGeom>
                    <a:noFill/>
                  </pic:spPr>
                </pic:pic>
              </a:graphicData>
            </a:graphic>
          </wp:anchor>
        </w:drawing>
        <w:drawing>
          <wp:anchor simplePos="0" relativeHeight="251657728" behindDoc="1" locked="0" layoutInCell="0" allowOverlap="1">
            <wp:simplePos x="0" y="0"/>
            <wp:positionH relativeFrom="column">
              <wp:posOffset>2434590</wp:posOffset>
            </wp:positionH>
            <wp:positionV relativeFrom="paragraph">
              <wp:posOffset>-389890</wp:posOffset>
            </wp:positionV>
            <wp:extent cx="306705" cy="1117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06705" cy="111760"/>
                    </a:xfrm>
                    <a:prstGeom prst="rect">
                      <a:avLst/>
                    </a:prstGeom>
                    <a:noFill/>
                  </pic:spPr>
                </pic:pic>
              </a:graphicData>
            </a:graphic>
          </wp:anchor>
        </w:drawing>
        <w:drawing>
          <wp:anchor simplePos="0" relativeHeight="251657728" behindDoc="1" locked="0" layoutInCell="0" allowOverlap="1">
            <wp:simplePos x="0" y="0"/>
            <wp:positionH relativeFrom="column">
              <wp:posOffset>2162175</wp:posOffset>
            </wp:positionH>
            <wp:positionV relativeFrom="paragraph">
              <wp:posOffset>-153035</wp:posOffset>
            </wp:positionV>
            <wp:extent cx="104775" cy="1257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4775" cy="125730"/>
                    </a:xfrm>
                    <a:prstGeom prst="rect">
                      <a:avLst/>
                    </a:prstGeom>
                    <a:noFill/>
                  </pic:spPr>
                </pic:pic>
              </a:graphicData>
            </a:graphic>
          </wp:anchor>
        </w:drawing>
        <w:drawing>
          <wp:anchor simplePos="0" relativeHeight="251657728" behindDoc="1" locked="0" layoutInCell="0" allowOverlap="1">
            <wp:simplePos x="0" y="0"/>
            <wp:positionH relativeFrom="column">
              <wp:posOffset>2434590</wp:posOffset>
            </wp:positionH>
            <wp:positionV relativeFrom="paragraph">
              <wp:posOffset>-139065</wp:posOffset>
            </wp:positionV>
            <wp:extent cx="306705" cy="1117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06705" cy="111760"/>
                    </a:xfrm>
                    <a:prstGeom prst="rect">
                      <a:avLst/>
                    </a:prstGeom>
                    <a:noFill/>
                  </pic:spPr>
                </pic:pic>
              </a:graphicData>
            </a:graphic>
          </wp:anchor>
        </w:drawing>
      </w:r>
    </w:p>
    <w:p>
      <w:pPr>
        <w:spacing w:after="0" w:line="20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Manufacturing</w:t>
      </w:r>
    </w:p>
    <w:p>
      <w:pPr>
        <w:spacing w:after="0" w:line="12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do not own or operate, and currently have no plans to establish, any manufacturing facilities. We have engaged, and currently rely on, a single third-party CMO, WuXi Biologics, for the supply of our product candidates for use in our preclinical studies and clinical trials. Should our CMO become unavailable to us for any reason, we believe that there are a number of potential replacements, although we would incur delay and cost in identifying and qualifying such replacements.</w:t>
      </w:r>
    </w:p>
    <w:p>
      <w:pPr>
        <w:spacing w:after="0" w:line="10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maintain a master services agreement with Wuxi Biologics pursuant to which it provides biologics development and manufacturing services on a per-project basis. We may terminate the master services agreement at any time for convenience in accordance with the terms of the agreement. We may also terminate the master services agreement in the event that Wuxi Biologics does not obtain or maintain any material governmental license or approval in accordance with the terms of the agreement. The agreement includes confidentiality and intellectual property provisions to protect our proprietary rights related to our product candidates. While any reduction or halt in supply from the CMO could limit our ability to develop our product candidates until a replacement CMO is found and qualified, we believe that we have sufficient supply to support our current clinical trial programs. See “Risk Factors” for additional information.</w:t>
      </w:r>
    </w:p>
    <w:p>
      <w:pPr>
        <w:spacing w:after="0" w:line="94"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If any of our product candidates receives marketing approval, we intend to rely on third-party CMOs for commercial manufacturing. As our product candidates advance through development, we expect to enter into longer-term commercial supply agreements to fulfill and secure our production needs. We are in the process of establishing redundant manufacturing capacity for commercial drug substance and drug product at WuXi Biologics’ facilities in Europe. In addition, we are currently evaluating potential new contract manufacturing organizations not affiliated with WuXi Biologics in the United States and the EU to establish additional sources of supply for drug substance and drug product for both commercial and clinical use. We currently plan to select the additional suppliers for drug substance and drug product in the second half of 2024. For the medical device component of our product (i.e., prefilled syringe or autoinjector), we plan to utilize device assembly facilities in the United States or EU for the global supply. While the drug substances used in our product candidates are manufactured by more than one supplier, we rely on a single third-party manufacturer to manufacture and supply the drug substances, drug products, raw materials, samples, components and other materials for our product candidates. In the event it is necessary or advisable to acquire supplies from alternative sources, we might not be able to obtain them at reasonable prices, or at all. It could also require significant time and expense to transfer our manufacturing processes to another company. If we need to change manufacturers for any reason, we will be required to verify that the new manufacturer maintains facilities and procedures that comply with applicable quality standards, regulations and guidelines, and we may be required to conduct additional studies.</w:t>
      </w:r>
    </w:p>
    <w:p>
      <w:pPr>
        <w:spacing w:after="0" w:line="103"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Additionally, to adequately meet our projected manufacturing needs for commercializing obexelimab and our other product candidates, our CMOs will need to scale-up production or we will need to secure additional suppliers. Processes for producing obexelimab drug substances and drug product for commercial supply have been developed and defined. We believe the drug substance and drug product processes for obexelimab and our other product candidates are amenable to scale-up.</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Sales, Marketing and Commercialization</w:t>
      </w:r>
    </w:p>
    <w:p>
      <w:pPr>
        <w:spacing w:after="0" w:line="126"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None of our product candidates have been approved for sale in any country. We hold global development and commercialization rights to obexelimab, excluding Japan, Taiwan, South Korea, Singapore, Hong Kong</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6" w:name="page137"/>
    <w:bookmarkEnd w:id="13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and Australia, which we have licensed to BMS. We also hold the global development and commercialization rights to ZB002 and ZB004. We hold development and commercialization rights to ZB001 and ZB005 in greater China only.</w:t>
      </w:r>
    </w:p>
    <w:p>
      <w:pPr>
        <w:spacing w:after="0" w:line="9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If our product candidates receive FDA approval, we intend to build our own commercialization infrastructure in the United States and Europe, to market and sell our products. For Asia and other geographies, we plan to conduct the initial clinical development work and then seek to enter into an agreement with a third party to complete the clinical development work, obtain regulatory approval, and ultimately commercialize in these territories. However, we intend to continually evaluate the economics of potentially commercializing our product candidates ourselves, if approved, versus other strategic commercialization arrangements.</w:t>
      </w:r>
    </w:p>
    <w:p>
      <w:pPr>
        <w:spacing w:after="0" w:line="104"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currently have no sales, marketing or commercialization capabilities and have no experience as a company performing such activities. However, we intend to build the necessary capabilities and infrastructure over time as our product candidates continue to advance through clinical development. We believe that clinical data, the size of the market opportunity and the size of the required commercial infrastructure will influence our commercialization plans and decision making.</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115"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biotechnology and pharmaceutical industries are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large and specialty pharmaceutical and biotechnology companies, academic research institutions and governmental agencies, as well as public and private research institutions. Any product candidates that we successfully develop and commercialize, if approved, will compete with existing therapies and new therapies that may become available in the future.</w:t>
      </w:r>
    </w:p>
    <w:p>
      <w:pPr>
        <w:spacing w:after="0" w:line="10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key competitive factors affecting the success of all of our product candidates, if approved, are likely to be their safety, efficacy, convenience, price, the level of generic competition, the existence of therapeutic alternatives and the availability of coverage and reimbursement from government and other third-party payors.</w:t>
      </w:r>
    </w:p>
    <w:p>
      <w:pPr>
        <w:spacing w:after="0" w:line="27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70"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are currently developing obexelimab for IgG4-RD, MS, SLE and wAIHA. There are currently no approved products for IgG4-RD or wAIHA. A number of products are approved for MS and two products are approved for SLE. However, there are a number of product candidates in clinical development by other companies for IgG4-RD, MS, SLE and wAIHA which may become available in the future. Potentially competitive therapies by indication fall primarily into the following groups of treatment:</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IgG4-RD:</w:t>
      </w:r>
    </w:p>
    <w:p>
      <w:pPr>
        <w:spacing w:after="0" w:line="104" w:lineRule="exact"/>
        <w:rPr>
          <w:sz w:val="20"/>
          <w:szCs w:val="20"/>
          <w:color w:val="auto"/>
        </w:rPr>
      </w:pPr>
    </w:p>
    <w:p>
      <w:pPr>
        <w:ind w:left="1600" w:right="1179" w:hanging="143"/>
        <w:spacing w:after="0" w:line="269" w:lineRule="auto"/>
        <w:tabs>
          <w:tab w:leader="none" w:pos="1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UPLIZNA (inebilizumab-cdon), an anti-CD19 antibody being developed by Amgen Inc., for which Amgen announced its intention to file a BLA based on the results of its Phase 3 clinical trial;</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small molecule Bruton’s tyrosine kinase (“BTK”) inhibitor in a Phase 2 clinical trial, being developed by Sanofi S.A.;</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clinical or preclinical small molecules, biologics (including cell-based therapies), or other therapeutic modalities that may be or are being developed for IgG4-RD; and</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7" w:name="page138"/>
    <w:bookmarkEnd w:id="13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hanging="143"/>
        <w:spacing w:after="0" w:line="252" w:lineRule="auto"/>
        <w:tabs>
          <w:tab w:leader="none" w:pos="160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therapies such as corticosteroids and immunosuppressants like cyclophosphamide and rituximab have been used off-label. While these other therapies have not been shown to be effective, and carry significant side effects, their off-label use could reduce or delay treatment in the addressable patient population for obexelimab.</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MS:</w:t>
      </w:r>
    </w:p>
    <w:p>
      <w:pPr>
        <w:spacing w:after="0" w:line="93" w:lineRule="exact"/>
        <w:rPr>
          <w:sz w:val="20"/>
          <w:szCs w:val="20"/>
          <w:color w:val="auto"/>
        </w:rPr>
      </w:pPr>
    </w:p>
    <w:p>
      <w:pPr>
        <w:jc w:val="both"/>
        <w:ind w:left="1600" w:right="1179" w:hanging="143"/>
        <w:spacing w:after="0" w:line="252" w:lineRule="auto"/>
        <w:tabs>
          <w:tab w:leader="none" w:pos="16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approved monoclonal antibody biologic therapies including anti-CD20 antibodies such as Ocrevus marketed by F. Hoffmann-La Roche Ltd., Kesimpta marketed by Novartis AG, Briumvi marketed by TG Therapeutics Inc., an anti-CD52 antibody Lemtrada marketed by Sanofi S.A., and an α4-integrin antibody Tysabri marketed by Biogen;</w:t>
      </w:r>
    </w:p>
    <w:p>
      <w:pPr>
        <w:spacing w:after="0" w:line="55"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approved non-antibody-based injectable therapies including interferon beta-1a therapies such as Avonex marketed by Biogen, Plegridy marketed by Biogen, Betaseron marketed by Bayer AG, Extavia marketed by Novartis AG, Rebif marketed by Merck KGaA, and myelin basic protein-based therapies such as Copaxone marketed by Teva Neuroscience Inc.;</w:t>
      </w:r>
    </w:p>
    <w:p>
      <w:pPr>
        <w:spacing w:after="0" w:line="44"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approved small molecule oral therapies including Aubagio marketed by Genzyme Corporation, Bafiertam marketed by Banner Life Sciences, Gilenya marketed by Novartis AG, Mavenclad marketed by Merck KGaA, Mayzent marketed by Novartis AG, Ponvory marketed by Janssen Pharmaceuticals, Inc., Tascenso ODT marketed by Cycle Pharmaceuticals Ltd., Tecfidera marketed by Biogen, Vumerity marketed by Biogen, and Zeposia marketed by Bristol Myers Squibb Company;</w:t>
      </w:r>
    </w:p>
    <w:p>
      <w:pPr>
        <w:spacing w:after="0" w:line="57"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three small molecule BTK inhibitor programs in Phase 3 development by Sanofi S.A., Novartis AG, and Hoffmann-La Roche Ltd.;</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vidofludimus calcium program in Phase 3 development by Immunic Therapeutics Inc.;</w:t>
      </w:r>
    </w:p>
    <w:p>
      <w:pPr>
        <w:spacing w:after="0" w:line="69"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small molecule selective tyrosine kinase inhibitor program in Phase 3 development by AB Science;</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anti-CD40/CD40L antibody in a Phase 3 clinical trial being developed by Sanofi S.A;</w:t>
      </w:r>
    </w:p>
    <w:p>
      <w:pPr>
        <w:spacing w:after="0" w:line="80"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several Phase 2 clinical trial programs evaluating multiple targets / mechanisms of action including but not limited to BTK, M1R (muscarinic type 1 receptor), RIPK1 (receptor-interacting serine/threonine-protein Kinase 1), BLyS/APRIL, MOG (myelin oligodendrocyte glycoprotein), VAA-4 (very late antigen 4), undisclosed targets / mechanisms and allogenic, autologous, mesenchymal, and CAR-T cell therapies;</w:t>
      </w:r>
    </w:p>
    <w:p>
      <w:pPr>
        <w:spacing w:after="0" w:line="4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clinical or preclinical disease modifying small molecules, biologics, or other therapeutic modalities that may be or are being developed for MS; and</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approved generic and biosimilar therapies.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SLE:</w:t>
      </w:r>
    </w:p>
    <w:p>
      <w:pPr>
        <w:spacing w:after="0" w:line="93" w:lineRule="exact"/>
        <w:rPr>
          <w:sz w:val="20"/>
          <w:szCs w:val="20"/>
          <w:color w:val="auto"/>
        </w:rPr>
      </w:pPr>
    </w:p>
    <w:p>
      <w:pPr>
        <w:jc w:val="both"/>
        <w:ind w:left="1600" w:right="1179" w:hanging="143"/>
        <w:spacing w:after="0" w:line="257" w:lineRule="auto"/>
        <w:tabs>
          <w:tab w:leader="none" w:pos="16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approved therapies including an anti-BLyS antibody Benlysta marketed by GSK plc., an anti-IFNAR (type I interferon receptor) antibody Saphnelo marketed by AstraZeneca plc., and a dual antagonist of BlyS and APRIL Tai’ai approved and marketed only in China, by RemeGen Co., Ltd.;</w:t>
      </w:r>
    </w:p>
    <w:p>
      <w:pPr>
        <w:spacing w:after="0" w:line="39"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anti-CD40L (CD40 ligand) pegylated Fab (antigen binding fragment) program in a Phase 3 clinical trial, being developed by UCB Biopharma SRL;</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anti-BDCA2 (blood dendritic cell antigen 2) antibody program in Phase 3 clinical trials, being conducted by Biogen Inc.;</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dual antagonist of BLyS and APRIL program in a Phase 3 (ex-China) clinical trial, being developed by RemeGen Co., Ltd.;</w:t>
      </w:r>
    </w:p>
    <w:p>
      <w:pPr>
        <w:spacing w:after="0" w:line="3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two anti-CD20 antibody programs in Phase 3 clinical trials, being developed by F. Hoffmann-La Roche Ltd. and Beijing Mabworks Biotech Co., Ltd., the latter in China only;</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small molecule tyrosine kinase 2 (“TYK2”) inhibitor in Phase 3 clinical trials, being developed by Bristol Myers Squibb Company;</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sphingosine-1-phosphate 1 receptor modulator in Phase 3 clinical trials, being developed by Idorsia Pharmaceuticals Ltd.;</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8" w:name="page139"/>
    <w:bookmarkEnd w:id="13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hanging="143"/>
        <w:spacing w:after="0"/>
        <w:tabs>
          <w:tab w:leader="none" w:pos="16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small molecule Janus kinase inhibitor in Phase 3 clinical trials, being developed by AbbVie Inc.;</w:t>
      </w:r>
    </w:p>
    <w:p>
      <w:pPr>
        <w:spacing w:after="0" w:line="113"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anti-BAFF-R antibody program in Phase 3 clinical trials, being developed by Novartis AG;</w:t>
      </w:r>
    </w:p>
    <w:p>
      <w:pPr>
        <w:spacing w:after="0" w:line="102"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several Phase 2 clinical trial programs evaluating multiple targets / mechanisms of action including but not limited to TLR7/8, CD28/ICOS, CD40/CD40L, BAFF/APRIL, IL2, CRL4-CRBN, IFNB1, BTLA, FcRn, TYK2, BTK, CD22, CD32B/CD79B, CD19, CD19/CD20/BCMA-CAR T programs and undisclosed targets / mechanisms;</w:t>
      </w:r>
    </w:p>
    <w:p>
      <w:pPr>
        <w:spacing w:after="0" w:line="77"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clinical or preclinical small molecules, biologics, or other therapeutic modalities that may be or are being developed for SLE; and</w:t>
      </w:r>
    </w:p>
    <w:p>
      <w:pPr>
        <w:spacing w:after="0" w:line="74"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therapies such as antimalarials (e.g., hydroxychloroquine), corticosteroid, and immunosuppressants (e.g., cyclophosphamide or rituximab) have been used off-label. While these other therapies have not been shown to be effective, and carry significant side effects, their off-label use could reduce or delay treatment in the addressable patient population for obexelimab.</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wAIHA:</w:t>
      </w:r>
    </w:p>
    <w:p>
      <w:pPr>
        <w:spacing w:after="0" w:line="93" w:lineRule="exact"/>
        <w:rPr>
          <w:sz w:val="20"/>
          <w:szCs w:val="20"/>
          <w:color w:val="auto"/>
        </w:rPr>
      </w:pPr>
    </w:p>
    <w:p>
      <w:pPr>
        <w:ind w:left="1600" w:right="1179" w:hanging="143"/>
        <w:spacing w:after="0" w:line="269" w:lineRule="auto"/>
        <w:tabs>
          <w:tab w:leader="none" w:pos="16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anti-BAFF-R (B cell activating factor receptor) antibody program in a Phase 3 clinical trial, being developed by Novartis AG;</w:t>
      </w:r>
    </w:p>
    <w:p>
      <w:pPr>
        <w:spacing w:after="0" w:line="63"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anti-FcRn (neonatal fragment crystallizable receptor) antibody program in a Phase 2/3 clinical trial, being developed by Johnson &amp; Johnson;</w:t>
      </w:r>
    </w:p>
    <w:p>
      <w:pPr>
        <w:spacing w:after="0" w:line="74"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small molecule spleen tyrosine kinase inhibitor in a Phase 2/3 clinical trial in China, being developed by HUTCHMED (China) Ltd.;</w:t>
      </w:r>
    </w:p>
    <w:p>
      <w:pPr>
        <w:spacing w:after="0" w:line="63"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small molecule BTK inhibitor in a Phase 2 clinical trial, being developed by Sanofi S.A.;</w:t>
      </w:r>
    </w:p>
    <w:p>
      <w:pPr>
        <w:spacing w:after="0" w:line="10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dual monoclonal antibody antagonist of BlyS and APRIL in Phase 1/2 clinical trial by Alpine Immune Sciences, Inc;</w:t>
      </w:r>
    </w:p>
    <w:p>
      <w:pPr>
        <w:spacing w:after="0" w:line="63"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clinical or preclinical small molecules, biologics, or other therapeutic modalities that may be or are being developed for wAIHA; and</w:t>
      </w:r>
    </w:p>
    <w:p>
      <w:pPr>
        <w:spacing w:after="0" w:line="74"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therapies such as corticosteroid, immunosuppressants (e.g., cyclophosphamide or rituximab), intravenous immunoglobulin, and splenectomy have been used off-label. While these other therapies have not been shown to be effective, and carry significant side effects, their off-label use could reduce or delay treatment in the addressable patient population for obexelimab.</w:t>
      </w:r>
    </w:p>
    <w:p>
      <w:pPr>
        <w:spacing w:after="0" w:line="89"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are also developing ZB002, an anti-TNFα therapy with an extended half-life. The TNFα-binding region within the fragment variable (Fv) domain has an identical amino acid sequence to Humira (adalimumab). The fragment crystallizable (Fc) domain consists of a hybrid immunoglobulin (IgG1/2) constant region containing amino acid substitutions for extended half-life. There are 5 FDA-approved innovator anti-TNF programs for various indications including Humira marketed by AbbVie Biotechnology Ltd., Enbrel marketed by Amgen Inc., Remicade, marketed by Janssen Biotech, Inc., Simponi, marketed by Janssen Biotech, Inc., and Cimzia, marketed by UCB, Inc. In addition to these five innovator anti-TNF programs, a number of biosimilar anti-TNF programs are FDA-approved including Humira biosimilars (such as Amjevita marketed by Amgen Inc., Abrilada marketed by Pfizer Inc., Cyltezo marketed by Boehringer Ingelheim Pharmaceuticals, Inc., Hadlima Organon group of companies, Hulio marketed by Veritas Inc., Hyrimoz marketed by Sandoz Inc., Idacio marketed by Fresenius Kabi USA, LLC, Yuflyma marketed by Celltrion Healthcare Co., Ltd., and Yusimry marketed by Coherus BioSciences, Inc.).</w:t>
      </w:r>
    </w:p>
    <w:p>
      <w:pPr>
        <w:spacing w:after="0" w:line="109"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ZB004 is a CTLA-4-Ig fusion protein with an extended half-life and potential improved potency versus existing CTLA-4-Ig fusion protein therapies. There are two marketed CTLA-4-Ig fusion protein therapies. Orencia, marketed by BMS, is FDA-approved for rheumatoid arthritis, polyarticular juvenile idiopathic arthritis, and prophylaxis of acute graft versus host disease. Nulojix, marketed by BMS, is FDA-approved for prophylaxis of organ rejection in adult patients receiving a kidney transplant. One Orencia biosimilar program recently entered Phase 1 clinical development.</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9" w:name="page140"/>
    <w:bookmarkEnd w:id="13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Government Regulation</w:t>
      </w:r>
    </w:p>
    <w:p>
      <w:pPr>
        <w:spacing w:after="0" w:line="12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Government authorities at the federal, state and local level in the United States and in other countries and jurisdictions, including the EU,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biological products such as those we are developing.</w:t>
      </w:r>
    </w:p>
    <w:p>
      <w:pPr>
        <w:spacing w:after="0" w:line="101"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along with our CMOs, CROs and third-party vendors, will be required to satisfy these requirements in each of the countries in which we wish to conduct studies or seek approval or licensure of our product candidates. The processes for obtaining marketing approvals in the United States and in foreign countries and jurisdictions, along with subsequent compliance with applicable statutes, regulations, and other regulatory requirements, require the expenditure of substantial time and financial resources.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Licensure and Regulation of Biologics in the United States</w:t>
      </w:r>
    </w:p>
    <w:p>
      <w:pPr>
        <w:spacing w:after="0" w:line="117"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are currently developing product candidates that are biological products, or biologics. In the United States, where we are initially focusing our product development, the FDA regulates biologics under the FDCA and the Public Health Service Act (“PHSA”), and their implementing regulations. Biologics are also subject to other federal, state and local statutes and regulations. Our product candidates are early-stage and have not been approved for marketing in the United States.</w:t>
      </w:r>
    </w:p>
    <w:p>
      <w:pPr>
        <w:spacing w:after="0" w:line="101"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An applicant seeking approval to market and distribute a new biologic in the United States must satisfactorily complete each of the following steps:</w:t>
      </w:r>
    </w:p>
    <w:p>
      <w:pPr>
        <w:spacing w:after="0" w:line="53" w:lineRule="exact"/>
        <w:rPr>
          <w:sz w:val="20"/>
          <w:szCs w:val="20"/>
          <w:color w:val="auto"/>
        </w:rPr>
      </w:pPr>
    </w:p>
    <w:p>
      <w:pPr>
        <w:ind w:left="1600" w:right="1179" w:hanging="143"/>
        <w:spacing w:after="0" w:line="269" w:lineRule="auto"/>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preclinical laboratory tests, animal studies and formulation studies performed in accordance with the FDA’s GLPs;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manufacture of the drug substance and drug product in accordance with the FDA’s cGMPs, along with required analytical and stability testing;</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submission to the FDA of an IND for human clinical testing, which must become effective before human clinical trials may begin;</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approval by an independent IRB, representing each clinical trial site before each clinical trial may be initiated;</w:t>
      </w:r>
    </w:p>
    <w:p>
      <w:pPr>
        <w:spacing w:after="0" w:line="63"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performance of adequate and well-controlled human clinical trials, in accordance with current Good Clinical Practice requirements (“cGCPs”), necessary to establish the safety, potency and purity of the product candidate for each proposed indication;</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preparation and submission to the FDA of a BLA, requesting marketing approval for one or more proposed indications, including submission of detailed information on the manufacture and composition of the product and proposed labeling;</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satisfactory completion of one or more FDA inspections of the manufacturing facility or facilities, including those of third parties, at which the product, or components thereof, are produced to assess compliance with cGMPs and to assure that the facilities, methods and controls are adequate to preserve the product’s identity, strength, quality and purity;</w:t>
      </w:r>
    </w:p>
    <w:p>
      <w:pPr>
        <w:spacing w:after="0" w:line="66"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satisfactory completion of any FDA audits of the preclinical studies and clinical trial sites to assure compliance with GLPs and cGCPs, as applicable, and the integrity of clinical data in support of the BLA;</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 of user fees under the Prescription Drug User Fee Act (“PDUFA”), unless exempted;</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FDA’s review and approval of the BLA, including consideration of the views of any FDA advisory committee, if applicable; and</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approved, compliance with any post-approval requirements, including the potential requirement to implement a REMS and any post-approval studies or other post-marketing commitments required by the FDA.</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0" w:name="page141"/>
    <w:bookmarkEnd w:id="14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Failure to comply with the applicable requirements at any time during the product development process, including preclinical testing, clinical testing, the approval process, or post-approval process, may subject an applicant to delays in the conduct of the study or regulatory review and approval, as well as administrative or judicial sanctions or other consequences. These sanctions or consequences may include, but are not limited to, the FDA’s refusal to allow an applicant to proceed with clinical testing, issuance of clinical holds for planned or ongoing studies, refusal to approve pending applications, suspension or revocation of existing product licenses or approvals, issuance of warning or untitled letters, adverse publicity, product recalls, marketing restrictions, product seizures, import detentions and refusals, total or partial suspension of manufacturing or distribution, injunctions, fines and civil or criminal investigations and penalties brought by the FDA or the Department of Justice (“DOJ”), and other governmental entities, including state agencies.</w:t>
      </w:r>
    </w:p>
    <w:p>
      <w:pPr>
        <w:spacing w:after="0" w:line="3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Preclinical Studies and Investigational New Drug Application</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Once a therapeutic product candidate is identified for development, it must undergo preclinical studies (also known as preclinical testing) before any testing may be conducted in humans. Preclinical tests include laboratory evaluations of product chemistry, formulation and stability, as well as studies to evaluate the potential for efficacy and toxicity in animals. The conduct of preclinical tests and formulation of the compounds for testing must comply with federal regulations and requirements, including GLPs. The results of the preclinical tests, together with manufacturing information, analytical data, and plans for the proposed clinical studies, are submitted to the FDA as part of an IND. Some preclinical testing may continue after an IND is submitted.</w:t>
      </w:r>
    </w:p>
    <w:p>
      <w:pPr>
        <w:spacing w:after="0" w:line="10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An IND is a request for FDA authorization to administer an investigational new drug product to humans. The IND automatically becomes effective 30 days after receipt by the FDA, unless before that time the FDA raises concerns or questions about the product or the conduct of the proposed clinical trial, including concerns that human research subjects will be exposed to unreasonable health risks. In that case, the IND sponsor and the FDA must resolve any outstanding FDA concerns before the clinical trials can begin. As a result, submission of an IND may or may not result in FDA authorization to begin a clinical trial, or to begin a clinical trial on the terms originally specified by the sponsor in the IND.</w:t>
      </w:r>
    </w:p>
    <w:p>
      <w:pPr>
        <w:spacing w:after="0" w:line="93"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At any time during the initial 30-day IND review period or while clinical trials are ongoing under the IND, the FDA may impose a partial or complete clinical hold. Clinical holds may be imposed by the FDA when there is concern for patient safety, and may be a result of new data, findings, or developments in clinical, preclinical, and/or chemistry, CMC or where there is non-compliance with regulatory requirements. This order would delay either a proposed clinical trial or cause suspension of an ongoing trial, until all outstanding concerns have been adequately addressed and the FDA has notified the company that investigations may proceed. A separate submission to an existing IND must also be made for each successive clinical trial conducted, and the FDA must grant permission, either explicitly or implicitly, by not objecting before each clinical trial can begin.</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Human Clinical Trials</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Clinical trials involve the administration of an investigational drug product to healthy volunteers or patients with the disease or condition to be treated under the supervision of qualified investigators. Clinical trials must be conducted in accordance with GCPs, which establish ethical and data integrity standards for clinical testing, as well as the requirements for informed consent.</w:t>
      </w:r>
    </w:p>
    <w:p>
      <w:pPr>
        <w:spacing w:after="0" w:line="100"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Clinical trials are conducted under protocols detailing, among other things, the objectives of the trial, dosing procedures,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89"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For clinical trials conducted in the United States, an IND is required, and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1" w:name="page142"/>
    <w:bookmarkEnd w:id="14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FDA, IRB or the trial sponsor may suspend a clinical trial at any time on various grounds, including a finding that the trial is not being conducted in accordance with GCPs or IRB requirements or that research subjects or patients are being exposed to an unacceptable health risk. In addition, some clinical trials are overseen by an independent group of qualified experts organized by the sponsor, known as a data safety monitoring board or data monitoring committee. Depending on its charter, this group may recommend continuation of the trial as planned, changes in trial conduct, or cessation of the trial at designated check points based on certain available data from the trial.</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 under an IND, FDA may accept the results of the study in support of a BLA if the study was well-designed and conducted in accordance with GCPs, and the FDA is able to validate the data through an onsite inspection if deemed necessary.</w:t>
      </w:r>
    </w:p>
    <w:p>
      <w:pPr>
        <w:spacing w:after="0" w:line="9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Clinical trials typically are conducted in three sequential phases, but the phases may overlap or be combined. Additional studies may be required after approval.</w:t>
      </w:r>
    </w:p>
    <w:p>
      <w:pPr>
        <w:spacing w:after="0" w:line="52" w:lineRule="exact"/>
        <w:rPr>
          <w:sz w:val="20"/>
          <w:szCs w:val="20"/>
          <w:color w:val="auto"/>
        </w:rPr>
      </w:pPr>
    </w:p>
    <w:p>
      <w:pPr>
        <w:jc w:val="both"/>
        <w:ind w:left="1600" w:right="1179" w:hanging="143"/>
        <w:spacing w:after="0" w:line="250" w:lineRule="auto"/>
        <w:tabs>
          <w:tab w:leader="none" w:pos="160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Phase 1 clinical trials are initially conducted in a limited population of healthy subjects to test the product candidate for safety, including adverse effects, dose tolerance, absorption, metabolism, distribution, excretion and PD. In the case of some products designed to address severe or life-threatening diseases, initial human testing is often conducted in patients with the disease, especially when the product may be too inherently toxic to ethically administer to healthy volunteers.</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Phase 2 clinical trials are generally conducted in a limited patient population to identify possible adverse effects and safety risks, evaluate the preliminary efficacy of the product candidate for specific targeted indications and determine dose tolerance and recommended dosage. Multiple Phase 2 clinical trials may be conducted by the sponsor to obtain information prior to beginning larger and more costly Phase 3 clinical trials.</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48" w:lineRule="auto"/>
        <w:tabs>
          <w:tab w:leader="none" w:pos="160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Phase 3 clinical trials are generally undertaken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generally referred to as “pivotal,” however, for some investigational products, Phase 2 may be considered pivotal trials if such trials are expected to provide the clinical evidence needed to support a marketing application.</w:t>
      </w:r>
    </w:p>
    <w:p>
      <w:pPr>
        <w:spacing w:after="0" w:line="27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some cases, the FDA may approve a BLA for a product but require the sponsor to conduct additional clinical trials to further assess the product’s safety and effectiveness after approval. Such post-approval trials are typically referred to as confirmatory studies, or Phase 4 clinical trials. These studies are used to gain additional experience from the treatment of patients in the intended therapeutic indication and verify clinical benefit for products approved under accelerated approval regulations. Failure to exercise due diligence with regard to conducting required confirmatory studies could result in withdrawal of approval for products.</w:t>
      </w:r>
    </w:p>
    <w:p>
      <w:pPr>
        <w:spacing w:after="0" w:line="261"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 xml:space="preserve">While the IND is active and before approval, progress reports detailing the results of the clinical trials and preclinical studies performed since the last progress report must be submitted at least annually to the FDA and written IND safety reports must be submitted to the FDA and the investigators for serious and unexpected suspected adverse events, findings from other studies or animal or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testing that suggest a significant risk for human subjects and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99"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There are also requirements governing the reporting of ongoing clinical trials and clinical trial results to public registries. Sponsors of certain clinical trials of FDA-regulated products are required to register and disclose information about ongoing clinical trials, including information related to the drug, patient population, phase of investigation, trial sites and investigators. Sponsors are also obligated to disclose the</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2" w:name="page143"/>
    <w:bookmarkEnd w:id="14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results of completed clinical trials, other than Phase 1 clinical trials, within specific timeframes. Information about applicable clinical trials is published on www.ClinicalTrials.gov, a clinical trials database maintained by the National Institutes of Health.</w:t>
      </w:r>
    </w:p>
    <w:p>
      <w:pPr>
        <w:spacing w:after="0" w:line="94"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During the development of a new biologic, sponsors are given opportunities to meet with the FDA at certain points. These points may be prior to submission of an IND, at the end of Phase 2, and before a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Compliance with cGMPs</w:t>
      </w:r>
    </w:p>
    <w:p>
      <w:pPr>
        <w:spacing w:after="0" w:line="12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Concurrent with clinical trials, companies must finalize a process for manufacturing the product in commercial quantities in accordance with cGMPs.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products do not undergo unacceptable deterioration over their shelf life. Before approving a BLA, the FDA will typically inspect the facility or facilities where the product is manufactured. The FDA will not approve an application unless it determines that the manufacturing processes and facilities are in compliance with cGMPs and adequate to assure consistent production of the product within required specifications. The PHSA emphasizes the importance of manufacturing controls for products like biologics whose attributes cannot be precisely defined. Material changes in manufacturing equipment, location, or process post-approval, may result in additional regulatory review and approval.</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Review and Approval of a BLA</w:t>
      </w:r>
    </w:p>
    <w:p>
      <w:pPr>
        <w:spacing w:after="0" w:line="117"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results of clinical trials and preclinical studies, together with detailed information regarding the manufacturing processes, chemistry and composition of the product, the proposed labeling and other relevant information, are submitted to the FDA as part of a BLA requesting approval to market the product for one or more specified indications. Clinical and preclinical data may come from company-sponsored trials or from a number of alternative sources, including studies initiated by investigators, and the BLA must include any negative and ambiguous results, as well as positive findings. To support marketing approval, the data submitted must be sufficient in quality and quantity to establish the safety, purity, and potency of the investigational product to the satisfaction of the FDA. For most BLAs, the sponsor is required to pay a substantial application user fee at the time of submission and the sponsor of an approved BLA is subject to an annual program fee. Certain exceptions and waivers are available for some of these fees, such as an exception from the application fee for products with orphan designation and a waiver for certain small businesses.</w:t>
      </w:r>
    </w:p>
    <w:p>
      <w:pPr>
        <w:spacing w:after="0" w:line="28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FDA has 60 days after submission of the application to conduct an initial review to determine whether to accept it for filing based on the agency’s threshold determination that it is sufficiently complete to permit substantive review. If the submission has been accepted for filing, the FDA begins an in-depth review of the application. Under the goals and policies agreed to by the FDA under PDUFA, the FDA has ten months from the filing date in which to complete its initial review of a standard application and respond to the applicant, and six months for a priority review of the application. The FDA does not always meet its PDUFA goal dates for standard and priority BLAs and the review process may be significantly extended by FDA requests for additional information or clarification. For example, the review process and the PDUFA goal date may be extended by three months if the FDA requests or if the applicant otherwise provides additional data, analysis or information that FDA deems a major amendment.</w:t>
      </w:r>
    </w:p>
    <w:p>
      <w:pPr>
        <w:spacing w:after="0" w:line="10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During its review of a BLA, the FDA may refer applications for novel biological products or biological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if any. The FDA is not bound by the recommendations of an advisory committee, but it considers such recommendations carefully when making decisions.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3" w:name="page144"/>
    <w:bookmarkEnd w:id="14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On the basis of the FDA’s evaluation of the application and accompanying information, including the results of the inspection of the manufacturing facilities and any FDA audits of preclinical and clinical trial sites to assure compliance with GLPs or GCPs, the FDA may approve the BLA or issue a complete response letter. Under the PHSA, the FDA may approve a BLA if it determines the product is safe, pure, and potent, and that the facility in which the product will be manufactured, processed, packaged or held meets standards designed to assure the product’s continued safety, purity and potency. If FDA determines the product meets these standards, it may issue an approval letter authorizing the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A complete response letter may require additional clinical data and/or other significant and time-consuming requirements related to clinical trials, preclinical studies or manufacturing. Sponsors that receive a complete response letter have one year to submit information that represents a complete response to the deficiencies identified by the FDA. The FDA will then re -review the application, taking into consideration the response, and determine whether the application meets the criteria for approval. Failure to respond to a complete response letter will serve as a withdrawal of an application. The FDA will not approve an application until issues identified in any complete response letters have been addressed.</w:t>
      </w:r>
    </w:p>
    <w:p>
      <w:pPr>
        <w:spacing w:after="0" w:line="221"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If the FDA approves a new product, it may limit the approved indication(s) for use of the product. It may also require that contraindications, warnings, or precautions be included in the product labeling. In addition, the FDA may require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(also known as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w:t>
      </w:r>
    </w:p>
    <w:p>
      <w:pPr>
        <w:spacing w:after="0" w:line="101"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After approval, if there are any modifications to the approved product, including changes in the indications, dosage forms, labeling, or manufacturing processes or facilities, the sponsor may be required to submit and obtain FDA approval of a new BLA or BLA supplement, which may require the generation of additional data or the conduct of additional preclinical studies and clinical trials.</w:t>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Post-Approval Regulation</w:t>
      </w:r>
    </w:p>
    <w:p>
      <w:pPr>
        <w:spacing w:after="0" w:line="12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Upon FDA approval of a BLA, the sponsor will be required to comply with all post-approval regulatory requirements for biologics, as well as any specific post-approval requirements that the FDA has imposed as part of the product or indication’s approval process. The sponsor will be required to report certain adverse reactions and production problems to the FDA, provide updated safety and efficacy information, obtain FDA approval for certain manufacturing and labeling changes, and comply with requirements concerning advertising and promotional labeling, record-keeping, and drug supply chain security. Manufacturers and certain of their subcontractors are required to register their establishments with the FDA and certain state agencies and are subject to periodic unannounced inspections for compliance with ongoing regulatory requirements, including cGMPs. Accordingly, the sponsor and its third-party manufacturers must continue to expend time, money and effort in the areas of production and quality control, as well as pharmacovigilance activities, to maintain compliance with cGMPs and other regulatory requirements.</w:t>
      </w:r>
    </w:p>
    <w:p>
      <w:pPr>
        <w:spacing w:after="0" w:line="10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A biological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perform certain confirmatory tests on lots of some products before releasing the lots for distribution. In addition, the FDA strictly regulates the marketing, labeling, advertising and promotion of prescription drug products, including biological products. These regulations include, among other things, standards and regulations for direct-to-consumer advertising, communications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4" w:name="page145"/>
    <w:bookmarkEnd w:id="14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regarding unapproved uses, industry-sponsored scientific and educational activities and promotional activities involving the internet and social media. Promotional claims about a drug’s safety or effectiveness are prohibited before the BLA is approved. Once a BLA is approved, the sponsor can make only those claims relating to safety, efficacy, purity and potency that are in accordance with the provisions of the approved label. In the United States, healthcare professionals are generally permitted to prescribe legally available drugs for uses that are not described in the product’s labeling and that differ from those approved by the FDA. Such off-label uses are common across medical specialties. The FDA does not regulate the practice of medicine or healthcare providers’ choice of treatments. However, FDA regulations do impose rigorous restrictions on manufacturers’ communications of off-label uses. Additionally, promotional materials for prescription drug products must be submitted to the FDA in conjunction with their first use.</w:t>
      </w:r>
    </w:p>
    <w:p>
      <w:pPr>
        <w:spacing w:after="0" w:line="103"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If a company, including any agent of the company or anyone speaking on behalf of the company, is found to have promoted off-label uses, the company may become subject to adverse public relations and administrative and judicial enforcement by the FDA, the DOJ, or the Office of the Inspector General of the Department of Health and Human Services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0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8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FDA may withdraw product approval if compliance with regulatory requirements and standards is not maintained or if issues occur after the product reaches the market. Later discovery of previously unknown issues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w:t>
      </w:r>
    </w:p>
    <w:p>
      <w:pPr>
        <w:spacing w:after="0" w:line="245" w:lineRule="exact"/>
        <w:rPr>
          <w:sz w:val="20"/>
          <w:szCs w:val="20"/>
          <w:color w:val="auto"/>
        </w:rPr>
      </w:pPr>
    </w:p>
    <w:p>
      <w:pPr>
        <w:ind w:left="1600" w:right="1179" w:hanging="143"/>
        <w:spacing w:after="0" w:line="269" w:lineRule="auto"/>
        <w:tabs>
          <w:tab w:leader="none" w:pos="160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the marketing or manufacturing of the product, including total or partial suspension of production, or complete withdrawal of the product from the market;</w:t>
      </w:r>
    </w:p>
    <w:p>
      <w:pPr>
        <w:spacing w:after="0" w:line="63"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safety alerts, Dear Healthcare Provider letters, press releases or other communications containing warnings or other safety information about the product;</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warning letters or untitled letters;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refusal of the FDA to approve pending applications or supplements to approved applications, or suspension or revocation of product license approvals;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recall, seizure or detention, or refusal to permit the import or export of products;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imposition of clinical holds on ongoing clinical trials;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mandated modification of promotional materials and labeling and the issuance of corrective information;</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consent decrees, corporate integrity agreements, debarment or exclusion from federal healthcare programs; or</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fines, injunctions or the imposition of civil or criminal penalties.</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FDA Regulation of Combination Products</w:t>
      </w:r>
    </w:p>
    <w:p>
      <w:pPr>
        <w:spacing w:after="0" w:line="11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Certain therapeutic products are comprised of multiple FDA-regulated components, such as drugs and medical devices, that are physically combined and produced as a single entity, packaged together in a single package, or packaged separately but intended to be labeled for use together. These products are known as combination products. We expect that obexelimab and our other product candidates packaged in a prefilled</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5" w:name="page146"/>
    <w:bookmarkEnd w:id="14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syringe or autoinjector would be subject to regulation as a combination product if consisting of a therapeutic biologic and a delivery device.</w:t>
      </w:r>
    </w:p>
    <w:p>
      <w:pPr>
        <w:spacing w:after="0" w:line="7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constituent elements of such combination products would normally be subject to different FDA regulatory frameworks and regulated by different Centers at the FDA. Depending on the type of combination product, its approval, clearance or licensure may usually be obtained through the submission of a single marketing application; however, FDA could require separate marketing applications for individual constituent parts of the combination product which may require additional time, effort and information. Even when a single marketing application is required for a combination product, such as a BLA for a combination biologic and device product, both FDA’s Center for Biologics Evaluation and Research and FDA’s Center for Devices and Radiological Health may participate in the review. If a product candidate is considered a biologic-device combination product, the sponsor will also need to comply with post-marketing regulatory requirements, including adverse event reporting and applicable portions of the FDA’s Quality System regulation, applicable to combination products.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Fast Track, Breakthrough Therapy and Priority Review Designations</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FDA has several programs intended to facilitate and expedite development and review of new products that are intended to address an unmet medical need in the treatment of a serious or life-threatening disease or condition. These programs are referred to as fast track designation, breakthrough therapy designation and priority review designation. These designations are not mutually exclusive, and a product candidate may qualify for one or more of these programs. While these programs are intended to expedite product development and approval, they do not alter the standards for FDA approval.</w:t>
      </w:r>
    </w:p>
    <w:p>
      <w:pPr>
        <w:spacing w:after="0" w:line="9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FDA may designate a product for fast track designation if it is intended for the treatment of a serious or life- threatening disease or condition, and preclinical or clinical data demonstrate the potential to address unmet medical needs for such a disease or condition. For products with fast track designation, sponsors may have more frequent interactions with the FDA, the product is potentially eligible for accelerated approval and priority review, if relevant criteria are met, and the BLA may be eligible for “rolling review,” under which the FDA may consider sections of the BLA for review on a rolling basis before the complete application is submitted. This rolling review may be available if the FDA determines, after preliminary evaluation of clinical data submitted by the sponsor, that a product with fast track designation may be effective. The sponsor must also provide, and the FDA must approve, a schedule for the submission of the remaining sections of the BLA, and the sponsor must pay any required user fees upon submission of the first section of the BLA. The FDA’s time goal for reviewing a fast track application does not begin until the last section of the application is submitted.</w:t>
      </w:r>
    </w:p>
    <w:p>
      <w:pPr>
        <w:spacing w:after="0" w:line="9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A product may be designated as a breakthrough therapy if it is intended to treat a serious or life-threatening disease or condition and preliminary clinical evidence indicates that the product may demonstrate substantial improvement over existing therapies on one or more clinically significant endpoints. The designation includes all of the fast track program features, including eligibility for rolling review. Additionally, the FDA may take certain actions to expedite the development and review of breakthrough therapies, including holding meetings with the sponsor throughout the development process; providing timely advice to the product sponsor regarding development and approval; involving more senior staff managers in the review process; assigning a cross-disciplinary lead for the review team; and taking other steps to design the clinical trials in an efficient manner.</w:t>
      </w:r>
    </w:p>
    <w:p>
      <w:pPr>
        <w:spacing w:after="0" w:line="98"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FDA may designate a product for priority review if it is a product that treats a serious condition and, if approved, would provide a significant improvement in safety or effectiveness when compared with other available therapies. A priority review designation is intended to direct the FDA’s attention and resources to the evaluation of such applications, and to shorten the FDA’s goal for taking action on an original BLA from ten months to six months from the filing date.</w:t>
      </w:r>
    </w:p>
    <w:p>
      <w:pPr>
        <w:spacing w:after="0" w:line="97"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Fast track designation, breakthrough therapy designation, and priority review do not change the standards for approval but may expedite the development or approval process. Even if a drug qualifies for one or more of these programs, the FDA may later withdraw or rescind the designation if it decides that the drug no longer meets the conditions for qualification or decides that the time period for FDA review or approval will not be shortened.</w:t>
      </w: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6" w:name="page147"/>
    <w:bookmarkEnd w:id="14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Accelerated Approval Pathway</w:t>
      </w:r>
    </w:p>
    <w:p>
      <w:pPr>
        <w:spacing w:after="0" w:line="12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FDA may grant accelerated approval to a product candidate designed to treat a serious or life-threatening condition that provides a meaningful therapeutic advantage to patients over existing treatments based upon a determination that the product has an effect on a surrogate endpoint that is reasonably likely to predict clinical benefit. For the purposes of accelerated approval, a surrogate endpoint is a marker, such as a laboratory measurement, radiographic image, physical sign, or other measure that is thought to predict clinical benefit but is not itself a measure of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Products granted accelerated approval must meet the same statutory standards for safety and effectiveness as those granted traditional approval.</w:t>
      </w:r>
    </w:p>
    <w:p>
      <w:pPr>
        <w:spacing w:after="0" w:line="26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FDA’s approval of a candidate product under the accelerated approval pathway is usually contingent on a sponsor’s agreement to conduct post-approval confirmatory studies to verify and describe the product’s clinical benefit, and the FDA may require such studies to be underway prior to approval. Failure to conduct required post-approval studies, confirm a clinical benefit during post-marketing studies may result in the FDA’s withdrawal of the product from the market on an expedited basis. All promotional materials for therapeutic candidates approved under accelerated regulations are subject to prior review by the FDA.</w:t>
      </w:r>
    </w:p>
    <w:p>
      <w:pPr>
        <w:spacing w:after="0" w:line="3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Orphan Drug Designation and Exclusivity</w:t>
      </w:r>
    </w:p>
    <w:p>
      <w:pPr>
        <w:spacing w:after="0" w:line="11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Orphan drug designation in the United States is designed to encourage sponsors to develop products intended for treatment of rare diseases or conditions. In the United States, a rare disease or condition is statutorily defined as a condition that affects fewer than 200,000 individuals in the United States or that affects 200,000 or more individuals in the United States and for which there is no reasonable expectation that the cost of developing and making available the drug or biologic for the disease or condition will be recovered from sales of the product in the United States.</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Orphan drug designation qualifies a company for tax credits and market exclusivity for seven years following the date of the product’s marketing approval if granted by the FDA. An application for designation as an orphan product can be made any time prior to the filing of an application for approval to market the product. If orphan drug designation is granted by the FDA, the generic identity of the therapeutic agent and its potential orphan use are disclosed publicly by the FDA. After FDA grants orphan designation, the product must then go through the review and approval process like any other product.</w:t>
      </w:r>
    </w:p>
    <w:p>
      <w:pPr>
        <w:spacing w:after="0" w:line="99"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10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product for the same indication for seven years, except in certain limited circumstances. If a product designated as an orphan drug ultimately receives marketing approval for an indication broader than what was designated in its orphan drug application, it may not be entitled to exclusivity. Orphan drug exclusivity does not prevent the FDA from approving a different drug for the same disease or condition, or the same drug for a different disease or condition.</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7" w:name="page148"/>
    <w:bookmarkEnd w:id="14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spacing w:after="0" w:line="97" w:lineRule="exact"/>
        <w:rPr>
          <w:sz w:val="20"/>
          <w:szCs w:val="20"/>
          <w:color w:val="auto"/>
        </w:rPr>
      </w:pPr>
    </w:p>
    <w:p>
      <w:pPr>
        <w:jc w:val="both"/>
        <w:ind w:left="1160" w:right="1179" w:firstLine="293"/>
        <w:spacing w:after="0" w:line="229" w:lineRule="auto"/>
        <w:rPr>
          <w:sz w:val="20"/>
          <w:szCs w:val="20"/>
          <w:color w:val="auto"/>
        </w:rPr>
      </w:pPr>
      <w:r>
        <w:rPr>
          <w:rFonts w:ascii="Times New Roman" w:cs="Times New Roman" w:eastAsia="Times New Roman" w:hAnsi="Times New Roman"/>
          <w:sz w:val="15"/>
          <w:szCs w:val="15"/>
          <w:color w:val="auto"/>
        </w:rPr>
        <w:t xml:space="preserve">The FDA has historically taken the position that the scope of orphan exclusivity aligns with the approved indication or use of a product, rather than the disease or condition for which the product received orphan designation. However, in </w:t>
      </w:r>
      <w:r>
        <w:rPr>
          <w:rFonts w:ascii="Times New Roman" w:cs="Times New Roman" w:eastAsia="Times New Roman" w:hAnsi="Times New Roman"/>
          <w:sz w:val="15"/>
          <w:szCs w:val="15"/>
          <w:i w:val="1"/>
          <w:iCs w:val="1"/>
          <w:color w:val="auto"/>
        </w:rPr>
        <w:t>Catalyst Pharms., Inc. v. Becerra</w:t>
      </w:r>
      <w:r>
        <w:rPr>
          <w:rFonts w:ascii="Times New Roman" w:cs="Times New Roman" w:eastAsia="Times New Roman" w:hAnsi="Times New Roman"/>
          <w:sz w:val="15"/>
          <w:szCs w:val="15"/>
          <w:color w:val="auto"/>
        </w:rPr>
        <w:t>, 14 F.4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1299 (11</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Cir. 2021), the court disagreed with this position, holding that orphan-drug exclusivity blocked the FDA’s approval of the same drug for all uses or indications within the same orphan-designated disease. On January 24, 2023, the FDA published a notice in the Federal Register to clarify that the FDA intends to continue to apply its longstanding interpretation of the regulations to all matters outside of the scope of the </w:t>
      </w:r>
      <w:r>
        <w:rPr>
          <w:rFonts w:ascii="Times New Roman" w:cs="Times New Roman" w:eastAsia="Times New Roman" w:hAnsi="Times New Roman"/>
          <w:sz w:val="15"/>
          <w:szCs w:val="15"/>
          <w:i w:val="1"/>
          <w:iCs w:val="1"/>
          <w:color w:val="auto"/>
        </w:rPr>
        <w:t>Catalyst</w:t>
      </w:r>
      <w:r>
        <w:rPr>
          <w:rFonts w:ascii="Times New Roman" w:cs="Times New Roman" w:eastAsia="Times New Roman" w:hAnsi="Times New Roman"/>
          <w:sz w:val="15"/>
          <w:szCs w:val="15"/>
          <w:color w:val="auto"/>
        </w:rPr>
        <w:t xml:space="preserve"> order and will continue tying the scope of orphan-drug exclusivity to the uses or indications for which a drug is approved. It is unclear how future litigation, legislation, agency decisions, and administrative actions will impact the scope of the orphan drug exclusivity.</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Development in Pediatric Patients</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Under the Pediatric Research Equity Act of 2003, a BLA or BLA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A sponsor who is planning to submit a marketing application for a product that includes a new active ingredient, new indication, new dosage form, new dosing regimen or new route of administration must submit a Pediatric Study Plan (“PSP”) that contains an outline of the proposed pediatric study or studies the applicant plans to conduct, including study objectives and design, any deferral or waiver requests and other information required by regulation. The sponsor and the FDA must reach agreement on the PSP. The FDA or the applicant may request an amendment to the plan at any time.</w:t>
      </w:r>
    </w:p>
    <w:p>
      <w:pPr>
        <w:spacing w:after="0" w:line="24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FDA may, on its own initiative or at the request of the applicant, grant deferrals for submission of some or all pediatric data until after approval of the product for use in adults, or full or partial waivers from the pediatric data requirements. The FDA must send a non-compliance letter to any sponsor that fails to submit the required assessment, keep a deferral current or fails to submit a request for approval of a pediatric formulation. Unless otherwise required by regulation, the pediatric data requirements do not apply to products with orphan designation.</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Pediatric Exclusivity</w:t>
      </w:r>
    </w:p>
    <w:p>
      <w:pPr>
        <w:spacing w:after="0" w:line="11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Pediatric exclusivity is a type of non-patent marketing exclusivity in the United States and, if granted, provides for the attachment of an additional six months of marketing protection to the term of any existing regulatory exclusivity, including orphan exclusivity. This six -month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Biosimilars and Exclusivity</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ACA, which was signed into law in March 2010, included the BPCIA. The BPCIA established a regulatory scheme authorizing the FDA to approve biosimilars and interchangeable biosimilars. A biosimilar is a biological product that is highly similar to an existing FDA- licensed “reference product.” 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in any given patient, and (for products administered multiple times to an individual) that the biologic and the reference</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8" w:name="page149"/>
    <w:bookmarkEnd w:id="14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color w:val="auto"/>
        </w:rPr>
        <w:t>biologic may be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w:t>
      </w:r>
    </w:p>
    <w:p>
      <w:pPr>
        <w:spacing w:after="0" w:line="94"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The law also includes an extensive process for the innovator biologic and biosimilar manufacturer to litigate patent infringement, validity and enforceability prior to the approval of the biosimilar. Since the passage of the BPCIA, many states have passed laws or amendments to laws, including laws governing pharmacy practices, which are state regulated, to regulate the use of biosimilars.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U.S. Patent Term Restoration and Extension</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the United States, a patent claiming a new biologic product, its method of use or its method of manufacture may be eligible for a limited patent term extension under the Hatch-Waxman Amendments,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and the submission date of the BLA, plus the time between the submission date of the BLA and the ultimate approval date, except that the review period is reduced by any time during which the applicant failed to exercise due diligence.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Federal and State Data Privacy and Security Laws</w:t>
      </w:r>
    </w:p>
    <w:p>
      <w:pPr>
        <w:spacing w:after="0" w:line="128"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Under HIPAA,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or HITECH, and their regulations, including the final omnibus rule published on January 25, 2013, also imposes certain obligations on the business associates of covered entities and their covered subcontractors that obtain protected health information in providing services to or on behalf of covered entities or business associates. In addition to federal privacy regulations, there are a number of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w:t>
      </w:r>
    </w:p>
    <w:p>
      <w:pPr>
        <w:spacing w:after="0" w:line="10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Additionally, states, such as California, Virginia and Colorado have recently enacted the consumer privacy laws that grant rights to data subjects and place increased privacy and security obligations on entities handling personal data of consumers or households. While we are not currently subject to laws such as the CCPA, some observers note that the CCPA and similar legislation could mark the beginning of a trend toward more stringent privacy legislation in the United States, which could increase our potential liability and adversely affect our business.</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9" w:name="page150"/>
    <w:bookmarkEnd w:id="14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Because of the breadth of these laws and the narrowness of the statutory exceptions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we may fail to comply fully with one or more of these requirements. If our operations are found to be in violation of any applicable privacy or data security laws or regulations, we may be subject to penalties, including potentially significant criminal, civil and administrative penalties, damages, fines, imprisonment,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we collect or otherwise process personal information, we may be subject to privacy or data protection laws that are in effect in such third countries foreign laws.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Regulation and Procedures Governing Approval of Medicinal Products in Europe</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 order to market any medicinal product outside of the United States, a company must also comply with numerous and varying regulatory requirements to generate relevant data for the purpose of establishing its quality, safety and efficacy. There are specific rules governing, among other things, clinical trials, marketing authorization, commercial sales and distribution of products. Regardless of the product approval status in the United States, an applicant will need to obtain the necessary approvals granted by the comparable foreign regulatory authorities before it can commence clinical trials or marketing of a medicinal product in those countries or jurisdictions.</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processes governing approval of medicinal products in the EU and UK generally adopt a similar approach to that applied in the United States. They entail satisfactory completion of preclinical studies and adequate and well-controlled clinical trials to establish the safety and efficacy of the product for each proposed indication. Data should be generated to demonstrate that a drug substance and a drug product can be manufactured and controlled according to the pre-specified quality standards. The data relating to quality, preclinical testing and clinical trials should be submitted to the relevant competent authorities in a marketing authorization application (“MAA”) for regulatory review in order to determine whether a marketing authorization can be granted. Even if a marketing authorization has been granted, there is a need to obtain a pricing and reimbursement decision before a new medicinal product can be marketed and sold in the EU and/or the UK (as applicable).</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Clinical Trial Approval</w:t>
      </w:r>
    </w:p>
    <w:p>
      <w:pPr>
        <w:spacing w:after="0" w:line="12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Pursuant to the currently applicable Regulation (EU) No 536/2014 (CTR) and Directive 2005/28/EC on GCP, an applicant must obtain approval from the national competent authority of an EU member state in which the clinical trial is to be conducted, or in multiple member states if the clinical trial is to be conducted in a number of member states. Furthermore, the applicant can only start a clinical trial at a specific site after a research ethics committee has issued a favorable opinion. The clinical trial application must be accompanied by an investigational medicinal product dossier with supporting information prescribed by the CTR and corresponding national laws of the member states. All suspected unexpected serious adverse reactions to the investigational medicinal product that occur during the clinical trial have to be reported to the national competent authorities and research ethics committees of the member state where they occurred.</w:t>
      </w:r>
    </w:p>
    <w:p>
      <w:pPr>
        <w:spacing w:after="0" w:line="9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Pursuant to the CTR, a sponsor must submit a single application for a new clinical trial authorization through a centralized EU clinical trials portal called the Clinical Trials Information System (“CTIS”). One national competent authority (from the reporting EU member state selected by the applicant) takes the lead in validating and evaluating the application, as well as consulting and coordinating with the other concerned member states in which the clinical trial is to be conducted. If an application is rejected, it may be amended and resubmitted through CTIS. A concerned member state may in limited circumstances declare an “opt-out” from an approval and prevent the clinical trial from being conducted in that member state. By January 31, 2025, all ongoing trials approved under the CTD must comply with the CTR and information relating to such</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0" w:name="page151"/>
    <w:bookmarkEnd w:id="15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72" w:lineRule="auto"/>
        <w:rPr>
          <w:sz w:val="20"/>
          <w:szCs w:val="20"/>
          <w:color w:val="auto"/>
        </w:rPr>
      </w:pPr>
      <w:r>
        <w:rPr>
          <w:rFonts w:ascii="Times New Roman" w:cs="Times New Roman" w:eastAsia="Times New Roman" w:hAnsi="Times New Roman"/>
          <w:sz w:val="15"/>
          <w:szCs w:val="15"/>
          <w:color w:val="auto"/>
        </w:rPr>
        <w:t>clinical trials must be recorded in CTIS. The CTR aims to streamline and simplify the rules on safety reporting, and introduces enhanced transparency requirements such as mandatory submission of a summary of the clinical trial results to the CTIS.</w:t>
      </w:r>
    </w:p>
    <w:p>
      <w:pPr>
        <w:spacing w:after="0" w:line="84"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The UK formally left the EU on January 31, 2020, under the terms of the Agreement on the withdrawal of the UK of Great Britain and Northern Ireland from the EU and the European Atomic Energy Community (the EU-UK Withdrawal Agreement). Despite this, EU law continued to apply in the UK until the expiry of the transition period on 31 December 2020. Following the UK’s departure from the EU, the UK and the EU entered into a trade and cooperation agreement (“TCA”), which includes specific provisions concerning pharmaceuticals (such as the mutual recognition of cGMP inspections of manufacturing facilities for medicinal products and cGMP documents issued), but which does not provide for wholesale mutual recognition of UK and EU pharmaceutical regulations. At the point that the transition period expired, the Northern Ireland Protocol, which is contained in the EU-UK Withdrawal Agreement, took effect. The Northern Ireland Protocol makes certain provisions of EU law, including several concerning medicinal products, applicable in Northern Ireland. This position has recently been revised via the Windsor Framework. Under the Windsor Framework, from January 1, 2025, all new medicinal products for the UK market will be authorized by the UK’s Medicines and Healthcare products Regulatory Agency (“MHRA”) (see further below).</w:t>
      </w:r>
    </w:p>
    <w:p>
      <w:pPr>
        <w:spacing w:after="0" w:line="289"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In the UK, clinical trials of medicinal products are primarily governed by the Medicines for Human Use (Clinical Trials) Regulations 2004, as amended (the UK Regulations). The UK Regulations sought to implement the CTD while the UK was a member state of the EU. Since the CTR was not in force in the EU at the time when the UK exited the EU, it was not retained in UK law on exit day under the terms of the European Union (Withdrawal) Act 2018. Following a public consultation which was conducted in early 2022, the UK authorities are in the process of developing legislation which seeks to improve and strengthen the clinical trials regulatory regime in the UK. The extent to which the regulation of clinical trials in the UK will mirror the CTR is unknown at present.</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Accelerated Assessment Pathways</w:t>
      </w:r>
    </w:p>
    <w:p>
      <w:pPr>
        <w:spacing w:after="0" w:line="12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EU’s Priority Medicines (“PRIME”) scheme is intended to encourage drug development in areas of unmet medical need and facilitates accelerated assessment of medicinal products representing substantial innovation reviewed under the centralized procedure. Eligible products must target conditions for which there is an unmet medical need (there is no satisfactory method of diagnosis, prevention or treatment in the EEA or, if there is, the new medicine will bring a major therapeutic advantage) and they must demonstrate the potential to address the unmet medical need by, for example, introducing new methods of therapy or improving existing ones. Products from small- and medium-sized enterprises may qualify for earlier entry into the PRIME scheme. Many benefits accrue to sponsors of therapeutic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an EMA contact and rapporteur from the Committee for Human Medicinal Products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269"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UK’s Innovative Licensing and Access Pathway (“ILAP”) aims to accelerate the time to market of innovative medicinal products. It is open to both commercial and non-commercial applicants, who are based in the UK or global, and who are developing medicinal products which include products containing new chemical entities, biological medicinal products, new indications and repurposed medicinal products. It comprises of an Innovation Passport designation and a Target Development Profile, and provides applicants with access to a toolkit to support all stages of the design, development and approvals process. The major benefit of the ILAP scheme is that it provides applicants with opportunities for enhanced regulatory and stakeholder input during the development of their medicinal products.</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1" w:name="page152"/>
    <w:bookmarkEnd w:id="15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Marketing Authorization</w:t>
      </w:r>
    </w:p>
    <w:p>
      <w:pPr>
        <w:spacing w:after="0" w:line="128"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To obtain a marketing authorization for a medicinal product under the EU regulatory system, an applicant must submit an MAA, either under a centralized procedure administered by the EMA or one of the procedures administered by competent authorities in EU member states (decentralized procedure, national procedure, or mutual recognition procedure). A marketing authorization may be granted only to an applicant established in the EU.</w:t>
      </w:r>
    </w:p>
    <w:p>
      <w:pPr>
        <w:spacing w:after="0" w:line="9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Regulation (EC) No 1901/2006 provides that prior to obtaining a marketing authorization in the EU, an applicant must demonstrate compliance with all measures included in an EMA -approved Pediatric Investigation Plan (“PIP”), covering all subsets of the pediatric population, unless the EMA has granted a product-specific waiver, class waiver or a deferral for one or more of the measures included in the PIP. The Paediatric Committee of the EMA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An application for marketing authorization or a variation or a variation or a line-extension which is accompanied by the pediatric clinical trials conducted in accordance with the PIP (even where such results are negative) are eligible for a six months extension of their supplementary protection certificate. In the case of orphan medicinal products, a two- year extension of the orphan market exclusivity may be available. This pediatric reward is not automatically available and is subject to the EMA or the relevant national competent authorities confirming compliance with the agreed PIP that may require an opinion to be given by the EMA’s Pediatric Committee.</w:t>
      </w:r>
    </w:p>
    <w:p>
      <w:pPr>
        <w:spacing w:after="0" w:line="104"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centralized procedure provides for the grant of a single marketing authorization by the European Commission that is valid for all EU member states, as well as the additional member states of the EEA (Norway, Iceland and Liechtenstein). Pursuant to Regulation (EC) No 726/2004, the centralized procedure is compulsory for specific products, including for medicines developed by means of certain biotechnological processes (including, recombinant DNA technology, controlled expression of genes coding for biologically active proteins in prokaryotes and eukaryotes including transformed mammalian cells, and hybridoma and monoclonal antibody methods), products designated as orphan medicinal products, advanced therapy medicinal products (gene-therapy, somatic cell-therapy or tissue-engineered medicines) and products containing a new active substance indicated for the treatment of certain diseases, including products for the treatment of cancer, HIV / AIDS, neurodegenerative disorders, diabetes, auto-immune diseases and other immune dysfunctions, and viral diseases. The centralized procedure is optional for products containing a new active substance which was not authorized in the EU on May 20, 2004, or for products that constitute a significant therapeutic, scientific or technical innovation or which are in the interest of public health in the EU. An applicant for the centralized MA must demonstrate the quality, safety and efficacy of their products to the EMA for an opinion to be adopted regarding the approvability of the MAA. The European Commission grants or refuses marketing authorization in light of the opinion delivered by the EMA.</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Under the centralized procedure, the CHMP established within the EMA is responsible for conducting an initial assessment of a medicinal product. The maximum timeframe for the evaluation of an MAA is 210 days, excluding clock stops when additional information or written or oral explanation is to be provided by the applicant in response to questions of the CHMP. Clock stops may extend the timeframe of evaluation of an MAA considerably beyond 210 days. Where the CHMP gives a positive opinion, the EMA provides the opinion together with supporting documentation to the European Commission, who make the final decision to grant a marketing authorization, which is issued ordinarily within 67 days of receipt of the EMA’s recommendation.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(excluding clock stops), but it is possible that the CHMP may revert to the standard time limit for the centralized procedure if it determines that it is no longer appropriate to conduct an accelerated assessment.</w:t>
      </w:r>
    </w:p>
    <w:p>
      <w:pPr>
        <w:spacing w:after="0" w:line="23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National marketing authorizations, which are issued by the national competent authorities of the member states of the EEA and only cover their respective territory, are available for products not falling within the mandatory scope of the centralized procedure. Where a medicinal product has already been authorized for marketing in a member state of the EEA, this national authorization can be recognized in other member states</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2" w:name="page153"/>
    <w:bookmarkEnd w:id="15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through the mutual recognition procedure. If the product has not received a national authorization in any member state at the time of application, it can be approved simultaneously in two or more member states through the decentralized procedure.</w:t>
      </w:r>
    </w:p>
    <w:p>
      <w:pPr>
        <w:spacing w:after="0" w:line="8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For the time being, under the Northern Ireland Protocol, centralized marketing authorizations continue to provide a valid basis for commercializing medicinal products in Northern Ireland. However, centralized marketing authorizations no longer provide a valid basis for the commercialization of medicinal products in Great Britain. Pursuant to the Windsor Framework, from January 1, 2025, all new medicinal products for the UK market will be authorized by the MHRA. In this regard, the MHRA will grant a single UK-wide marketing authorization for all medicinal products intended for sale in the UK, enabling medicinal products to be sold in a single pack and under a single authorization throughout the UK.</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Following its departure from the EU, the UK has introduced changes to its national licensing procedures, including procedures to prioritize access to new medicines that will benefit patients, ILAP (described above) and new routes of evaluation for novel products and biotechnological products. Notwithstanding that there is no wholesale recognition of EU pharmaceutical legislation under the TCA, and that EU marketing authorizations do not automatically provide a valid basis for the commercialization of medicinal products in Great Britain from January 1, 2024, applicants will be able to request the MHRA to recognize marketing authorizations granted in foreign jurisdictions (including the EU) under a new International Recognition Procedure.</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Regulatory Data Protection in Europe</w:t>
      </w:r>
    </w:p>
    <w:p>
      <w:pPr>
        <w:spacing w:after="0" w:line="11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the EU and the UK, new chemical entities (including both small molecules and biological medicinal products) and new biological substances approved on the basis of a complete independent data package consisting of quality, preclinical testing results and clinical trial data qualify for eight years of RDP upon grant of a marketing authorization and two years of marketing protection. Data protection prevents generic or biosimilar applicants from referencing the innovator’s preclinical and clinical trial data contained in the MAA dossier of the reference medicinal product when applying for a generic or biosimilar marketing authorization, for a period of eight years from the date on which the reference product was first authorized in the EU. During the two-year period of marketing protection, a generic or biosimilar MAA can be submitted, and the innovator’s data may be referenced. Even if a generic or biosimilar medicinal product is approved, it cannot be marketed until the expiration of the marketing protection. The ten-year protection period can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or a new biological entity so that the innovator gains the prescribed period of data protection, another company may market another version of the medicinal product if such company obtained marketing authorization based on an MAA with a complete and independent data package consisting of pharmaceutical and preclinical testing results and clinical trial data.</w:t>
      </w:r>
    </w:p>
    <w:p>
      <w:pPr>
        <w:spacing w:after="0" w:line="2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Patent Term Extensions in the EU and Other Jurisdictions</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EU also provides for patent term extension through SPCs which aim to offset the loss of patent protection for pharmaceutical products arising from the lengthy testing and clinical trials required to obtain an MA. The rules and requirements for obtaining a SPC are similar to those in the United States. An SPC may extend the term of a basic patent for up to five years after its originally scheduled expiration date in order to provide up to a maximum of fifteen years of exclusivity from the time the medicinal product in question first obtains an MA for it to be placed on the market. As mentioned above, in certain circumstances, these periods may be extended for six additional months if pediatric exclusivity is obtained; and in the case of orphan medicinal products, a two-year extension of the orphan market exclusivity may be available. Although SPCs are available throughout the EU, holders must apply the patent term extension on</w:t>
      </w:r>
    </w:p>
    <w:p>
      <w:pPr>
        <w:spacing w:after="0" w:line="4" w:lineRule="exact"/>
        <w:rPr>
          <w:sz w:val="20"/>
          <w:szCs w:val="20"/>
          <w:color w:val="auto"/>
        </w:rPr>
      </w:pPr>
    </w:p>
    <w:p>
      <w:pPr>
        <w:ind w:left="1160" w:right="1179" w:firstLine="4"/>
        <w:spacing w:after="0" w:line="236" w:lineRule="auto"/>
        <w:tabs>
          <w:tab w:leader="none" w:pos="1279"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country-by-country basis. Similar patent term extension rights exist in certain other foreign jurisdictions outside the EU.</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Orphan Drug Designation and Exclusivity</w:t>
      </w:r>
    </w:p>
    <w:p>
      <w:pPr>
        <w:spacing w:after="0" w:line="128"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Regulation (EC) No 141/2000 and Regulation (EC) No. 847/2000 provide that a medicinal product can be designated as an orphan medicinal product by the European Commission, upon satisfactory scientific</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3" w:name="page154"/>
    <w:bookmarkEnd w:id="15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assessment by the EMA’s Committee for Orphan Medicinal Products (“COMP”), if the sponsor can establish: (1) that the product is intended for the diagnosis, prevention or treatment of a life-threatening or chronically debilitating condition, where either (i) such condition affects not more than five in ten thousand persons in the EU when the application is made, or (ii) without incentives it is unlikely that the marketing of the drug in the EU would generate sufficient return to justify the necessary investment in its development, and (2) that there exists no satisfactory method of diagnosis, prevention or treatment of the condition in question that has been authorized in the EU or, if such method exists, the drug will be of significant benefit to those affected by that condition. In the UK, the MHRA conducts an equivalent assessment, against criteria which have been tailored for the UK population.</w:t>
      </w:r>
    </w:p>
    <w:p>
      <w:pPr>
        <w:spacing w:after="0" w:line="9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COMP is required to re -assess the granted orphan designation at the time of marketing authorization grant to ensure that it continues to meet the criteria for the designation to be maintained. Otherwise, the orphan designation can be revoked. In relation to the UK, the MHRA does not grant orphan designations during the development of the medicinal product. Instead, the MHRA will decide whether the criteria are satisfied at the point of marketing authorization grant. An orphan drug designation provides a number of benefits, including fee reductions, fee waivers, protocol assistance (as a type of scientific advice specific for orphan medicinal products) and the possibility to apply for a centralized EU marketing authorization. Marketing authorization for an orphan medicinal product benefits from a ten-year period of market exclusivity. During this period of market exclusivity, the European Commission, national competent authorities of the EU member states may only grant marketing authorization to a “similar medicinal product” for the same therapeutic indication if: (i) a second applicant can establish that its medicinal product, although similar to the authorized product, is safer, more effective or otherwise clinically superior;</w:t>
      </w:r>
    </w:p>
    <w:p>
      <w:pPr>
        <w:spacing w:after="0" w:line="2" w:lineRule="exact"/>
        <w:rPr>
          <w:sz w:val="20"/>
          <w:szCs w:val="20"/>
          <w:color w:val="auto"/>
        </w:rPr>
      </w:pPr>
    </w:p>
    <w:p>
      <w:pPr>
        <w:jc w:val="both"/>
        <w:ind w:left="1160" w:right="1179" w:firstLine="4"/>
        <w:spacing w:after="0"/>
        <w:tabs>
          <w:tab w:leader="none" w:pos="141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marketing authorization holder for the authorized product consents to a second orphan medicinal product application; or (iii) the marketing authorization holder for the authorized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The period of marketing protection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 Orphan medicinal product designation does not convey any advantage in, or shorten the duration of, the regulatory review and approval process. Following the UK’s exit from the EU, the MHRA continues to apply the same orphan market exclusivity framework as the EU.</w:t>
      </w:r>
    </w:p>
    <w:p>
      <w:pPr>
        <w:spacing w:after="0" w:line="2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Periods of Authorization and Renewals</w:t>
      </w:r>
    </w:p>
    <w:p>
      <w:pPr>
        <w:spacing w:after="0" w:line="12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A marketing authorization is valid for five years, in principle, and it may be renewed indefinitely after five years on the basis of a reevaluation of the risk-benefit balance by the EMA, the competent authority of the authorizing member state, or the MHRA. To that end, the marketing authorization holder must provide the EMA, the relevant national competent authority, or the MHRA with a consolidated version of the file in respect of quality, safety and efficacy, including all variations introduced since the marketing authorization was granted, at least six months before the marketing authorization expiry date. Once renewed, the marketing authorization is valid for an unlimited period, unless the European Commission, the relevant national competent authority, or the MHRA decides, on justified grounds relating to pharmacovigilance, to proceed with one additional five-year renewal period. Any marketing authorization ceases to be valid if it is not followed by the placement of the medicinal product on the EU market (in the case of the centralized procedure), on the market of the authorizing member state (in the case of a national procedure), or the UK market (as applicable), within three years after grant of such an authorization.</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Regulatory Requirements After Marketing Authorization</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Following approval, the holder of the marketing authorization is required to comply with a range of requirements applicable to the manufacturing, marketing, promotion and sale of the medicinal product, and must adhere in strict compliance with the applicable EU laws, regulations and guidance. These include compliance with stringent pharmacovigilance rules, pursuant to which post-authorization studies and additional monitoring obligations can be imposed. In addition, manufacture and control must also be conducted in strict compliance with cGMP requirements and comparable requirements of other regulatory bodies in the EU and UK. cGMP requirements apply to the methods, facilities and controls used in</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4" w:name="page155"/>
    <w:bookmarkEnd w:id="15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manufacturing, processing and packing of drugs against the quality standards appropriate to the intended use of a medicinal product and as required by the marketing authorization, clinical trial authorization or product specification.</w:t>
      </w:r>
    </w:p>
    <w:p>
      <w:pPr>
        <w:spacing w:after="0" w:line="8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Much like the federal healthcare program anti-kickback law in the United States, the provision of benefits or advantages to physicians to induce or encourage the prescription, recommendation, endorsement, purchase, supply, order or use of medicinal products is also prohibited in the EU and the UK. The provision of benefits or advantages to induce or reward improper performance generally is governed by the national anti-bribery laws of EU member states and the Bribery Act 2010 in the UK. Infringement of these laws could result in substantial fines and imprisonment. Applicable law in Europe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Pursuant to national laws, industry codes or professional codes of conduct payments made to physicians in certain EU member states and the UK must be publicly disclosed. Moreover, agreements with physicians often must be the subject of prior notification and approval by the physician’s employer, his or her competent professional organization and/or the regulatory authorities of the individual EU member states, or the UK (as applicable). Failure to comply with these requirements could result in reputational risk, public reprimands, administrative penalties, fines or imprisonment.</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and the UK. Although general requirements for advertising and promotion of medicinal products are established under Directive 2001/83/EC, which was transposed into national law in the UK via the Human Medicines Regulations 2012, the details are governed by regulations in each European jurisdiction and can differ from one country to another.</w:t>
      </w:r>
    </w:p>
    <w:p>
      <w:pPr>
        <w:spacing w:after="0" w:line="30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General Data Protection Regulation</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processing of personal data regarding individuals in the EU, including personal health data, is regulated by Regulation (EU) 2016/679, which took effect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 -party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 -intensive process that may increase the cost of doing business or require us to change our business practices to ensure full compliance.</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 compliance with the UK GDPR may result in monetary penalties of up to £17.5 million or 4% of worldwide revenue, whichever is higher.</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Coverage and Reimbursement</w:t>
      </w:r>
    </w:p>
    <w:p>
      <w:pPr>
        <w:spacing w:after="0" w:line="128"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Significant uncertainty exists as to the coverage and reimbursement status of any product candidates for which we may seek regulatory approval by the FDA or other government authorities. In the United States and</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5" w:name="page156"/>
    <w:bookmarkEnd w:id="15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29" w:lineRule="auto"/>
        <w:rPr>
          <w:sz w:val="20"/>
          <w:szCs w:val="20"/>
          <w:color w:val="auto"/>
        </w:rPr>
      </w:pPr>
      <w:r>
        <w:rPr>
          <w:rFonts w:ascii="Times New Roman" w:cs="Times New Roman" w:eastAsia="Times New Roman" w:hAnsi="Times New Roman"/>
          <w:sz w:val="15"/>
          <w:szCs w:val="15"/>
          <w:color w:val="auto"/>
        </w:rPr>
        <w:t>markets in other countries, patients generally rely on third- 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authorities or programs, private health insurers and other organizations. Even if coverage is provided, the approved reimbursement amount may not be high enough to allow us to establish or maintain pricing sufficient to realize a sufficient return on our investment.</w:t>
      </w:r>
    </w:p>
    <w:p>
      <w:pPr>
        <w:spacing w:after="0" w:line="101"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Government authorities and other third-party payors, such as private health insurers and health maintenance organizations, decide which medications they will pay for and establish reimbursement levels. Additionally, coverage and reimbursement for drug products can differ significantly from payor to payor. One third-party payor’s decision to cover a particular drug product or service does not ensure that other payors will also provide coverage for the drug product, or will provide coverage at an adequate reimbursement rate. Coverage policies and third-party reimbursement rates may change at any time. Even if favorable coverage and reimbursement status is attained for one or more product candidates for which we receive regulatory approval from one or more third party payors, less favorable coverage policies and reimbursement rates may be implemented in the future. Additionally, if a companion diagnostic test is developed for use with a drug product, any coverage and reimbursement for that test would be separate and apart from the coverage and reimbursement sought for such product. A lack of coverage or adequate reimbursement for such a test could adversely affect access to a drug product.</w:t>
      </w:r>
    </w:p>
    <w:p>
      <w:pPr>
        <w:spacing w:after="0" w:line="9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Within the U.S., third-party payors are increasingly seeking to control drug costs by examining the cost-effectiveness of new products and services in addition to their safety and efficacy; managing drug utilization and challenging the price of drugs. To obtain or maintain coverage and reimbursement for any future product, we may need to conduct expensive pharmacoeconomic studies to demonstrate the medical necessity and cost -effectiveness of our product. These studies will be in addition to the studies required to obtain regulatory approvals. Third-party payors may limit coverage of product by, for example, only covering specific products on an approved list, or formulary, which might not include all of the FDA-approved products for a particular indication. Some third-party payors may manage utilization of a particular product by requiring pre-approval (known as “prior authorization”) for coverage of particular prescriptions (to allow the payor to assess medical necessity) or otherwise restricting coverage of a product even if used consistent with its approved indication. Manufacturers of marketed drugs may be required to provide discounts or rebates under government healthcare programs or to certain government and private purchasers in order to obtain coverage under federal healthcare programs such as Medicaid. More generally, price concessions may need to be offered to third party payors to obtain favorable coverage or to purchasers to achieve sales. Arrangements with third party payors or purchasers may include value-based arrangements under which the amount paid for products depends on the performance of the product. Net prices for drugs may be further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9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medicinal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U.S. and generally prices tend to be significantly lower.</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Healthcare Reform</w:t>
      </w:r>
    </w:p>
    <w:p>
      <w:pPr>
        <w:spacing w:after="0" w:line="11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Payors, whether domestic or foreign, or governmental or private, are developing increasingly sophisticated methods of controlling healthcare costs and those methods are not always specifically adapted for therapies</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6" w:name="page157"/>
    <w:bookmarkEnd w:id="15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addressing rare diseases such as those we are developing. In both the United States and certain foreign jurisdictions, there have been a number of legislative and regulatory changes to the healthcare system that could impact our ability to sell our product candidates profitably if and when approved for marketing. In particular, in 2010,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point-of- sale discounts off negotiated prices of applicable brand drugs to eligible beneficiaries during their coverage gap period, as a condition for the manufacturer’s outpatient drugs to be covered under Medicare Part D. More generally, the ACA expanded healthcare coverage through Medicaid expansion and the implementation of the “individual mandate” for health insurance coverage.</w:t>
      </w:r>
    </w:p>
    <w:p>
      <w:pPr>
        <w:spacing w:after="0" w:line="104"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Beyond the ACA, there have been ongoing healthcare reform efforts. Drug pricing and payment reform was a focus of the Trump administration and has been a focus of the Biden administration. For example, federal legislation enacted in 2021 eliminates the statutory cap on Medicaid drug rebate program rebates (currently set at 100% of a drug’s “average manufacturer price”), effective January 1, 2024. As another example, the IRA, includes a number of changes intended to address rising prescription drug prices in Medicare Parts B and D. These changes include caps on Medicare Part D out-of- pocket costs, Medicare Part B and Part D drug price inflation rebates, a new Medicare Part D manufacturer discount drug program (replacing the ACA Medicare Part D coverage gap discount program) and a drug price negotiation program for certain high spend Medicare Part B and D drugs (with the first list of drugs announced in 2023). The IRA changes have varying implementation dates that start in 2022. On August 29, 2023, HHS announced the list of the first ten drugs that will be subject to price negotiations. The focus on healthcare reform, including reform of drug pricing and payment, has continued in the wake of the IRA. For example, in 2022, subsequent to the enactment of the IRA, the Biden administration released an executive order directing the HHS to report on how the Center for Medicare and Medicaid Innovation (“CMMI”) could be leveraged to test new models for lowering drug costs for Medicare and Medicaid beneficiaries. The report was issued in 2023 and proposed various models that CMMI is currently developing which seek to lower the cost of drugs, promote accessibility and improve quality of care. Further, in December 2023, the Biden administration announced an initiative to control the price of prescription drugs through the use of march-in rights under the Bayh-Dole Act (which allow the government, in specified circumstances, to grant or require a patent-holder of technology funded by the federal government to grant a license to certain third parties). The announcement was followed by publication of Draft Interagency Guidance Framework for Considering the Exercise of March-In Rights which for the first time includes the price of a product as one factor an agency can use when deciding to exercise march-in rights. While march-in rights have not previously been exercised, given these actions, there can be no certainty that such rights will not be exercised in the future.</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Healthcare reform efforts have been and may continue to be subject to scrutiny and legal challenge. For example, with respect to the ACA, tax reform legislation was enacted that eliminated the tax penalty established for individuals who do not maintain mandated health insurance coverage beginning in 2019 and, in 2021, the U.S. Supreme Court dismissed the latest judicial challenge to the ACA brought by several states without specifically ruling on the constitutionality of the ACA. As another example, revisions to regulations under the federal anti-kickback statute would remove protection for traditional Medicare Part D discounts offered by pharmaceutical manufacturers to pharmacy benefit managers and health plans. Pursuant to court order, the removal was delayed and recent legislation imposed a moratorium on implementation of the rule until January 2032. As another example, the IRA drug price negotiation program has been challenged in litigation filed by various pharmaceutical manufacturers and industry groups.</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There have also been efforts by federal and state government officials or legislators to implement measures to regulate prices or payment for pharmaceutical products, including legislation on drug importation.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7" w:name="page158"/>
    <w:bookmarkEnd w:id="15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United States or Canada. Other states have also submitted Section 804 Importation Program (“SIP”) proposals that are pending review by the FDA. Any such approved importation plans, when implemented, may result in lower drug prices for products covered by those programs. Recently, there has been considerable public and government scrutiny of pharmaceutical pricing and proposals to address the perceived high cost of pharmaceuticals. There have also been recent state legislative efforts to address drug costs, which generally have focused on increasing transparency around drug costs or limiting drug prices.</w:t>
      </w:r>
    </w:p>
    <w:p>
      <w:pPr>
        <w:spacing w:after="0" w:line="10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General legislative cost control measures may also affect reimbursement for our product candidates. The Budget Control Act, as amended, resulted in the imposition of reductions in Medicare (but not Medicaid) payments to providers in 2013 that remain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102"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Adoption of new legislation at the federal or state level could affect demand for, or pricing of, any future products if approved for sale. We cannot, however, predict the ultimate content, timing or effect of any federal and state reform efforts. There is no assurance that federal or state healthcare reform will not adversely affect our future business and financial results.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Other Healthcare Laws</w:t>
      </w:r>
    </w:p>
    <w:p>
      <w:pPr>
        <w:spacing w:after="0" w:line="11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Pharmaceutical companies are subject to additional healthcare regulation and enforcement by the federal government and by authorities in the states and foreign jurisdictions in which they conduct their business that may constrain how we conduct our business, including the financial arrangements and relationships through which we research, as well as sell, market and distribute any products for which we obtain marketing authorization. Restrictions under applicable federal and state healthcare laws and regulations, some of which will apply only if and when we receive marketing approval for a product candidate, include the following:</w:t>
      </w:r>
    </w:p>
    <w:p>
      <w:pPr>
        <w:spacing w:after="0" w:line="256" w:lineRule="exact"/>
        <w:rPr>
          <w:sz w:val="20"/>
          <w:szCs w:val="20"/>
          <w:color w:val="auto"/>
        </w:rPr>
      </w:pPr>
    </w:p>
    <w:p>
      <w:pPr>
        <w:jc w:val="both"/>
        <w:ind w:left="1600" w:right="1179" w:hanging="143"/>
        <w:spacing w:after="0" w:line="252" w:lineRule="auto"/>
        <w:tabs>
          <w:tab w:leader="none" w:pos="16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66"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false claims, false statements and civil monetary penalties laws which prohibit, among other activities, any person from knowingly presenting, or causing to be presented, a false claim for payment of government funds or knowingly making, or causing to be made, a false statement to get a false claim paid and may be implicated if claims are submitted that result from a violation of the federal anti-kickback statute;</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HIPAA, which, in addition to privacy protections applicable to healthcare providers and other entities, prohibits executing a scheme to defraud any healthcare benefit program or making false statements relating to healthcare matters;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FDCA, which among other things, strictly regulates drug marketing, prohibits manufacturers from marketing such products for off-label use and regulates the distribution of samples;</w:t>
      </w:r>
    </w:p>
    <w:p>
      <w:pPr>
        <w:spacing w:after="0" w:line="63"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so-called “federal sunshine” law, which requires pharmaceutical and medical device companies to monitor and report certain financial interactions with physicians, certain non-physician practitioners and teaching hospitals to the federal government for re-disclosure to the public;</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8" w:name="page159"/>
    <w:bookmarkEnd w:id="15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hanging="143"/>
        <w:spacing w:after="0" w:line="257" w:lineRule="auto"/>
        <w:tabs>
          <w:tab w:leader="none" w:pos="16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analogous state and foreign laws and regulations, such as state anti-bribery, anti-kickback and false claims laws, which may apply to healthcare items or services that are reimbursed by non-governmental third-party payors, including private insurers.</w:t>
      </w:r>
    </w:p>
    <w:p>
      <w:pPr>
        <w:spacing w:after="0" w:line="9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Some state laws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 Other state laws may require pharmaceutical companies to file reports relating to pricing and marketing information, and state and local laws may require registration of pharmaceutical sales representatives.</w:t>
      </w:r>
    </w:p>
    <w:p>
      <w:pPr>
        <w:spacing w:after="0" w:line="26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Efforts to ensure that our business arrangements with third parties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significant civil and criminal penalties, damages, fines, exclusion from participation in government healthcare programs, such as Medicare and Medicaid, imprisonment, and the curtailment or restructuring of our operations, any of which could adversely affect our business, financial condition, results of operations, and prospects.</w:t>
      </w:r>
    </w:p>
    <w:p>
      <w:pPr>
        <w:spacing w:after="0" w:line="3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Facilities</w:t>
      </w:r>
    </w:p>
    <w:p>
      <w:pPr>
        <w:spacing w:after="0" w:line="12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Our corporate headquarters is located in Waltham, Massachusetts, where we lease and occupy 11,971 square feet of office space. Our Waltham lease has a lease term of 3.3 years with total fixed payments of approximately $1.8 million over that period. The current term of our Waltham lease expires on June 30, 2025. We will seek to find new office space to occupy upon the expiration of our Waltham lease.</w:t>
      </w:r>
    </w:p>
    <w:p>
      <w:pPr>
        <w:spacing w:after="0" w:line="95"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On June 28, 2022, we also entered into a lease agreement for 5,127 square feet of office space in Shanghai, PRC. Our Shanghai lease has a term of 3.0 years with total fixed payments of $0.8 million over that period. The current term of our Shanghai lease expires on September 9, 2025. Our Shanghai lease also includes an option to extend the term with at least six months’ notice and rent set at an agreed upon market rate.</w:t>
      </w:r>
    </w:p>
    <w:p>
      <w:pPr>
        <w:spacing w:after="0" w:line="9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To meet the future needs of our business, we may lease additional or alternate space, and we believe suitable additional or alternative space will be available in the future on commercially reasonable terms.</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Employees and Human Capital Resources</w:t>
      </w:r>
    </w:p>
    <w:p>
      <w:pPr>
        <w:spacing w:after="0" w:line="12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As of June 30, 2024, we had 114 full -time employees, consisting of clinical, scientific, development, technical operations, regulatory, finance, legal and operational personnel. None of our employees is represented by labor unions or subject to a collective bargaining agreement. Our employees in China are subject to employment contracts which contain customary notice periods. We consider our relationship with our employees to be good.</w:t>
      </w:r>
    </w:p>
    <w:p>
      <w:pPr>
        <w:spacing w:after="0" w:line="9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Of our 114 full-time employees as of June 30, 2024, 14 were located in China and consisted of clinical, technical operations, regulatory, finance and human resources personnel. Our China-based employees support clinical operations and regulatory matters related to ZB001 and obexelimab in China and technical operations, with all functions in China reporting to management in the U.S. We recognize that our continued ability to attract, retain, and motivate exceptional employees is vital to ensuring our long-term competitive advantage. Our employees are critical to our long-term success and are essential to helping us meet our goals. Among other things, we support and incentivize our employees in the following ways:</w:t>
      </w:r>
    </w:p>
    <w:p>
      <w:pPr>
        <w:spacing w:after="0" w:line="64" w:lineRule="exact"/>
        <w:rPr>
          <w:sz w:val="20"/>
          <w:szCs w:val="20"/>
          <w:color w:val="auto"/>
        </w:rPr>
      </w:pPr>
    </w:p>
    <w:p>
      <w:pPr>
        <w:jc w:val="both"/>
        <w:ind w:left="1600" w:right="1179" w:hanging="143"/>
        <w:spacing w:after="0" w:line="251" w:lineRule="auto"/>
        <w:tabs>
          <w:tab w:leader="none" w:pos="160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Talent development, compensation, and retention</w:t>
      </w:r>
      <w:r>
        <w:rPr>
          <w:rFonts w:ascii="Times New Roman" w:cs="Times New Roman" w:eastAsia="Times New Roman" w:hAnsi="Times New Roman"/>
          <w:sz w:val="15"/>
          <w:szCs w:val="15"/>
          <w:color w:val="auto"/>
        </w:rPr>
        <w:t>: Our human capital resources objectives include,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applicable, identifying, recruiting, retaining, incentivizing and integrating our existing and future employees. Our compensation program is designed to retain, motivate and attract highly qualified employees. Accordingly, we use a mix of competitive base salary, cash-based annual incentive compensation, performance-based equity compensation awards and other employee benefits.</w:t>
      </w:r>
    </w:p>
    <w:p>
      <w:pPr>
        <w:spacing w:after="0" w:line="53"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Health and safety</w:t>
      </w:r>
      <w:r>
        <w:rPr>
          <w:rFonts w:ascii="Times New Roman" w:cs="Times New Roman" w:eastAsia="Times New Roman" w:hAnsi="Times New Roman"/>
          <w:sz w:val="15"/>
          <w:szCs w:val="15"/>
          <w:color w:val="auto"/>
        </w:rPr>
        <w:t>: We value the health and safety of our employees and provide comprehensive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insurance benefits, an employee assistance program, paid holidays, a personal time-off program, and other benefits which are intended to assist employees to manage their well-being.</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9" w:name="page160"/>
    <w:bookmarkEnd w:id="15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00" w:right="1179" w:hanging="143"/>
        <w:spacing w:after="0" w:line="272" w:lineRule="auto"/>
        <w:tabs>
          <w:tab w:leader="none" w:pos="16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Inclusion and diversity</w:t>
      </w:r>
      <w:r>
        <w:rPr>
          <w:rFonts w:ascii="Times New Roman" w:cs="Times New Roman" w:eastAsia="Times New Roman" w:hAnsi="Times New Roman"/>
          <w:sz w:val="15"/>
          <w:szCs w:val="15"/>
          <w:color w:val="auto"/>
        </w:rPr>
        <w:t>: We are committed to efforts to increase diversity and foster an inclusive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professional environment that supports our workforce.</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Legal Proceedings</w:t>
      </w:r>
    </w:p>
    <w:p>
      <w:pPr>
        <w:spacing w:after="0" w:line="126"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From time to time, we may become involved in litigation or other legal proceedings incidental to our business. We are not currently a party to any litigation or legal proceedings. Regardless of outcome, litigation can have an adverse impact on our reputation, financial condition and business, including by utilizing our resources and potentially diverting the attention of our management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0" w:name="page161"/>
    <w:bookmarkEnd w:id="160"/>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MANAGEMENT</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Executive Officers and Directors</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Our executive officers and directors, their ages as of June 30, 2024, and their positions, are set forth in the following table:</w:t>
      </w:r>
    </w:p>
    <w:tbl>
      <w:tblPr>
        <w:tblLayout w:type="fixed"/>
        <w:tblInd w:w="1160" w:type="dxa"/>
        <w:tblCellMar>
          <w:top w:w="0" w:type="dxa"/>
          <w:left w:w="0" w:type="dxa"/>
          <w:bottom w:w="0" w:type="dxa"/>
          <w:right w:w="0" w:type="dxa"/>
        </w:tblCellMar>
      </w:tblPr>
      <w:tr>
        <w:trPr>
          <w:trHeight w:val="254"/>
        </w:trPr>
        <w:tc>
          <w:tcPr>
            <w:tcW w:w="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3"/>
              </w:rPr>
              <w:t>Name</w:t>
            </w:r>
          </w:p>
        </w:tc>
        <w:tc>
          <w:tcPr>
            <w:tcW w:w="2400" w:type="dxa"/>
            <w:vAlign w:val="bottom"/>
          </w:tcPr>
          <w:p>
            <w:pPr>
              <w:spacing w:after="0"/>
              <w:rPr>
                <w:sz w:val="22"/>
                <w:szCs w:val="22"/>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gridSpan w:val="3"/>
          </w:tcPr>
          <w:p>
            <w:pPr>
              <w:spacing w:after="0" w:line="234"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3"/>
                <w:szCs w:val="23"/>
                <w:b w:val="1"/>
                <w:bCs w:val="1"/>
                <w:color w:val="auto"/>
                <w:vertAlign w:val="superscript"/>
              </w:rPr>
              <w:t>Age</w:t>
            </w:r>
            <w:r>
              <w:rPr>
                <w:rFonts w:ascii="Times New Roman" w:cs="Times New Roman" w:eastAsia="Times New Roman" w:hAnsi="Times New Roman"/>
                <w:sz w:val="12"/>
                <w:szCs w:val="12"/>
                <w:b w:val="1"/>
                <w:bCs w:val="1"/>
                <w:color w:val="auto"/>
              </w:rPr>
              <w:t xml:space="preserve"> ​ ​</w:t>
            </w:r>
          </w:p>
        </w:tc>
        <w:tc>
          <w:tcPr>
            <w:tcW w:w="20" w:type="dxa"/>
            <w:vAlign w:val="bottom"/>
          </w:tcPr>
          <w:p>
            <w:pPr>
              <w:spacing w:after="0"/>
              <w:rPr>
                <w:sz w:val="22"/>
                <w:szCs w:val="22"/>
                <w:color w:val="auto"/>
              </w:rPr>
            </w:pPr>
          </w:p>
        </w:tc>
        <w:tc>
          <w:tcPr>
            <w:tcW w:w="3320" w:type="dxa"/>
            <w:vAlign w:val="bottom"/>
          </w:tcPr>
          <w:p>
            <w:pPr>
              <w:jc w:val="right"/>
              <w:ind w:right="1361"/>
              <w:spacing w:after="0"/>
              <w:rPr>
                <w:sz w:val="20"/>
                <w:szCs w:val="20"/>
                <w:color w:val="auto"/>
              </w:rPr>
            </w:pPr>
            <w:r>
              <w:rPr>
                <w:rFonts w:ascii="Times New Roman" w:cs="Times New Roman" w:eastAsia="Times New Roman" w:hAnsi="Times New Roman"/>
                <w:sz w:val="12"/>
                <w:szCs w:val="12"/>
                <w:b w:val="1"/>
                <w:bCs w:val="1"/>
                <w:color w:val="auto"/>
              </w:rPr>
              <w:t>Position(s)</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6"/>
        </w:trPr>
        <w:tc>
          <w:tcPr>
            <w:tcW w:w="300" w:type="dxa"/>
            <w:vAlign w:val="bottom"/>
            <w:shd w:val="clear" w:color="auto" w:fill="000000"/>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3320" w:type="dxa"/>
            <w:vAlign w:val="bottom"/>
            <w:shd w:val="clear" w:color="auto" w:fill="000000"/>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line="20" w:lineRule="exact"/>
              <w:rPr>
                <w:sz w:val="1"/>
                <w:szCs w:val="1"/>
                <w:color w:val="auto"/>
              </w:rPr>
            </w:pPr>
          </w:p>
        </w:tc>
      </w:tr>
      <w:tr>
        <w:trPr>
          <w:trHeight w:val="215"/>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5"/>
              </w:rPr>
              <w:t>Executive Officers and Employee Directors:</w:t>
            </w:r>
          </w:p>
        </w:tc>
        <w:tc>
          <w:tcPr>
            <w:tcW w:w="20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3520" w:type="dxa"/>
            <w:vAlign w:val="bottom"/>
            <w:gridSpan w:val="3"/>
            <w:shd w:val="clear" w:color="auto" w:fill="CCEEFF"/>
          </w:tcPr>
          <w:p>
            <w:pPr>
              <w:jc w:val="right"/>
              <w:ind w:right="3241"/>
              <w:spacing w:after="0"/>
              <w:rPr>
                <w:sz w:val="20"/>
                <w:szCs w:val="20"/>
                <w:color w:val="auto"/>
              </w:rPr>
            </w:pPr>
            <w:r>
              <w:rPr>
                <w:rFonts w:ascii="Times New Roman" w:cs="Times New Roman" w:eastAsia="Times New Roman" w:hAnsi="Times New Roman"/>
                <w:sz w:val="15"/>
                <w:szCs w:val="15"/>
                <w:b w:val="1"/>
                <w:bCs w:val="1"/>
                <w:color w:val="auto"/>
              </w:rPr>
              <w:t>​ ​ ​</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Leon O. Moulder, Jr.</w:t>
            </w:r>
          </w:p>
        </w:tc>
        <w:tc>
          <w:tcPr>
            <w:tcW w:w="200" w:type="dxa"/>
            <w:vAlign w:val="bottom"/>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5"/>
                <w:szCs w:val="15"/>
                <w:color w:val="auto"/>
              </w:rPr>
            </w:pPr>
          </w:p>
        </w:tc>
        <w:tc>
          <w:tcPr>
            <w:tcW w:w="372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​​66 ​ ​ Chief Executive Officer and Chairman of the Board</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2"/>
          </w:tcPr>
          <w:p>
            <w:pPr>
              <w:jc w:val="right"/>
              <w:ind w:right="2541"/>
              <w:spacing w:after="0"/>
              <w:rPr>
                <w:sz w:val="20"/>
                <w:szCs w:val="20"/>
                <w:color w:val="auto"/>
              </w:rPr>
            </w:pPr>
            <w:r>
              <w:rPr>
                <w:rFonts w:ascii="Times New Roman" w:cs="Times New Roman" w:eastAsia="Times New Roman" w:hAnsi="Times New Roman"/>
                <w:sz w:val="15"/>
                <w:szCs w:val="15"/>
                <w:color w:val="auto"/>
                <w:w w:val="99"/>
              </w:rPr>
              <w:t>of Directors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Joseph Farmer</w:t>
            </w:r>
          </w:p>
        </w:tc>
        <w:tc>
          <w:tcPr>
            <w:tcW w:w="20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Borders>
              <w:bottom w:val="single" w:sz="8" w:color="CCEEFF"/>
            </w:tcBorders>
            <w:shd w:val="clear" w:color="auto" w:fill="CCEEFF"/>
          </w:tcPr>
          <w:p>
            <w:pPr>
              <w:spacing w:after="0"/>
              <w:rPr>
                <w:sz w:val="16"/>
                <w:szCs w:val="16"/>
                <w:color w:val="auto"/>
              </w:rPr>
            </w:pPr>
          </w:p>
        </w:tc>
        <w:tc>
          <w:tcPr>
            <w:tcW w:w="3720" w:type="dxa"/>
            <w:vAlign w:val="bottom"/>
            <w:tcBorders>
              <w:bottom w:val="single" w:sz="8" w:color="CCEEFF"/>
            </w:tcBorders>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xml:space="preserve">​52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2"/>
                <w:szCs w:val="12"/>
                <w:color w:val="auto"/>
              </w:rPr>
              <w:t xml:space="preserve"> President and Chief Operating Officer</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Jennifer Fox</w:t>
            </w:r>
          </w:p>
        </w:tc>
        <w:tc>
          <w:tcPr>
            <w:tcW w:w="200" w:type="dxa"/>
            <w:vAlign w:val="bottom"/>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6"/>
                <w:szCs w:val="16"/>
                <w:color w:val="auto"/>
              </w:rPr>
            </w:pPr>
          </w:p>
        </w:tc>
        <w:tc>
          <w:tcPr>
            <w:tcW w:w="372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​53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Chief Business Officer and Chief Financial Officer</w:t>
            </w:r>
          </w:p>
        </w:tc>
        <w:tc>
          <w:tcPr>
            <w:tcW w:w="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332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200"/>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Orlando Oliveira</w:t>
            </w:r>
          </w:p>
        </w:tc>
        <w:tc>
          <w:tcPr>
            <w:tcW w:w="20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CCEEFF"/>
            </w:tcBorders>
            <w:gridSpan w:val="4"/>
            <w:shd w:val="clear" w:color="auto" w:fill="CCEEFF"/>
          </w:tcPr>
          <w:p>
            <w:pPr>
              <w:ind w:left="20"/>
              <w:spacing w:after="0" w:line="192"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​48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Chief Commercial Officer</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Non-Employee Directors:</w:t>
            </w:r>
          </w:p>
        </w:tc>
        <w:tc>
          <w:tcPr>
            <w:tcW w:w="200" w:type="dxa"/>
            <w:vAlign w:val="bottom"/>
          </w:tcPr>
          <w:p>
            <w:pPr>
              <w:jc w:val="center"/>
              <w:ind w:left="8"/>
              <w:spacing w:after="0"/>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3340" w:type="dxa"/>
            <w:vAlign w:val="bottom"/>
            <w:gridSpan w:val="2"/>
          </w:tcPr>
          <w:p>
            <w:pPr>
              <w:jc w:val="right"/>
              <w:ind w:right="3241"/>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10"/>
        </w:trPr>
        <w:tc>
          <w:tcPr>
            <w:tcW w:w="27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Patricia Allen</w:t>
            </w:r>
          </w:p>
        </w:tc>
        <w:tc>
          <w:tcPr>
            <w:tcW w:w="20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CCEEFF"/>
            </w:tcBorders>
            <w:gridSpan w:val="4"/>
            <w:shd w:val="clear" w:color="auto" w:fill="CCEEFF"/>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Director</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James Boylan</w:t>
            </w:r>
          </w:p>
        </w:tc>
        <w:tc>
          <w:tcPr>
            <w:tcW w:w="200" w:type="dxa"/>
            <w:vAlign w:val="bottom"/>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6"/>
                <w:szCs w:val="16"/>
                <w:color w:val="auto"/>
              </w:rPr>
            </w:pPr>
          </w:p>
        </w:tc>
        <w:tc>
          <w:tcPr>
            <w:tcW w:w="372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​57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Director</w:t>
            </w:r>
          </w:p>
        </w:tc>
        <w:tc>
          <w:tcPr>
            <w:tcW w:w="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332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200"/>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Patrick Enright</w:t>
            </w:r>
          </w:p>
        </w:tc>
        <w:tc>
          <w:tcPr>
            <w:tcW w:w="20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CCEEFF"/>
            </w:tcBorders>
            <w:gridSpan w:val="4"/>
            <w:shd w:val="clear" w:color="auto" w:fill="CCEEFF"/>
          </w:tcPr>
          <w:p>
            <w:pPr>
              <w:ind w:left="20"/>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​62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Director</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Tomas Kiselak</w:t>
            </w:r>
          </w:p>
        </w:tc>
        <w:tc>
          <w:tcPr>
            <w:tcW w:w="200" w:type="dxa"/>
            <w:vAlign w:val="bottom"/>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6"/>
                <w:szCs w:val="16"/>
                <w:color w:val="auto"/>
              </w:rPr>
            </w:pPr>
          </w:p>
        </w:tc>
        <w:tc>
          <w:tcPr>
            <w:tcW w:w="372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​38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Director</w:t>
            </w:r>
          </w:p>
        </w:tc>
        <w:tc>
          <w:tcPr>
            <w:tcW w:w="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332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200"/>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Hongbo Lu, Ph.D.</w:t>
            </w:r>
          </w:p>
        </w:tc>
        <w:tc>
          <w:tcPr>
            <w:tcW w:w="20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CCEEFF"/>
            </w:tcBorders>
            <w:gridSpan w:val="4"/>
            <w:shd w:val="clear" w:color="auto" w:fill="CCEEFF"/>
          </w:tcPr>
          <w:p>
            <w:pPr>
              <w:ind w:left="20"/>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​53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Director</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Jake Nunn</w:t>
            </w:r>
          </w:p>
        </w:tc>
        <w:tc>
          <w:tcPr>
            <w:tcW w:w="200" w:type="dxa"/>
            <w:vAlign w:val="bottom"/>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6"/>
                <w:szCs w:val="16"/>
                <w:color w:val="auto"/>
              </w:rPr>
            </w:pPr>
          </w:p>
        </w:tc>
        <w:tc>
          <w:tcPr>
            <w:tcW w:w="372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​54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Director</w:t>
            </w:r>
          </w:p>
        </w:tc>
        <w:tc>
          <w:tcPr>
            <w:tcW w:w="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332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200"/>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John Orloff, M.D.</w:t>
            </w:r>
          </w:p>
        </w:tc>
        <w:tc>
          <w:tcPr>
            <w:tcW w:w="20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CCEEFF"/>
            </w:tcBorders>
            <w:gridSpan w:val="4"/>
            <w:shd w:val="clear" w:color="auto" w:fill="CCEEFF"/>
          </w:tcPr>
          <w:p>
            <w:pPr>
              <w:ind w:left="20"/>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​67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Director</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Ting (Tim) Xiao</w:t>
            </w:r>
          </w:p>
        </w:tc>
        <w:tc>
          <w:tcPr>
            <w:tcW w:w="200" w:type="dxa"/>
            <w:vAlign w:val="bottom"/>
          </w:tcPr>
          <w:p>
            <w:pPr>
              <w:jc w:val="center"/>
              <w:ind w:left="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24"/>
                <w:szCs w:val="24"/>
                <w:color w:val="auto"/>
              </w:rPr>
            </w:pPr>
          </w:p>
        </w:tc>
        <w:tc>
          <w:tcPr>
            <w:tcW w:w="3720" w:type="dxa"/>
            <w:vAlign w:val="bottom"/>
            <w:gridSpan w:val="4"/>
          </w:tcPr>
          <w:p>
            <w:pPr>
              <w:ind w:left="20"/>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​37 </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Director</w:t>
            </w:r>
          </w:p>
        </w:tc>
        <w:tc>
          <w:tcPr>
            <w:tcW w:w="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Executive Officers and Employee Director</w:t>
      </w:r>
    </w:p>
    <w:p>
      <w:pPr>
        <w:spacing w:after="0" w:line="10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Leon O. Moulder, Jr., </w:t>
      </w:r>
      <w:r>
        <w:rPr>
          <w:rFonts w:ascii="Times New Roman" w:cs="Times New Roman" w:eastAsia="Times New Roman" w:hAnsi="Times New Roman"/>
          <w:sz w:val="15"/>
          <w:szCs w:val="15"/>
          <w:color w:val="auto"/>
        </w:rPr>
        <w:t>is our Founder, has served as our Chief Executive Officer since August 2023,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as our Chairman and a member of our board of directors since 2020. He has also been the Managing Member of Tellus BioVentures, LLC (“Tellus”), an early -stage life sciences investment fund, since March 2019. Prior to establishing Tellus, he cofounded TESARO, a fully-integrated Boston-based oncology-focused biopharmaceutical company (“TESARO”), and served as Chief Executive Officer and director from March 2010 until its acquisition by GlaxoSmithKline in January 2019. Mr. Moulder previously served as President, Chief Executive Officer and Vice Chairman of Abraxis BioScience Inc. (“Abraxis”) from 2009 to 2010. Prior to Abraxis, he served as Vice Chairman of Eisai Corporation of North America following Eisai’s acquisition of MGI PHARMA, where he served as President and Chief Executive Officer. This followed him serving as a member of the founding management team of Eligix Inc., a venture-stage biotech company. Mr. Moulder began his career as a clinical pharmacist followed by a 17-year career at predecessor companies of Sanofi S.A. (Nasdaq: SNY), beginning with Marion Laboratories Inc. Mr. Moulder is a Temple University Trustee and Chair of Temple University Japan. He is a Council Member for both the University of Chicago Booth School of Business and the Polsky Center for Entrepreneurship and Innovation. Mr. Moulder serves on the board of directors of Zai Lab Ltd. (Nasdaq: ZLAB) (“Zai Lab”), Helsinn Group and Trevena Inc. (Nasdaq: TRVN) and for several Tellus portfolio companies, including Dianthus (Nasdaq: DNTH). Mr. Moulder received a Pharmacy degree from Temple University and an M.B.A. from The University of Chicago Booth School of Business. We believe Mr. Moulder is qualified to serve as a director of the Company because of his extensive experience serving on other public company boards, investing in life sciences companies, and management experience at public biopharmaceutical companies.</w:t>
      </w:r>
    </w:p>
    <w:p>
      <w:pPr>
        <w:spacing w:after="0" w:line="209"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b w:val="1"/>
          <w:bCs w:val="1"/>
          <w:i w:val="1"/>
          <w:iCs w:val="1"/>
          <w:color w:val="auto"/>
        </w:rPr>
        <w:t xml:space="preserve">Joseph Farmer, </w:t>
      </w:r>
      <w:r>
        <w:rPr>
          <w:rFonts w:ascii="Times New Roman" w:cs="Times New Roman" w:eastAsia="Times New Roman" w:hAnsi="Times New Roman"/>
          <w:sz w:val="15"/>
          <w:szCs w:val="15"/>
          <w:color w:val="auto"/>
        </w:rPr>
        <w:t>has served as our President and Chief Operating Officer since February 2022,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served as our Chief Business and Administrative Officer from April 2021 to February 2022. Mr. Farmer is an experienced biopharma executive with over 25 years of transactional and operational experience working with emerging biotechnology companies at all stages of development, from discovery through commercialization. Prior to joining Zenas, he served as Chief Operating Officer at Xilio Therapeutics, Inc. (Nasdaq: XLO), an immuno-oncology company, where he led the general and administrative, business</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1" w:name="page162"/>
    <w:bookmarkEnd w:id="16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development, and business operations functions from May 2019 until March 2021. Prior to Xilio Therapeutics, he was the General Counsel and Corporate Secretary at TESARO, where he led the global legal, compliance and government affairs functions and was a key member of the leadership team from 2015 through its acquisition by GlaxoSmithKline in January 2019. He previously served as Chief Corporate Counsel at Cubist Pharmaceuticals Inc., from 2012 through its acquisition by Merck &amp; Co. in 2015 and as General Counsel at two publicly traded companies, including AMAG Pharmaceuticals Inc., where he was also the Chief Administrative Officer. He began his career as a corporate attorney at Testa, Hurwitz &amp; Thibeault, LLP. Mr. Farmer received his J.D. from Boston College Law School and his B.A. in economics from Boston University.</w:t>
      </w:r>
    </w:p>
    <w:p>
      <w:pPr>
        <w:spacing w:after="0" w:line="253"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b w:val="1"/>
          <w:bCs w:val="1"/>
          <w:i w:val="1"/>
          <w:iCs w:val="1"/>
          <w:color w:val="auto"/>
        </w:rPr>
        <w:t xml:space="preserve">Jennifer Fox, </w:t>
      </w:r>
      <w:r>
        <w:rPr>
          <w:rFonts w:ascii="Times New Roman" w:cs="Times New Roman" w:eastAsia="Times New Roman" w:hAnsi="Times New Roman"/>
          <w:sz w:val="15"/>
          <w:szCs w:val="15"/>
          <w:color w:val="auto"/>
        </w:rPr>
        <w:t>has served as our Chief Business Officer and Chief Financial Officer since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December 2023. Previously, Ms. Fox served as Chief Financial Officer at Nuvation Bio, Inc. (NYSE: NUVB), an oncology -focused biopharmaceutical company, from October 2020 until December 2023. Prior to this role, Ms. Fox served as Managing Director, Co-Head of North America Healthcare Corporate and Investment Banking Group at Citigroup from June 2015 to October 2020. From February 2006 to June 2015, Ms. Fox served as Managing Director at Deutsche Bank, and most recently also as Co-Head of Life Sciences Investment Banking Group. Prior to that, Ms. Fox served as Senior Managing Director Healthcare Investment Banking at Bear Stearns, Vice President Healthcare Investment Banking at Bank of America and Financial Analyst, Investment Banking Analyst, Associate, Vice President, Health Care Investment Banking at Prudential Vector Healthcare Group and Prudential Securities Incorporated. Ms. Fox serves on the board of directors for Apogee Therapeutics (Nasdaq: APGE), ProKidney Corp. (Nasdaq: PROK) and Life Science Cares. She has more than 25 years of experience in healthcare investment banking and has been a lead adviser to life science companies on over 125 financing and strategic transactions. Ms. Fox received B.S. degrees in Finance and Marketing from Manhattan College.</w:t>
      </w:r>
    </w:p>
    <w:p>
      <w:pPr>
        <w:spacing w:after="0" w:line="9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b w:val="1"/>
          <w:bCs w:val="1"/>
          <w:i w:val="1"/>
          <w:iCs w:val="1"/>
          <w:color w:val="auto"/>
        </w:rPr>
        <w:t xml:space="preserve">Orlando Oliveira, </w:t>
      </w:r>
      <w:r>
        <w:rPr>
          <w:rFonts w:ascii="Times New Roman" w:cs="Times New Roman" w:eastAsia="Times New Roman" w:hAnsi="Times New Roman"/>
          <w:sz w:val="15"/>
          <w:szCs w:val="15"/>
          <w:color w:val="auto"/>
        </w:rPr>
        <w:t>has served as our Chief Commercial Officer since July 2024. Prior to joining Zenas,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Mr. Oliveira served as Senior Vice President, Head of International at Mirati Therapeutics (acquired by Bristol Meyers Squibb) from March 2022 to April 2024. From August 2019 to June 2021, he served as Senior Vice President, Head of International at Agios Pharmaceuticals and as Senior Vice President &amp; General Manager of International at TESARO from August 2015 to July 2019. Mr. Oliveira has served as a member of the board of directors at OncoInvent AS, a privately held clinical-stage radiopharmaceutical company since April 2024. Mr. Oliveira received his B.S. degree in pharmaceutical studies from the Universidade de Coimbra (Portugal) and completed a post-graduate degree in Medical Marketing Management at the Instituto Universitário de Lisboa and a post-graduate degree in Cancer Biology at the University of Birmingham. He also received a Master’s in Pharmaceutical Sciences and a post-graduate degree in Drug and Pharmacy Law from Universidade de Coimbra (Portugal).</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Non-Employee Directors</w:t>
      </w:r>
    </w:p>
    <w:p>
      <w:pPr>
        <w:spacing w:after="0" w:line="124"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 xml:space="preserve">Patricia Allen, </w:t>
      </w:r>
      <w:r>
        <w:rPr>
          <w:rFonts w:ascii="Times New Roman" w:cs="Times New Roman" w:eastAsia="Times New Roman" w:hAnsi="Times New Roman"/>
          <w:sz w:val="15"/>
          <w:szCs w:val="15"/>
          <w:color w:val="auto"/>
        </w:rPr>
        <w:t>has been a member of our board of directors since February 2024 and serves as the chair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of our Audit Committee. Ms. Allen served as the Chief Financial Officer of Vividion Therapeutics, Inc., a wholly-owned and independently operated subsidiary of Bayer, from March 2021 until January 2024. From January 2013 to May 2020, Ms. Allen served as Chief Financial Officer of Zafgen, Inc., now Larimar Therapeutics Inc. Previously, from 2004 to 2011, Ms. Allen served as the Vice President of Finance, Treasurer, and Principal Financial Officer of Alnylam Pharmaceuticals, Inc., a publicly traded biotechnology company. Prior to Alnylam, Ms. Allen was at Alkermes, Inc., a publicly traded biotechnology company, most recently as the Director of Finance. She serves on the board of directors of Deciphera Pharmaceuticals, Inc. (Nasdaq: DCPH) since September 2016, and Yumanity Therapeutics, Inc., a publicly traded biotechnology company, from August 2019 until the completion of its merger in December 2022. Ms. Allen began her career as an auditor at Deloitte &amp; Touche, LLP. Ms. Allen graduated summa cum laude from Bryant College with a B.S. in business administration. We believe that Ms. Allen is qualified to serve on our Board of Directors based on her experience in the biopharmaceutical industry, as well as her expertise in finance and accounting.</w:t>
      </w:r>
    </w:p>
    <w:p>
      <w:pPr>
        <w:spacing w:after="0" w:line="272" w:lineRule="exact"/>
        <w:rPr>
          <w:sz w:val="20"/>
          <w:szCs w:val="20"/>
          <w:color w:val="auto"/>
        </w:rPr>
      </w:pPr>
    </w:p>
    <w:p>
      <w:pPr>
        <w:jc w:val="both"/>
        <w:ind w:left="1160" w:right="1179" w:firstLine="293"/>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James Boylan</w:t>
      </w:r>
      <w:r>
        <w:rPr>
          <w:rFonts w:ascii="Times New Roman" w:cs="Times New Roman" w:eastAsia="Times New Roman" w:hAnsi="Times New Roman"/>
          <w:sz w:val="15"/>
          <w:szCs w:val="15"/>
          <w:color w:val="auto"/>
        </w:rPr>
        <w:t>, has served as a member of our board of directors since November 2022. Mr. Boylan has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served as Chief Executive Officer of Enavate Sciences Inc., a portfolio company of Patient Square Capital, since May 2022. Previously, Mr. Boylan served as President and Head of Investment Banking of SVB Leerink, where he architected and led the transformation of Leerink Swann into an industry-leading healthcare</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2" w:name="page163"/>
    <w:bookmarkEnd w:id="16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investment bank that was acquired by SVB Financial Group in 2019. Across his 12 years at SVB Leerink and prior 12 years as a Managing Director at Merrill Lynch, Mr. Boylan has worked with hundreds of life sciences and biotechnology companies to develop strategy and complete transactions in capital markets and mergers &amp; acquisitions. Mr. Boylan also serves on the board of directors of CAMP4 Therapeutics Corp., Compass Therapeutics, Inc., and Immunome, Inc. Mr. Boylan earned an M.B.A. in finance from the Columbia Business School and a B.S. in finance from Lehigh University. We believe Mr. Boylan is qualified to serve as a director of the Company because of his extensive experience in the financial industry and in the life science and biotechnology space.</w:t>
      </w:r>
    </w:p>
    <w:p>
      <w:pPr>
        <w:spacing w:after="0" w:line="9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b w:val="1"/>
          <w:bCs w:val="1"/>
          <w:i w:val="1"/>
          <w:iCs w:val="1"/>
          <w:color w:val="auto"/>
        </w:rPr>
        <w:t>Patrick Enright</w:t>
      </w:r>
      <w:r>
        <w:rPr>
          <w:rFonts w:ascii="Times New Roman" w:cs="Times New Roman" w:eastAsia="Times New Roman" w:hAnsi="Times New Roman"/>
          <w:sz w:val="15"/>
          <w:szCs w:val="15"/>
          <w:color w:val="auto"/>
        </w:rPr>
        <w:t>, has served as a member of our board of directors since November 2022. Mr. Enright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co-founded Longitude Capital Management Co., LLC (“Longitude Capital”), a healthcare venture capital firm, where he has served as Managing Director since 2006. Mr. Enright also has significant life sciences operations experience including serving on various senior executive positions at Valentis Inc., Boehringer Mannheim Pharmaceuticals Corp. (acquired by Roche) and Sandoz Inc. (now known as Novartis). Mr. Enright currently serves on the board of directors of Jazz Pharmaceuticals plc (Nasdaq: JAZZ), Vera Therapeutics, Inc. (Nasdaq: VERA), and numerous privately held healthcare companies. Previously, Mr. Enright was a Managing Director of Pequot Ventures, where he co-led the life sciences investment practice. Mr. Enright previously served on the boards of directors of over twenty companies, including Aimmune Therapeutics, Inc. from 2013 until its acquisition by Nestlé in 2020, Corcept Therapeutics Inc. from 2008 to 2017 and Vaxcyte, Inc. from 2015 to 2020. Mr. Enright received a B.S. in Biological Sciences from Stanford University and an M.B.A. from the Wharton School of the University of Pennsylvania. We believe Mr. Enright is qualified to serve as a director of the Company because of his experience serving on the board of directors of numerous biotechnology companies and his investment experience in the life sciences industry.</w:t>
      </w:r>
    </w:p>
    <w:p>
      <w:pPr>
        <w:spacing w:after="0" w:line="222"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b w:val="1"/>
          <w:bCs w:val="1"/>
          <w:i w:val="1"/>
          <w:iCs w:val="1"/>
          <w:color w:val="auto"/>
        </w:rPr>
        <w:t xml:space="preserve">Tomas Kiselak, </w:t>
      </w:r>
      <w:r>
        <w:rPr>
          <w:rFonts w:ascii="Times New Roman" w:cs="Times New Roman" w:eastAsia="Times New Roman" w:hAnsi="Times New Roman"/>
          <w:sz w:val="15"/>
          <w:szCs w:val="15"/>
          <w:color w:val="auto"/>
        </w:rPr>
        <w:t>has served as a member of our board of directors since September 2020. He is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Managing Member at Fairmount Funds Management LLC, a healthcare investment firm he co-founded in April 2016. Prior to Fairmount, Mr. Kiselak was a managing director at RA Capital Management, LLC. Mr. Kiselak currently serves as the chairman of the board of directors of Viridian Therapeutics, Inc., and is a director for Apogee Therapeutics, Inc., Dianthus Therapeutics, Inc., Spyre Therapeutics, Inc., and several private companies. He received a B.S. in neuroscience and economics from Amherst College. We believe Mr. Kiselak is qualified to serve as a director of the Company because of his extensive healthcare and life sciences investment experience and his experience serving on the board of directors of numerous biotechnology companies.</w:t>
      </w:r>
    </w:p>
    <w:p>
      <w:pPr>
        <w:spacing w:after="0" w:line="9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 xml:space="preserve">Hongbo Lu, Ph.D., </w:t>
      </w:r>
      <w:r>
        <w:rPr>
          <w:rFonts w:ascii="Times New Roman" w:cs="Times New Roman" w:eastAsia="Times New Roman" w:hAnsi="Times New Roman"/>
          <w:sz w:val="15"/>
          <w:szCs w:val="15"/>
          <w:color w:val="auto"/>
        </w:rPr>
        <w:t>has served as a member of our board of directors since November 2022. Dr. Lu is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Managing Member of NEXTBio Capital, a newly launched biotech investment firm. Dr. Lu. has also served as a Senior Advisor of Vivo Capital LLC (“Vivo Capital”), a Palo Alto-based investment firm, since February 2024. Dr. Lu was previously a Managing Partner from December 2020 until February 2024. Prior to joining Vivo Capital, Dr. Lu served as a Managing Partner at Lilly Asia Ventures from January 2017 until December 2020 (“LAV”). Prior to her role at LAV, she was affiliated with OrbiMed Advisors from June 2011 until October 2016, lastly as its Managing Director. Dr. Lu previously served on the boards of directors of public companies including Turning Point Therapeutics, Inc. (TPTX, acquired by Bristol-Myers Squibb), Crown Bioscience Inc. (6554.TT, acquired by JSR), Avedro Inc. (AVDR, acquired by Glaukos). She currently serves on the boards of Arrowhead Pharmaceuticals (Nasdaq: ARWR, since March 2024) and Terns Pharmaceuticals Inc. (Nasdaq: TERN, since April 2020). Dr. Lu started her Wall Street career as a biotech analyst at Piper Jaffray &amp; Co. and was involved in biotech start-up Zyomyx in the San Francisco Bay Area previously. Dr. Lu earned a Ph.D. in Bioengineering from the University of Washington, an M.B.A. from the Haas School of Business at the University of California, Berkeley, and graduated with honors from Tsinghua University. We believe Dr. Lu is qualified to serve as a director of the Company because of her experience serving on the board of directors of public and private biopharmaceutical companies and her experience in venture capital and the life sciences industry.</w:t>
      </w:r>
    </w:p>
    <w:p>
      <w:pPr>
        <w:spacing w:after="0" w:line="93"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b w:val="1"/>
          <w:bCs w:val="1"/>
          <w:i w:val="1"/>
          <w:iCs w:val="1"/>
          <w:color w:val="auto"/>
        </w:rPr>
        <w:t xml:space="preserve">Jake Nunn, </w:t>
      </w:r>
      <w:r>
        <w:rPr>
          <w:rFonts w:ascii="Times New Roman" w:cs="Times New Roman" w:eastAsia="Times New Roman" w:hAnsi="Times New Roman"/>
          <w:sz w:val="15"/>
          <w:szCs w:val="15"/>
          <w:color w:val="auto"/>
        </w:rPr>
        <w:t>has served as a member of our board of directors since May 2024. Mr. Nunn has served as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Partner at SR One Capital Management, LP (“SR One”) since October 2022. Prior to joining SR One, Mr. Nunn was a venture advisor at New Enterprise Associates, Inc., where he served as a partner from June 2006 until January 2019. Before this, he served as a partner and an analyst for the MPM BioEquities Fund, a life sciences fund at MPM Capital, L.P., a private equity firm from January 2001 to June 2006. Previously, he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3" w:name="page164"/>
    <w:bookmarkEnd w:id="16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was a healthcare research analyst and portfolio manager at Franklin Templeton Investments and an investment banker with Alex. Brown &amp; Sons. Mr. Nunn currently serves on the board of directors of several public companies, including Regulus Therapeutics Inc., (Nasdaq: RGLS, since June 2019), Addex Therapeutics Ltd. (Nasdaq: ADXN, since June 2018) and Trevena, Inc. (Nasdaq: TRVN, since July 2013). Previously, Mr. Nunn served on the board of directors of Dermira, Inc., from May 2011 until its acquisition by Eli Lilly and Company in February 2020, Hyperion Therapeutics, Inc. until its acquisition by Horizon Pharma plc, Hexima Limited (ASX: HXL), and Oventus Medical Ltd. (ASX: OVN). Mr. Nunn received his A.B. in economics from Dartmouth College and his M.B.A. from the Stanford Graduate School of Business. He also holds the Chartered Financial Analyst designation and is a member of the CFA Society of San Francisco. We believe Mr. Nunn is qualified to serve as a director of the Company because of his experience serving on the board of directors of numerous biotechnology companies and his investment experience in the life sciences industry.</w:t>
      </w:r>
    </w:p>
    <w:p>
      <w:pPr>
        <w:spacing w:after="0" w:line="241"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b w:val="1"/>
          <w:bCs w:val="1"/>
          <w:i w:val="1"/>
          <w:iCs w:val="1"/>
          <w:color w:val="auto"/>
        </w:rPr>
        <w:t xml:space="preserve">John Orloff, M.D., </w:t>
      </w:r>
      <w:r>
        <w:rPr>
          <w:rFonts w:ascii="Times New Roman" w:cs="Times New Roman" w:eastAsia="Times New Roman" w:hAnsi="Times New Roman"/>
          <w:sz w:val="15"/>
          <w:szCs w:val="15"/>
          <w:color w:val="auto"/>
        </w:rPr>
        <w:t>has served as a member of our board of directors since January 2022. Dr. Orloff has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been a Venture Partner at Agent Capital LLC (“Agent Capital”), a healthcare venture capital firm, since October 2021. Prior to Agent Capital, Dr. Orloff served as Executive Vice President and Global Head of Research and Development for Alexion Pharmaceuticals Inc. from June 2017 until July 2021. Dr. Orloff also served as Global Head of Research and Development and Chief Scientific Officer at Baxalta Inc. from July 2015 until July 2016, and has held executive leadership roles with Novelion Therapeutics Inc., Baxter BioScience, Merck Serono, Novartis AG and Merck Research Laboratories. Dr. Orloff currently serves on the board of directors of publicly-traded BenevolentAI Ltd. (AMS: BAI). Prior to his work in the pharmaceutical industry, Dr. Orloff was a faculty member at the Yale University School of Medicine from 1990 until 1997. Dr. Orloff holds an undergraduate degree in chemistry from Dartmouth College and earned his M.D. from the University of Vermont, College of Medicine. Dr. Orloff also completed a fellowship in endocrinology and metabolism at Yale University School of Medicine. We believe Dr. Orloff is qualified to serve as a director of the Company because of his extensive experience in the pharmaceutical industry.</w:t>
      </w:r>
    </w:p>
    <w:p>
      <w:pPr>
        <w:spacing w:after="0" w:line="9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Ting (Tim) Xiao, </w:t>
      </w:r>
      <w:r>
        <w:rPr>
          <w:rFonts w:ascii="Times New Roman" w:cs="Times New Roman" w:eastAsia="Times New Roman" w:hAnsi="Times New Roman"/>
          <w:sz w:val="15"/>
          <w:szCs w:val="15"/>
          <w:color w:val="auto"/>
        </w:rPr>
        <w:t>has served as a member of our board of directors since May 2024. Mr. Xiao is currently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 partner and founding team member at Delos Capital (“Delos”) since its inception in 2015. Mr. Xiao also serves as the part-time, interim Chief Executive Officer of Odeon Therapeutics (Cayman) Limited (‘‘Odeon’’). Prior to Delos and Odeon, Mr. Xiao was a Senior Associate in the Investment Banking Division of Goldman Sachs from December 2010 until December 2014. Mr. Xiao began his career as an investment banker at China International Capital from July 2008 until December 2010. Mr. Xiao serves as a board member for Eccogene, Curatia Medical, Inc., STRM.Bio, Inc., OncoMyx Therapeutics, Inc. and as a board observer for Allecra Therapeutics, Atia Vision, Inc. and Rgenta Therapeutics. Mr. Xiao was previously a board member for Luqa Pharmaceuticals (acquired by China Medical System) and Clover Biopharmaceuticals (HKEx:2197). Mr. Xiao received his M.S. in Biotechnology from the Johns Hopkins University and his B.S. in Economics from Shanghai Jiao Tong University. He is also a CFA charterholder. We believe Mr. Xiao is qualified to serve as a director of the Company because of his investment experience in the life sciences industry.</w:t>
      </w:r>
    </w:p>
    <w:p>
      <w:pPr>
        <w:spacing w:after="0" w:line="29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Family Relationships</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There are no family relationships among any of our executive officers or directors.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Composition of Our Board of Directors</w:t>
      </w:r>
    </w:p>
    <w:p>
      <w:pPr>
        <w:spacing w:after="0" w:line="11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Our business and affairs are organized under the direction of our board of directors, which currently consists of nine members with no vacancies. The primary responsibilities of our board of directors are to provide oversight, strategic guidance, counseling and direction to our management. Our board of directors meets on a regular basis and additionally as required.</w:t>
      </w:r>
    </w:p>
    <w:p>
      <w:pPr>
        <w:spacing w:after="0" w:line="9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Upon the consummation of this offering, our board of directors will consist of             members, of whom             were elected as directors pursuant to the board composition provisions of our Fourth Amended and Restated Shareholders Agreement (the “Shareholders Agreement”) among us and our stockholders. The Shareholders Agreement will terminate upon the completion of this offering, at which point no stockholder will have any special rights regarding the election or designation of the members of our board of directors. Our current directors elected to our board of directors pursuant to the Shareholders Agreement will continue to serve as directors until a successor is duly elected and qualified, or until his or her earlier resignation or removal.</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4" w:name="page165"/>
    <w:bookmarkEnd w:id="16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board of directors may establish the authorized number of directors from time to time by resolution. In accordance with our Restated Charter to be filed in connection with this offering, 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64" w:lineRule="exact"/>
        <w:rPr>
          <w:sz w:val="20"/>
          <w:szCs w:val="20"/>
          <w:color w:val="auto"/>
        </w:rPr>
      </w:pPr>
    </w:p>
    <w:p>
      <w:pPr>
        <w:ind w:left="1600" w:right="1179" w:hanging="143"/>
        <w:spacing w:after="0" w:line="269"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I directors will be                 , and their terms will expire at the annual meeting of stockholders to be held in 2025;</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II directors will be                 , and their terms will expire at the annual meeting of stockholders to be held in 2026;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III directors will be                 , and their terms will expire at the annual meeting of stockholders to be held in 2027.</w:t>
      </w:r>
    </w:p>
    <w:p>
      <w:pPr>
        <w:spacing w:after="0" w:line="8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division of our board of directors into three classes with staggered three-year terms may delay or prevent a change of our management or a change in control.</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Director Independence</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Under the rules of the Nasdaq Stock Market, independent directors must comprise a majority of a listed company’s board of directors within one year of the completion of its initial public offering. In addition, the rules of the Nasdaq Stock Market require that, subject to specified exceptions, each member of a listed company’s audit and compensation committees be independent and that director nominees be selected or recommended for the board’s selection by independent directors constituting a majority of the independent directors or by a nominating and corporate governance committee comprised solely of independent directors. Under the rules of the Nasdaq Stock Market, a director will only qualify as “independent” if, in the opinion of that company’s board of directors, that person does not have a relationship that would interfere with the exercise of independent judgment in carrying out the responsibilities of a director and that such person is “independent” as defined under the rules of the Nasdaq Stock Market and the rules under the Securities Exchange Act of 1934, as amended (the “Exchange Act”).</w:t>
      </w:r>
    </w:p>
    <w:p>
      <w:pPr>
        <w:spacing w:after="0" w:line="101"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Audit committee members must also satisfy the independence criteria set forth in Rule 10A -3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Based upon information requested from and provided by each director concerning his or her background, employment and affiliations, including family relationships, our board of directors has determined that each of our directors, with the exception of Leon O. Moulder, Jr., is an “independent director” as defined under applicable rules of the Nasdaq Stock Market, including, in the case of all the members of our audit committee, the independence criteria set forth in Rule 10A-3 under the Exchange Act, and in the case of all the members of our compensation committee, the independence criteria set forth in Rule 10C-1 under the Exchange Act and are “non-employee directors” as defined in Section 16b -3 of the Exchange Act. Our board of directors has determined that Mr. Moulder, by virtue of his position as our chief executive officer, is not independent under applicable rules and regulations of the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Person Transactions.”</w:t>
      </w:r>
    </w:p>
    <w:p>
      <w:pPr>
        <w:spacing w:after="0" w:line="2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Committees of Our Board of Directors</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Our board of directors will establish an audit committee, a compensation committee and a nominating and corporate governance committee. The composition and responsibilities of each of the committees of our</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5" w:name="page166"/>
    <w:bookmarkEnd w:id="16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board of directors are described below. Members serve on these committees until their resignation or until otherwise determined by our board of directors. Each committee intends to adopt a written charter that satisfies the application rules and regulation of the SEC and the Nasdaq Listing Rules, which we will post to our website at www.zenasbio.com upon the completion of this offering. Our board of directors may establish other committees as it deems necessary or appropriate from time to time. Information contained on, or accessible through, our website is not a part of this prospectus, and the inclusion of our website address in this prospectus is only an inactive textual reference.</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Audit Committee</w:t>
      </w:r>
    </w:p>
    <w:p>
      <w:pPr>
        <w:spacing w:after="0" w:line="117"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Our audit committee will operate under a written charter, to be effective prior to the completion of this offering, that satisfies the applicable Nasdaq Listing Rules.</w:t>
      </w:r>
    </w:p>
    <w:p>
      <w:pPr>
        <w:spacing w:after="0" w:line="7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audit committee’s responsibilities upon completion of this offering will include:</w:t>
      </w:r>
    </w:p>
    <w:p>
      <w:pPr>
        <w:spacing w:after="0" w:line="80" w:lineRule="exact"/>
        <w:rPr>
          <w:sz w:val="20"/>
          <w:szCs w:val="20"/>
          <w:color w:val="auto"/>
        </w:rPr>
      </w:pPr>
    </w:p>
    <w:p>
      <w:pPr>
        <w:ind w:left="1600" w:right="1179" w:hanging="143"/>
        <w:spacing w:after="0" w:line="269" w:lineRule="auto"/>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appointing, approving the compensation of, and evaluating the qualifications, performance, procedures and independence of, our independent registered public accounting firm;</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the work of our independent registered public accounting firm, including through the receipt and consideration of written periodic reports from such firm;</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pre-approving all audit and permitted non-audit services to be performed by our independent registered public accounting firm;</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with management and our independent registered public accounting firm our annual and quarterly financial statements and related disclosures, including earnings releases;</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and periodically reviewing with our independent registered public accounting firm our compliance with all applicable requirements of the Public Company Accounting Oversight Board;</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with management and our independent registered public accounting firm any material issues regarding accounting principles and financial statement presentations and the steps taken to deal with such issues;</w:t>
      </w:r>
    </w:p>
    <w:p>
      <w:pPr>
        <w:spacing w:after="0" w:line="5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disclosures about any significant deficiencies or material weaknesses in our internal control structures and procedures, including disclosures in our annual and quarterly reports;</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coordinating our board of directors’ oversight of our internal control over financial reporting, disclosure controls and procedures, code of business conduct and ethics, procedures for complaints and legal and regulatory matters;</w:t>
      </w:r>
    </w:p>
    <w:p>
      <w:pPr>
        <w:spacing w:after="0" w:line="39"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with management and our independent registered public accounting firm any material issues regarding cybersecurity risks and processes for assessing, identifying and managing material risks from cybersecurity threats;</w:t>
      </w:r>
    </w:p>
    <w:p>
      <w:pPr>
        <w:spacing w:after="0" w:line="5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discussing our risk management policies with management;</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policies regarding hiring employees from our independent registered public accounting firm and procedures for the receipt and retention of accounting related complaints and concerns;</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meeting independently with our independent registered public accounting firm and management;</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any related person transactions;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our guidelines and policies governing risk assessment and risk management;</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and periodically reviewing the integrity of our information technology systems, process and data;</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preparing the audit committee report required by SEC rules;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assessing, at least annually, the adequacy of the audit committee’s charter; and</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performing, at least annually, an evaluation of the performance of the audit committee.</w:t>
      </w:r>
    </w:p>
    <w:p>
      <w:pPr>
        <w:spacing w:after="0" w:line="113"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All audit services and all non-audit services, other than de minimis non-audit services, to be provided to us by our independent registered public accounting firm must be approved in advance by our audit committee.</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6" w:name="page167"/>
    <w:bookmarkEnd w:id="16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members of our audit committee are                      .                      chairs the audit committee. Our board of directors has determined that each member of our audit committee has sufficient knowledge in financial and auditing matters to serve on the audit committee. Our board of directors has also determined that               is an “audit committee financial expert,” as defined under Item 407 of Regulation S-K.</w:t>
      </w:r>
    </w:p>
    <w:p>
      <w:pPr>
        <w:spacing w:after="0" w:line="9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expect to satisfy the member independence requirements for the audit committee prior to the end of the transition period provided under the rules of the Nasdaq Stock Market and SEC rules and regulations for companies completing their initial public offering.</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Compensation Committee</w:t>
      </w:r>
    </w:p>
    <w:p>
      <w:pPr>
        <w:spacing w:after="0" w:line="12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Our compensation committee will operate under a written charter, to be effective prior to the completion of this offering, that satisfies the applicable Nasdaq Listing Rules.</w:t>
      </w:r>
    </w:p>
    <w:p>
      <w:pPr>
        <w:spacing w:after="0" w:line="8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Our compensation committee’s responsibilities upon completion of this offering will include:</w:t>
      </w:r>
    </w:p>
    <w:p>
      <w:pPr>
        <w:spacing w:after="0" w:line="91" w:lineRule="exact"/>
        <w:rPr>
          <w:sz w:val="20"/>
          <w:szCs w:val="20"/>
          <w:color w:val="auto"/>
        </w:rPr>
      </w:pPr>
    </w:p>
    <w:p>
      <w:pPr>
        <w:ind w:left="1600" w:right="1179" w:hanging="143"/>
        <w:spacing w:after="0" w:line="269"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establishing our overall management compensation strategy and benefits philosophy and policies, including base salary, incentive compensation and equity-based grants;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performance goals and objectives relevant to compensation of our chief executive officer and other executive officers;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evaluating the performance of the chief executive officer and executive officers in light of their performance goals and objectives, including during executive sessions of non-employee directors, and recommending to our board of directors the compensation of our chief executive officer and other executive officers;</w:t>
      </w:r>
    </w:p>
    <w:p>
      <w:pPr>
        <w:spacing w:after="0" w:line="6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making recommendations to the board of directors with respect to non-employee director compensation;</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overseeing and administering our equity incentive plans, granting awards under such plan and making recommendations to the board of directors about the adoption of any new or modifying existing equity-based, cash-based, management incentive and deferred compensation plans;</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and reviewing “clawback” policies that allow the recouping of incentive compensation;</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considering and selecting, to the extent determined to be advisable, a peer group of appropriate companies for purposing of benchmarking and analysis of compensation for our executive officers and non-employee directors;</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recommending to our board of directors any stock ownership guidelines for our executive officers and non-employee directors, periodically assessing these guidelines and recommending revisions as appropriate, and monitoring individual compliance with these guidelines;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retaining, appointing or obtaining advice of a compensation consultant, legal counsel or other advisor and determining the compensation and independence of such consultant or advisor;</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preparing, if required, the compensation committee report on executive compensation for inclusion in our annual report on Form 10-K and our proxy statement in accordance with SEC rules;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monitoring our compliance with the requirements of Sarbanes-Oxley relating to loans to directors and officers;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all employment contract and other compensation, severance and change-in-control arrangements for our executive officers;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and periodically reviewing policies and procedures with respect to perquisites as they relate to our executive officers;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the risks associated with our compensation policies and practices;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the maintenance and presentation to our board of directors of management’s plans for succession to senior management positions based on guidelines developed and recommended to the compensation committee to the full board of directors;</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7" w:name="page168"/>
    <w:bookmarkEnd w:id="16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our strategies, initiatives and programs with respect to our culture, talent recruitment, development, and retention, employee engagement and diversity and inclusion;</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maintaining minutes of the compensation committee and reporting its actions and any recommendations to the board of directors on a periodic basis;</w:t>
      </w:r>
    </w:p>
    <w:p>
      <w:pPr>
        <w:spacing w:after="0" w:line="63"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assessing, at least annually, the adequacy of the compensation committee’s charter; and</w:t>
      </w:r>
    </w:p>
    <w:p>
      <w:pPr>
        <w:spacing w:after="0" w:line="256"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performing, on an annual basis, an evaluation of the performance of the compensation committee.</w:t>
      </w:r>
    </w:p>
    <w:p>
      <w:pPr>
        <w:spacing w:after="0" w:line="113"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members of our compensation committee are                 .                 chairs the compensation committee.</w:t>
      </w:r>
    </w:p>
    <w:p>
      <w:pPr>
        <w:spacing w:after="0" w:line="8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We expect to satisfy the member independence requirements for the compensation committee prior to the end of the transition period provided under the rules of the Nasdaq Stock Market and SEC rules and regulations for companies completing their initial public offering.</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Nominating and Corporate Governance Committee</w:t>
      </w:r>
    </w:p>
    <w:p>
      <w:pPr>
        <w:spacing w:after="0" w:line="128"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Our nominating and corporate governance committee will operate under a written charter, to be effective prior to the completion of this offering, that satisfies the applicable Nasdaq Listing Rules.</w:t>
      </w:r>
    </w:p>
    <w:p>
      <w:pPr>
        <w:spacing w:after="0" w:line="7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Our nominating and corporate governance committee’s responsibilities upon completion of this offering will include:</w:t>
      </w:r>
    </w:p>
    <w:p>
      <w:pPr>
        <w:spacing w:after="0" w:line="53" w:lineRule="exact"/>
        <w:rPr>
          <w:sz w:val="20"/>
          <w:szCs w:val="20"/>
          <w:color w:val="auto"/>
        </w:rPr>
      </w:pPr>
    </w:p>
    <w:p>
      <w:pPr>
        <w:jc w:val="both"/>
        <w:ind w:left="1600" w:right="1179" w:hanging="143"/>
        <w:spacing w:after="0" w:line="262" w:lineRule="auto"/>
        <w:tabs>
          <w:tab w:leader="none" w:pos="160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actively seeking and identifying individuals qualified to become members of our board of directors consistent with criteria approved by the board and receiving nominations for such qualified individuals;</w:t>
      </w:r>
    </w:p>
    <w:p>
      <w:pPr>
        <w:spacing w:after="0" w:line="249"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recommending to our board of directors the persons to be nominated for election as directors and to each committee of the board;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a policy under which our stockholders may recommend a candidate to the nominating and corporate governance committee for consideration for nomination as a director;</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recommending committee slates on an annual basis;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recommending to our board of directors qualified candidates to fill vacancies on our board of directors;</w:t>
      </w:r>
    </w:p>
    <w:p>
      <w:pPr>
        <w:spacing w:after="0" w:line="25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and recommending to our board of directors a set of corporate governance principles applicable to us and reviewing the principles on at least an annual basis;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making recommendations to our board with respect to our board size, composition, leadership structure and board committee structure;</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in concert with our board of directors, our policies with respect to significant issues of corporate public responsibility, including but not limited to sustainability, diversity and inclusion and environmental, social and governance initiatives;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making recommendations to our board of directors of processes for annual evaluations of the performance of our board of directors and committees of our board of directors;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the process for annual evaluations of our board of directors and committees of our board of directors;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considering and reporting to our board of directors any questions of possible conflicts of interest of members of our board of directors;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with management the company’s social corporate responsibility activities, policies, and program;</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providing new director orientation and continuing education for existing directors on a periodic basis;</w:t>
      </w:r>
    </w:p>
    <w:p>
      <w:pPr>
        <w:spacing w:after="0" w:line="25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the maintenance and presentation to our board of directors of management’s plans for succession to senior management positions in the Company;</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8" w:name="page169"/>
    <w:bookmarkEnd w:id="16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assessing, at least annually, the adequacy of the nominating and corporate governance committee’s charter;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performing, on an annual basis, an evaluation of the performance of the nominating and corporate governance committee.</w:t>
      </w:r>
    </w:p>
    <w:p>
      <w:pPr>
        <w:spacing w:after="0" w:line="8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members of our nominating and corporate governance committee are                 .                 chairs the nominating and corporate governance committee. Our board of directors has determined that each member of the nominating and corporate governance committee satisfies the independence standards of the applicable rules of the Nasdaq Stock Market.</w:t>
      </w:r>
    </w:p>
    <w:p>
      <w:pPr>
        <w:spacing w:after="0" w:line="10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Our board of directors may establish other committees from time to time.</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Role of the Board of Directors in Risk Oversight</w:t>
      </w:r>
    </w:p>
    <w:p>
      <w:pPr>
        <w:spacing w:after="0" w:line="11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Our board of directors has, and, upon the completion of this offering, its committees will also have, an active role in overseeing the management of our risks. Our board of directors is responsible for general oversight of risks and regular review of information regarding our risks, including credit risks, liquidity risks and operational risks. The compensation committee will be responsible for overseeing the management of risks relating to our executive compensation plans and arrangements. The audit committee will be responsible for overseeing the management of risks relating to accounting matters and financial reporting. The nominating and governance committee will be responsible for overseeing the management of risks associated with the independence of our board of directors and potential conflicts of interest. Although each committee will be responsible for evaluating certain risks and overseeing the management of such risks, the entire board of directors will be regularly informed through discussions from committee members about such risks.</w:t>
      </w:r>
    </w:p>
    <w:p>
      <w:pPr>
        <w:spacing w:after="0" w:line="3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Code of Business Conduct and Ethics</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connection with this offering, we intend to adopt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will be posted on our website at www.zenasbio.com upon the completion of this offering.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Compensation Committee Interlocks and Insider Participation</w:t>
      </w:r>
    </w:p>
    <w:p>
      <w:pPr>
        <w:spacing w:after="0" w:line="126"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None of the members of the compensation committee is currently, or has been at any time, one of our officers or employees. None of our executive officers currently serves, or has served during the last completed fiscal year, as a member of the board of directors or compensation committee of any entity that has one or more executive officers serving as a member of our board of directors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9" w:name="page170"/>
    <w:bookmarkEnd w:id="169"/>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EXECUTIVE AND DIRECTOR COMPENSATION</w:t>
      </w:r>
    </w:p>
    <w:p>
      <w:pPr>
        <w:spacing w:after="0" w:line="12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The following discussion of compensation arrangements should be read with the compensation tables and related disclosures set forth below. 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9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named executive officers for the year ended December 31, 2023, which consist of all individuals serving as our principal executive officers during 2023 and our three most highly compensated executive officers other than individuals who served as the principal executive officer during 2023, were:</w:t>
      </w:r>
    </w:p>
    <w:p>
      <w:pPr>
        <w:spacing w:after="0" w:line="56" w:lineRule="exact"/>
        <w:rPr>
          <w:sz w:val="20"/>
          <w:szCs w:val="20"/>
          <w:color w:val="auto"/>
        </w:rPr>
      </w:pPr>
    </w:p>
    <w:p>
      <w:pPr>
        <w:ind w:left="1600" w:hanging="143"/>
        <w:spacing w:after="0"/>
        <w:tabs>
          <w:tab w:leader="none" w:pos="160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Leon O. Moulder, Jr., Founder, Chief Executive Officer and Chairman;</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Hua Mu, M.D., Ph.D., former Chief Executive Officer and former Interim Chief Medical Officer and former Head of China;</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Joseph Farmer, President and Chief Operating Officer;</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Jennifer Fox, Chief Business Officer and Chief Financial Officer; and</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Tanya Z. Fischer, M.D., Ph.D., former Head of Research and Development and Chief Medical Officer.</w:t>
      </w:r>
    </w:p>
    <w:p>
      <w:pPr>
        <w:spacing w:after="0" w:line="290"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Effective June 29, 2023, Dr. Mu transitioned from the role of Chief Executive Officer to Head of China and Interim Chief Medical Officer, and Mr. Moulder became the Chief Executive Officer. Effective October 30, 2023, Dr. Fischer became the Head of Research and Development and took over for Dr. Mu as Chief Medical Officer. On August 20, 2024, Dr. Fischer decided to transition from the Company effective December 31, 2024, and in the interim serve as the Executive Research &amp; Development Advisor to the Chief Executive Officer. Although Mr. Farmer is not a named executive officer for 2023, we are including his compensation information, as he is one of our key executive officers and this prospectus is the first disclosure of the compensation of our executive officers. We anticipate disclosing only the two most highly compensated executive officers, along with the principal executive officer, for future proxy disclosures of executive compensation as required under Item 402 of Regulation S-K under the Securities Act, so long as we remain an “emerging growth company” or “smaller reporting company.”</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Summary Compensation Table</w:t>
      </w:r>
    </w:p>
    <w:p>
      <w:pPr>
        <w:spacing w:after="0" w:line="115"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presents the compensation awarded to or earned by or paid to our named executive officers and Mr. Farmer during the year ended December 31, 2023.</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21"/>
        </w:trPr>
        <w:tc>
          <w:tcPr>
            <w:tcW w:w="1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5"/>
              </w:rPr>
              <w:t>Non-Equity</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Incentive Plan</w:t>
            </w:r>
          </w:p>
        </w:tc>
        <w:tc>
          <w:tcPr>
            <w:tcW w:w="140" w:type="dxa"/>
            <w:vAlign w:val="bottom"/>
          </w:tcPr>
          <w:p>
            <w:pPr>
              <w:spacing w:after="0"/>
              <w:rPr>
                <w:sz w:val="9"/>
                <w:szCs w:val="9"/>
                <w:color w:val="auto"/>
              </w:rPr>
            </w:pPr>
          </w:p>
        </w:tc>
        <w:tc>
          <w:tcPr>
            <w:tcW w:w="580" w:type="dxa"/>
            <w:vAlign w:val="bottom"/>
            <w:gridSpan w:val="3"/>
          </w:tcPr>
          <w:p>
            <w:pPr>
              <w:ind w:left="40"/>
              <w:spacing w:after="0" w:line="110" w:lineRule="exact"/>
              <w:rPr>
                <w:sz w:val="20"/>
                <w:szCs w:val="20"/>
                <w:color w:val="auto"/>
              </w:rPr>
            </w:pPr>
            <w:r>
              <w:rPr>
                <w:rFonts w:ascii="Times New Roman" w:cs="Times New Roman" w:eastAsia="Times New Roman" w:hAnsi="Times New Roman"/>
                <w:sz w:val="10"/>
                <w:szCs w:val="10"/>
                <w:b w:val="1"/>
                <w:bCs w:val="1"/>
                <w:color w:val="auto"/>
              </w:rPr>
              <w:t>All Other</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87"/>
              </w:rPr>
              <w:t>Fiscal</w:t>
            </w:r>
          </w:p>
        </w:tc>
        <w:tc>
          <w:tcPr>
            <w:tcW w:w="60" w:type="dxa"/>
            <w:vAlign w:val="bottom"/>
          </w:tcPr>
          <w:p>
            <w:pPr>
              <w:spacing w:after="0"/>
              <w:rPr>
                <w:sz w:val="9"/>
                <w:szCs w:val="9"/>
                <w:color w:val="auto"/>
              </w:rPr>
            </w:pPr>
          </w:p>
        </w:tc>
        <w:tc>
          <w:tcPr>
            <w:tcW w:w="600" w:type="dxa"/>
            <w:vAlign w:val="bottom"/>
            <w:gridSpan w:val="3"/>
          </w:tcPr>
          <w:p>
            <w:pPr>
              <w:jc w:val="center"/>
              <w:ind w:right="237"/>
              <w:spacing w:after="0"/>
              <w:rPr>
                <w:sz w:val="20"/>
                <w:szCs w:val="20"/>
                <w:color w:val="auto"/>
              </w:rPr>
            </w:pPr>
            <w:r>
              <w:rPr>
                <w:rFonts w:ascii="Times New Roman" w:cs="Times New Roman" w:eastAsia="Times New Roman" w:hAnsi="Times New Roman"/>
                <w:sz w:val="10"/>
                <w:szCs w:val="10"/>
                <w:b w:val="1"/>
                <w:bCs w:val="1"/>
                <w:color w:val="auto"/>
              </w:rPr>
              <w:t>Salary</w:t>
            </w:r>
          </w:p>
        </w:tc>
        <w:tc>
          <w:tcPr>
            <w:tcW w:w="500" w:type="dxa"/>
            <w:vAlign w:val="bottom"/>
            <w:gridSpan w:val="3"/>
          </w:tcPr>
          <w:p>
            <w:pPr>
              <w:jc w:val="center"/>
              <w:ind w:right="206"/>
              <w:spacing w:after="0"/>
              <w:rPr>
                <w:sz w:val="20"/>
                <w:szCs w:val="20"/>
                <w:color w:val="auto"/>
              </w:rPr>
            </w:pPr>
            <w:r>
              <w:rPr>
                <w:rFonts w:ascii="Times New Roman" w:cs="Times New Roman" w:eastAsia="Times New Roman" w:hAnsi="Times New Roman"/>
                <w:sz w:val="10"/>
                <w:szCs w:val="10"/>
                <w:b w:val="1"/>
                <w:bCs w:val="1"/>
                <w:color w:val="auto"/>
                <w:w w:val="97"/>
              </w:rPr>
              <w:t>Bonus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Option Awards</w:t>
            </w:r>
          </w:p>
        </w:tc>
        <w:tc>
          <w:tcPr>
            <w:tcW w:w="100" w:type="dxa"/>
            <w:vAlign w:val="bottom"/>
          </w:tcPr>
          <w:p>
            <w:pPr>
              <w:spacing w:after="0"/>
              <w:rPr>
                <w:sz w:val="9"/>
                <w:szCs w:val="9"/>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Compensation</w:t>
            </w:r>
          </w:p>
        </w:tc>
        <w:tc>
          <w:tcPr>
            <w:tcW w:w="140" w:type="dxa"/>
            <w:vAlign w:val="bottom"/>
          </w:tcPr>
          <w:p>
            <w:pPr>
              <w:spacing w:after="0"/>
              <w:rPr>
                <w:sz w:val="9"/>
                <w:szCs w:val="9"/>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87"/>
              </w:rPr>
              <w:t>Compensation</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5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 and Principal Position</w:t>
            </w:r>
          </w:p>
        </w:tc>
        <w:tc>
          <w:tcPr>
            <w:tcW w:w="36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 xml:space="preserve"> Year</w:t>
            </w:r>
          </w:p>
        </w:tc>
        <w:tc>
          <w:tcPr>
            <w:tcW w:w="660" w:type="dxa"/>
            <w:vAlign w:val="bottom"/>
            <w:gridSpan w:val="4"/>
          </w:tcPr>
          <w:p>
            <w:pPr>
              <w:jc w:val="right"/>
              <w:ind w:right="57"/>
              <w:spacing w:after="0" w:line="147"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 xml:space="preserve">  ($)</w:t>
            </w:r>
            <w:r>
              <w:rPr>
                <w:rFonts w:ascii="Times New Roman" w:cs="Times New Roman" w:eastAsia="Times New Roman" w:hAnsi="Times New Roman"/>
                <w:sz w:val="11"/>
                <w:szCs w:val="11"/>
                <w:b w:val="1"/>
                <w:bCs w:val="1"/>
                <w:color w:val="auto"/>
                <w:vertAlign w:val="superscript"/>
              </w:rPr>
              <w:t>(1)</w:t>
            </w:r>
            <w:r>
              <w:rPr>
                <w:rFonts w:ascii="Times New Roman" w:cs="Times New Roman" w:eastAsia="Times New Roman" w:hAnsi="Times New Roman"/>
                <w:sz w:val="9"/>
                <w:szCs w:val="9"/>
                <w:b w:val="1"/>
                <w:bCs w:val="1"/>
                <w:color w:val="auto"/>
              </w:rPr>
              <w:t xml:space="preserve">    </w:t>
            </w:r>
            <w:r>
              <w:rPr>
                <w:rFonts w:ascii="Times New Roman" w:cs="Times New Roman" w:eastAsia="Times New Roman" w:hAnsi="Times New Roman"/>
                <w:sz w:val="17"/>
                <w:szCs w:val="17"/>
                <w:b w:val="1"/>
                <w:bCs w:val="1"/>
                <w:color w:val="auto"/>
                <w:vertAlign w:val="subscript"/>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160" w:type="dxa"/>
            <w:vAlign w:val="bottom"/>
          </w:tcPr>
          <w:p>
            <w:pPr>
              <w:spacing w:after="0"/>
              <w:rPr>
                <w:sz w:val="12"/>
                <w:szCs w:val="12"/>
                <w:color w:val="auto"/>
              </w:rPr>
            </w:pPr>
          </w:p>
        </w:tc>
        <w:tc>
          <w:tcPr>
            <w:tcW w:w="500" w:type="dxa"/>
            <w:vAlign w:val="bottom"/>
          </w:tcPr>
          <w:p>
            <w:pPr>
              <w:jc w:val="right"/>
              <w:ind w:right="199"/>
              <w:spacing w:after="0" w:line="147"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3"/>
                <w:szCs w:val="13"/>
                <w:b w:val="1"/>
                <w:bCs w:val="1"/>
                <w:color w:val="auto"/>
                <w:vertAlign w:val="superscript"/>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2"/>
                <w:szCs w:val="12"/>
                <w:color w:val="auto"/>
              </w:rPr>
            </w:pPr>
          </w:p>
        </w:tc>
        <w:tc>
          <w:tcPr>
            <w:tcW w:w="440" w:type="dxa"/>
            <w:vAlign w:val="bottom"/>
          </w:tcPr>
          <w:p>
            <w:pPr>
              <w:jc w:val="center"/>
              <w:ind w:right="152"/>
              <w:spacing w:after="0" w:line="147" w:lineRule="exact"/>
              <w:rPr>
                <w:sz w:val="20"/>
                <w:szCs w:val="20"/>
                <w:color w:val="auto"/>
              </w:rPr>
            </w:pPr>
            <w:r>
              <w:rPr>
                <w:rFonts w:ascii="Times New Roman" w:cs="Times New Roman" w:eastAsia="Times New Roman" w:hAnsi="Times New Roman"/>
                <w:sz w:val="10"/>
                <w:szCs w:val="10"/>
                <w:b w:val="1"/>
                <w:bCs w:val="1"/>
                <w:color w:val="auto"/>
                <w:w w:val="82"/>
              </w:rPr>
              <w:t>($)</w:t>
            </w:r>
            <w:r>
              <w:rPr>
                <w:rFonts w:ascii="Times New Roman" w:cs="Times New Roman" w:eastAsia="Times New Roman" w:hAnsi="Times New Roman"/>
                <w:sz w:val="13"/>
                <w:szCs w:val="13"/>
                <w:b w:val="1"/>
                <w:bCs w:val="1"/>
                <w:color w:val="auto"/>
                <w:w w:val="82"/>
                <w:vertAlign w:val="superscript"/>
              </w:rPr>
              <w:t>(3)</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300" w:type="dxa"/>
            <w:vAlign w:val="bottom"/>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7"/>
                <w:szCs w:val="17"/>
                <w:b w:val="1"/>
                <w:bCs w:val="1"/>
                <w:color w:val="auto"/>
                <w:vertAlign w:val="subscript"/>
              </w:rPr>
              <w:t>​ ​</w:t>
            </w:r>
            <w:r>
              <w:rPr>
                <w:rFonts w:ascii="Times New Roman" w:cs="Times New Roman" w:eastAsia="Times New Roman" w:hAnsi="Times New Roman"/>
                <w:sz w:val="9"/>
                <w:szCs w:val="9"/>
                <w:b w:val="1"/>
                <w:bCs w:val="1"/>
                <w:color w:val="auto"/>
              </w:rPr>
              <w:t xml:space="preserve"> Total ($) </w:t>
            </w:r>
            <w:r>
              <w:rPr>
                <w:rFonts w:ascii="Times New Roman" w:cs="Times New Roman" w:eastAsia="Times New Roman" w:hAnsi="Times New Roman"/>
                <w:sz w:val="17"/>
                <w:szCs w:val="17"/>
                <w:b w:val="1"/>
                <w:bCs w:val="1"/>
                <w:color w:val="auto"/>
                <w:vertAlign w:val="subscript"/>
              </w:rPr>
              <w:t>​</w:t>
            </w:r>
          </w:p>
        </w:tc>
        <w:tc>
          <w:tcPr>
            <w:tcW w:w="0" w:type="dxa"/>
            <w:vAlign w:val="bottom"/>
          </w:tcPr>
          <w:p>
            <w:pPr>
              <w:spacing w:after="0"/>
              <w:rPr>
                <w:sz w:val="1"/>
                <w:szCs w:val="1"/>
                <w:color w:val="auto"/>
              </w:rPr>
            </w:pPr>
          </w:p>
        </w:tc>
      </w:tr>
      <w:tr>
        <w:trPr>
          <w:trHeight w:val="28"/>
        </w:trPr>
        <w:tc>
          <w:tcPr>
            <w:tcW w:w="1220" w:type="dxa"/>
            <w:vAlign w:val="bottom"/>
            <w:shd w:val="clear" w:color="auto" w:fill="CCEEFF"/>
          </w:tcPr>
          <w:p>
            <w:pPr>
              <w:spacing w:after="0"/>
              <w:rPr>
                <w:sz w:val="2"/>
                <w:szCs w:val="2"/>
                <w:color w:val="auto"/>
              </w:rPr>
            </w:pPr>
          </w:p>
        </w:tc>
        <w:tc>
          <w:tcPr>
            <w:tcW w:w="1300" w:type="dxa"/>
            <w:vAlign w:val="bottom"/>
            <w:vMerge w:val="restart"/>
            <w:shd w:val="clear" w:color="auto" w:fill="CCEEFF"/>
          </w:tcPr>
          <w:p>
            <w:pPr>
              <w:spacing w:after="0"/>
              <w:rPr>
                <w:sz w:val="2"/>
                <w:szCs w:val="2"/>
                <w:color w:val="auto"/>
              </w:rPr>
            </w:pPr>
          </w:p>
        </w:tc>
        <w:tc>
          <w:tcPr>
            <w:tcW w:w="80" w:type="dxa"/>
            <w:vAlign w:val="bottom"/>
            <w:vMerge w:val="restart"/>
            <w:shd w:val="clear" w:color="auto" w:fill="CCEEFF"/>
          </w:tcPr>
          <w:p>
            <w:pPr>
              <w:ind w:left="40"/>
              <w:spacing w:after="0" w:line="41" w:lineRule="exact"/>
              <w:rPr>
                <w:sz w:val="20"/>
                <w:szCs w:val="20"/>
                <w:color w:val="auto"/>
              </w:rPr>
            </w:pPr>
            <w:r>
              <w:rPr>
                <w:rFonts w:ascii="Times New Roman" w:cs="Times New Roman" w:eastAsia="Times New Roman" w:hAnsi="Times New Roman"/>
                <w:sz w:val="4"/>
                <w:szCs w:val="4"/>
                <w:color w:val="auto"/>
              </w:rPr>
              <w:t>​​</w:t>
            </w:r>
          </w:p>
        </w:tc>
        <w:tc>
          <w:tcPr>
            <w:tcW w:w="280" w:type="dxa"/>
            <w:vAlign w:val="bottom"/>
            <w:tcBorders>
              <w:right w:val="single" w:sz="8" w:color="auto"/>
            </w:tcBorders>
            <w:shd w:val="clear" w:color="auto" w:fill="000000"/>
          </w:tcPr>
          <w:p>
            <w:pPr>
              <w:spacing w:after="0"/>
              <w:rPr>
                <w:sz w:val="2"/>
                <w:szCs w:val="2"/>
                <w:color w:val="auto"/>
              </w:rPr>
            </w:pPr>
          </w:p>
        </w:tc>
        <w:tc>
          <w:tcPr>
            <w:tcW w:w="60" w:type="dxa"/>
            <w:vAlign w:val="bottom"/>
            <w:vMerge w:val="restart"/>
            <w:shd w:val="clear" w:color="auto" w:fill="CCEEFF"/>
          </w:tcPr>
          <w:p>
            <w:pPr>
              <w:spacing w:after="0" w:line="41" w:lineRule="exact"/>
              <w:rPr>
                <w:sz w:val="20"/>
                <w:szCs w:val="20"/>
                <w:color w:val="auto"/>
              </w:rPr>
            </w:pPr>
            <w:r>
              <w:rPr>
                <w:rFonts w:ascii="Times New Roman" w:cs="Times New Roman" w:eastAsia="Times New Roman" w:hAnsi="Times New Roman"/>
                <w:sz w:val="4"/>
                <w:szCs w:val="4"/>
                <w:color w:val="auto"/>
              </w:rPr>
              <w:t>​​​</w:t>
            </w:r>
          </w:p>
        </w:tc>
        <w:tc>
          <w:tcPr>
            <w:tcW w:w="4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line="41" w:lineRule="exact"/>
              <w:rPr>
                <w:sz w:val="20"/>
                <w:szCs w:val="20"/>
                <w:color w:val="auto"/>
              </w:rPr>
            </w:pPr>
            <w:r>
              <w:rPr>
                <w:rFonts w:ascii="Times New Roman" w:cs="Times New Roman" w:eastAsia="Times New Roman" w:hAnsi="Times New Roman"/>
                <w:sz w:val="4"/>
                <w:szCs w:val="4"/>
                <w:color w:val="auto"/>
              </w:rPr>
              <w:t>​​ ​</w:t>
            </w: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line="41" w:lineRule="exact"/>
              <w:rPr>
                <w:sz w:val="20"/>
                <w:szCs w:val="20"/>
                <w:color w:val="auto"/>
              </w:rPr>
            </w:pPr>
            <w:r>
              <w:rPr>
                <w:rFonts w:ascii="Times New Roman" w:cs="Times New Roman" w:eastAsia="Times New Roman" w:hAnsi="Times New Roman"/>
                <w:sz w:val="4"/>
                <w:szCs w:val="4"/>
                <w:color w:val="auto"/>
              </w:rPr>
              <w:t>​​ ​</w:t>
            </w:r>
          </w:p>
        </w:tc>
        <w:tc>
          <w:tcPr>
            <w:tcW w:w="660" w:type="dxa"/>
            <w:vAlign w:val="bottom"/>
            <w:gridSpan w:val="2"/>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vMerge w:val="restart"/>
          </w:tcPr>
          <w:p>
            <w:pPr>
              <w:jc w:val="right"/>
              <w:spacing w:after="0" w:line="41" w:lineRule="exact"/>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rPr>
                <w:sz w:val="1"/>
                <w:szCs w:val="1"/>
                <w:color w:val="auto"/>
              </w:rPr>
            </w:pPr>
          </w:p>
        </w:tc>
      </w:tr>
      <w:tr>
        <w:trPr>
          <w:trHeight w:val="4294967289"/>
        </w:trPr>
        <w:tc>
          <w:tcPr>
            <w:tcW w:w="1220" w:type="dxa"/>
            <w:vAlign w:val="bottom"/>
            <w:tcBorders>
              <w:top w:val="single" w:sz="8" w:color="auto"/>
            </w:tcBorders>
            <w:shd w:val="clear" w:color="auto" w:fill="CCEEFF"/>
          </w:tcPr>
          <w:p>
            <w:pPr>
              <w:spacing w:after="0" w:line="9" w:lineRule="exact"/>
              <w:rPr>
                <w:sz w:val="20"/>
                <w:szCs w:val="20"/>
                <w:color w:val="auto"/>
              </w:rPr>
            </w:pPr>
            <w:r>
              <w:rPr>
                <w:rFonts w:ascii="Times New Roman" w:cs="Times New Roman" w:eastAsia="Times New Roman" w:hAnsi="Times New Roman"/>
                <w:sz w:val="1"/>
                <w:szCs w:val="1"/>
                <w:color w:val="auto"/>
              </w:rPr>
              <w:t>Leon O. Moulder, Jr.</w:t>
            </w:r>
          </w:p>
        </w:tc>
        <w:tc>
          <w:tcPr>
            <w:tcW w:w="1300" w:type="dxa"/>
            <w:vAlign w:val="bottom"/>
            <w:tcBorders>
              <w:top w:val="single" w:sz="8" w:color="CCEEFF"/>
            </w:tcBorders>
            <w:vMerge w:val="continue"/>
            <w:shd w:val="clear" w:color="auto" w:fill="CCEEFF"/>
          </w:tcPr>
          <w:p>
            <w:pPr>
              <w:spacing w:after="0" w:line="20" w:lineRule="exact"/>
              <w:rPr>
                <w:sz w:val="1"/>
                <w:szCs w:val="1"/>
                <w:color w:val="auto"/>
              </w:rPr>
            </w:pPr>
          </w:p>
        </w:tc>
        <w:tc>
          <w:tcPr>
            <w:tcW w:w="80" w:type="dxa"/>
            <w:vAlign w:val="bottom"/>
            <w:tcBorders>
              <w:top w:val="single" w:sz="8" w:color="CCEEFF"/>
            </w:tcBorders>
            <w:vMerge w:val="continue"/>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jc w:val="right"/>
              <w:ind w:right="11"/>
              <w:spacing w:after="0" w:line="9" w:lineRule="exact"/>
              <w:rPr>
                <w:sz w:val="20"/>
                <w:szCs w:val="20"/>
                <w:color w:val="auto"/>
              </w:rPr>
            </w:pPr>
            <w:r>
              <w:rPr>
                <w:rFonts w:ascii="Times New Roman" w:cs="Times New Roman" w:eastAsia="Times New Roman" w:hAnsi="Times New Roman"/>
                <w:sz w:val="1"/>
                <w:szCs w:val="1"/>
                <w:b w:val="1"/>
                <w:bCs w:val="1"/>
                <w:color w:val="auto"/>
              </w:rPr>
              <w:t>​</w:t>
            </w:r>
            <w:r>
              <w:rPr>
                <w:rFonts w:ascii="Times New Roman" w:cs="Times New Roman" w:eastAsia="Times New Roman" w:hAnsi="Times New Roman"/>
                <w:sz w:val="1"/>
                <w:szCs w:val="1"/>
                <w:color w:val="auto"/>
              </w:rPr>
              <w:t>2023</w:t>
            </w:r>
          </w:p>
        </w:tc>
        <w:tc>
          <w:tcPr>
            <w:tcW w:w="60" w:type="dxa"/>
            <w:vAlign w:val="bottom"/>
            <w:tcBorders>
              <w:top w:val="single" w:sz="8" w:color="CCEEFF"/>
            </w:tcBorders>
            <w:vMerge w:val="continue"/>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jc w:val="center"/>
              <w:spacing w:after="0" w:line="9" w:lineRule="exact"/>
              <w:rPr>
                <w:sz w:val="20"/>
                <w:szCs w:val="20"/>
                <w:color w:val="auto"/>
              </w:rPr>
            </w:pPr>
            <w:r>
              <w:rPr>
                <w:rFonts w:ascii="Times New Roman" w:cs="Times New Roman" w:eastAsia="Times New Roman" w:hAnsi="Times New Roman"/>
                <w:sz w:val="1"/>
                <w:szCs w:val="1"/>
                <w:color w:val="auto"/>
                <w:vertAlign w:val="superscript"/>
              </w:rPr>
              <w:t>​</w:t>
            </w:r>
            <w:r>
              <w:rPr>
                <w:rFonts w:ascii="Times New Roman" w:cs="Times New Roman" w:eastAsia="Times New Roman" w:hAnsi="Times New Roman"/>
                <w:sz w:val="1"/>
                <w:szCs w:val="1"/>
                <w:color w:val="auto"/>
              </w:rPr>
              <w:t>​126,923</w:t>
            </w:r>
          </w:p>
        </w:tc>
        <w:tc>
          <w:tcPr>
            <w:tcW w:w="140" w:type="dxa"/>
            <w:vAlign w:val="bottom"/>
            <w:tcBorders>
              <w:top w:val="single" w:sz="8" w:color="CCEEFF"/>
            </w:tcBorders>
            <w:vMerge w:val="continue"/>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jc w:val="right"/>
              <w:ind w:right="17"/>
              <w:spacing w:after="0" w:line="9" w:lineRule="exact"/>
              <w:rPr>
                <w:sz w:val="20"/>
                <w:szCs w:val="20"/>
                <w:color w:val="auto"/>
              </w:rPr>
            </w:pPr>
            <w:r>
              <w:rPr>
                <w:rFonts w:ascii="Times New Roman" w:cs="Times New Roman" w:eastAsia="Times New Roman" w:hAnsi="Times New Roman"/>
                <w:sz w:val="1"/>
                <w:szCs w:val="1"/>
                <w:color w:val="auto"/>
                <w:vertAlign w:val="superscript"/>
              </w:rPr>
              <w:t>​</w:t>
            </w:r>
            <w:r>
              <w:rPr>
                <w:rFonts w:ascii="Times New Roman" w:cs="Times New Roman" w:eastAsia="Times New Roman" w:hAnsi="Times New Roman"/>
                <w:sz w:val="1"/>
                <w:szCs w:val="1"/>
                <w:color w:val="auto"/>
              </w:rPr>
              <w:t>​</w:t>
            </w: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9"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top w:val="single" w:sz="8" w:color="CCEEFF"/>
            </w:tcBorders>
            <w:vMerge w:val="continue"/>
            <w:shd w:val="clear" w:color="auto" w:fill="CCEEFF"/>
          </w:tcPr>
          <w:p>
            <w:pPr>
              <w:spacing w:after="0" w:line="20" w:lineRule="exact"/>
              <w:rPr>
                <w:sz w:val="1"/>
                <w:szCs w:val="1"/>
                <w:color w:val="auto"/>
              </w:rPr>
            </w:pPr>
          </w:p>
        </w:tc>
        <w:tc>
          <w:tcPr>
            <w:tcW w:w="660" w:type="dxa"/>
            <w:vAlign w:val="bottom"/>
            <w:tcBorders>
              <w:top w:val="single" w:sz="8" w:color="CCEEFF"/>
            </w:tcBorders>
            <w:gridSpan w:val="2"/>
            <w:shd w:val="clear" w:color="auto" w:fill="CCEEFF"/>
          </w:tcPr>
          <w:p>
            <w:pPr>
              <w:jc w:val="right"/>
              <w:ind w:right="59"/>
              <w:spacing w:after="0" w:line="9" w:lineRule="exact"/>
              <w:rPr>
                <w:sz w:val="20"/>
                <w:szCs w:val="20"/>
                <w:color w:val="auto"/>
              </w:rPr>
            </w:pPr>
            <w:r>
              <w:rPr>
                <w:rFonts w:ascii="Times New Roman" w:cs="Times New Roman" w:eastAsia="Times New Roman" w:hAnsi="Times New Roman"/>
                <w:sz w:val="1"/>
                <w:szCs w:val="1"/>
                <w:color w:val="auto"/>
              </w:rPr>
              <w:t>​2,474,587</w:t>
            </w:r>
          </w:p>
        </w:tc>
        <w:tc>
          <w:tcPr>
            <w:tcW w:w="100" w:type="dxa"/>
            <w:vAlign w:val="bottom"/>
            <w:tcBorders>
              <w:top w:val="single" w:sz="8" w:color="CCEEFF"/>
              <w:right w:val="single" w:sz="8" w:color="CCEEFF"/>
            </w:tcBorders>
            <w:shd w:val="clear" w:color="auto" w:fill="CCEEFF"/>
          </w:tcPr>
          <w:p>
            <w:pPr>
              <w:jc w:val="right"/>
              <w:spacing w:after="0" w:line="9"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top w:val="single" w:sz="8" w:color="CCEEFF"/>
            </w:tcBorders>
            <w:shd w:val="clear" w:color="auto" w:fill="CCEEFF"/>
          </w:tcPr>
          <w:p>
            <w:pPr>
              <w:ind w:left="80"/>
              <w:spacing w:after="0" w:line="9" w:lineRule="exact"/>
              <w:rPr>
                <w:sz w:val="20"/>
                <w:szCs w:val="20"/>
                <w:color w:val="auto"/>
              </w:rPr>
            </w:pPr>
            <w:r>
              <w:rPr>
                <w:rFonts w:ascii="Times New Roman" w:cs="Times New Roman" w:eastAsia="Times New Roman" w:hAnsi="Times New Roman"/>
                <w:sz w:val="1"/>
                <w:szCs w:val="1"/>
                <w:color w:val="auto"/>
              </w:rPr>
              <w:t>​</w:t>
            </w:r>
          </w:p>
        </w:tc>
        <w:tc>
          <w:tcPr>
            <w:tcW w:w="440" w:type="dxa"/>
            <w:vAlign w:val="bottom"/>
            <w:tcBorders>
              <w:top w:val="single" w:sz="8" w:color="CCEEFF"/>
            </w:tcBorders>
            <w:shd w:val="clear" w:color="auto" w:fill="CCEEFF"/>
          </w:tcPr>
          <w:p>
            <w:pPr>
              <w:jc w:val="right"/>
              <w:ind w:right="92"/>
              <w:spacing w:after="0" w:line="9" w:lineRule="exact"/>
              <w:rPr>
                <w:sz w:val="20"/>
                <w:szCs w:val="20"/>
                <w:color w:val="auto"/>
              </w:rPr>
            </w:pPr>
            <w:r>
              <w:rPr>
                <w:rFonts w:ascii="Times New Roman" w:cs="Times New Roman" w:eastAsia="Times New Roman" w:hAnsi="Times New Roman"/>
                <w:sz w:val="1"/>
                <w:szCs w:val="1"/>
                <w:color w:val="auto"/>
              </w:rPr>
              <w:t>—</w:t>
            </w:r>
          </w:p>
        </w:tc>
        <w:tc>
          <w:tcPr>
            <w:tcW w:w="140" w:type="dxa"/>
            <w:vAlign w:val="bottom"/>
            <w:tcBorders>
              <w:top w:val="single" w:sz="8" w:color="CCEEFF"/>
              <w:right w:val="single" w:sz="8" w:color="CCEEFF"/>
            </w:tcBorders>
            <w:shd w:val="clear" w:color="auto" w:fill="CCEEFF"/>
          </w:tcPr>
          <w:p>
            <w:pPr>
              <w:jc w:val="right"/>
              <w:ind w:right="27"/>
              <w:spacing w:after="0" w:line="9" w:lineRule="exact"/>
              <w:rPr>
                <w:sz w:val="20"/>
                <w:szCs w:val="20"/>
                <w:color w:val="auto"/>
              </w:rPr>
            </w:pPr>
            <w:r>
              <w:rPr>
                <w:rFonts w:ascii="Times New Roman" w:cs="Times New Roman" w:eastAsia="Times New Roman" w:hAnsi="Times New Roman"/>
                <w:sz w:val="1"/>
                <w:szCs w:val="1"/>
                <w:color w:val="auto"/>
              </w:rPr>
              <w:t>​​​</w:t>
            </w:r>
          </w:p>
        </w:tc>
        <w:tc>
          <w:tcPr>
            <w:tcW w:w="140" w:type="dxa"/>
            <w:vAlign w:val="bottom"/>
            <w:tcBorders>
              <w:top w:val="single" w:sz="8" w:color="CCEEFF"/>
            </w:tcBorders>
            <w:shd w:val="clear" w:color="auto" w:fill="CCEEFF"/>
          </w:tcPr>
          <w:p>
            <w:pPr>
              <w:ind w:left="60"/>
              <w:spacing w:after="0" w:line="9" w:lineRule="exact"/>
              <w:rPr>
                <w:sz w:val="20"/>
                <w:szCs w:val="20"/>
                <w:color w:val="auto"/>
              </w:rPr>
            </w:pPr>
            <w:r>
              <w:rPr>
                <w:rFonts w:ascii="Times New Roman" w:cs="Times New Roman" w:eastAsia="Times New Roman" w:hAnsi="Times New Roman"/>
                <w:sz w:val="1"/>
                <w:szCs w:val="1"/>
                <w:color w:val="auto"/>
              </w:rPr>
              <w:t>​</w:t>
            </w:r>
          </w:p>
        </w:tc>
        <w:tc>
          <w:tcPr>
            <w:tcW w:w="300" w:type="dxa"/>
            <w:vAlign w:val="bottom"/>
            <w:tcBorders>
              <w:top w:val="single" w:sz="8" w:color="CCEEFF"/>
            </w:tcBorders>
            <w:shd w:val="clear" w:color="auto" w:fill="CCEEFF"/>
          </w:tcPr>
          <w:p>
            <w:pPr>
              <w:jc w:val="right"/>
              <w:spacing w:after="0" w:line="9" w:lineRule="exact"/>
              <w:rPr>
                <w:sz w:val="20"/>
                <w:szCs w:val="20"/>
                <w:color w:val="auto"/>
              </w:rPr>
            </w:pPr>
            <w:r>
              <w:rPr>
                <w:rFonts w:ascii="Times New Roman" w:cs="Times New Roman" w:eastAsia="Times New Roman" w:hAnsi="Times New Roman"/>
                <w:sz w:val="1"/>
                <w:szCs w:val="1"/>
                <w:color w:val="auto"/>
              </w:rPr>
              <w:t>—</w:t>
            </w: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9" w:lineRule="exact"/>
              <w:rPr>
                <w:sz w:val="20"/>
                <w:szCs w:val="20"/>
                <w:color w:val="auto"/>
              </w:rPr>
            </w:pPr>
            <w:r>
              <w:rPr>
                <w:rFonts w:ascii="Times New Roman" w:cs="Times New Roman" w:eastAsia="Times New Roman" w:hAnsi="Times New Roman"/>
                <w:sz w:val="1"/>
                <w:szCs w:val="1"/>
                <w:color w:val="auto"/>
              </w:rPr>
              <w:t>​​​</w:t>
            </w:r>
          </w:p>
        </w:tc>
        <w:tc>
          <w:tcPr>
            <w:tcW w:w="480" w:type="dxa"/>
            <w:vAlign w:val="bottom"/>
            <w:tcBorders>
              <w:top w:val="single" w:sz="8" w:color="CCEEFF"/>
            </w:tcBorders>
            <w:shd w:val="clear" w:color="auto" w:fill="CCEEFF"/>
          </w:tcPr>
          <w:p>
            <w:pPr>
              <w:jc w:val="right"/>
              <w:spacing w:after="0" w:line="9" w:lineRule="exact"/>
              <w:rPr>
                <w:sz w:val="20"/>
                <w:szCs w:val="20"/>
                <w:color w:val="auto"/>
              </w:rPr>
            </w:pPr>
            <w:r>
              <w:rPr>
                <w:rFonts w:ascii="Times New Roman" w:cs="Times New Roman" w:eastAsia="Times New Roman" w:hAnsi="Times New Roman"/>
                <w:sz w:val="1"/>
                <w:szCs w:val="1"/>
                <w:color w:val="auto"/>
                <w:vertAlign w:val="superscript"/>
              </w:rPr>
              <w:t>​</w:t>
            </w:r>
            <w:r>
              <w:rPr>
                <w:rFonts w:ascii="Times New Roman" w:cs="Times New Roman" w:eastAsia="Times New Roman" w:hAnsi="Times New Roman"/>
                <w:sz w:val="1"/>
                <w:szCs w:val="1"/>
                <w:color w:val="auto"/>
              </w:rPr>
              <w:t>​2,601,510</w:t>
            </w: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2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60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7"/>
                <w:szCs w:val="7"/>
                <w:color w:val="auto"/>
              </w:rPr>
              <w:t>(4)</w:t>
            </w: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i w:val="1"/>
                <w:iCs w:val="1"/>
                <w:color w:val="auto"/>
              </w:rPr>
              <w:t>Founder, Chief Executive Officer and Chairman</w:t>
            </w:r>
          </w:p>
        </w:tc>
        <w:tc>
          <w:tcPr>
            <w:tcW w:w="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2"/>
                <w:szCs w:val="2"/>
                <w:color w:val="auto"/>
              </w:rPr>
              <w:t>Hua Mu, M.D., Ph.D.</w:t>
            </w:r>
          </w:p>
        </w:tc>
        <w:tc>
          <w:tcPr>
            <w:tcW w:w="360" w:type="dxa"/>
            <w:vAlign w:val="bottom"/>
            <w:tcBorders>
              <w:top w:val="single" w:sz="8" w:color="CCEEFF"/>
            </w:tcBorders>
            <w:gridSpan w:val="2"/>
          </w:tcPr>
          <w:p>
            <w:pPr>
              <w:ind w:left="40"/>
              <w:spacing w:after="0"/>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​2023</w:t>
            </w:r>
          </w:p>
        </w:tc>
        <w:tc>
          <w:tcPr>
            <w:tcW w:w="660" w:type="dxa"/>
            <w:vAlign w:val="bottom"/>
            <w:tcBorders>
              <w:top w:val="single" w:sz="8" w:color="CCEEFF"/>
            </w:tcBorders>
            <w:gridSpan w:val="4"/>
          </w:tcPr>
          <w:p>
            <w:pPr>
              <w:jc w:val="right"/>
              <w:ind w:right="17"/>
              <w:spacing w:after="0"/>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​589,950</w:t>
            </w: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w:t>
            </w: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2"/>
                <w:szCs w:val="2"/>
                <w:color w:val="auto"/>
                <w:vertAlign w:val="subscript"/>
              </w:rPr>
              <w:t>—</w:t>
            </w:r>
            <w:r>
              <w:rPr>
                <w:rFonts w:ascii="Times New Roman" w:cs="Times New Roman" w:eastAsia="Times New Roman" w:hAnsi="Times New Roman"/>
                <w:sz w:val="1"/>
                <w:szCs w:val="1"/>
                <w:color w:val="auto"/>
              </w:rPr>
              <w:t>​​ ​</w:t>
            </w:r>
          </w:p>
        </w:tc>
        <w:tc>
          <w:tcPr>
            <w:tcW w:w="16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50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2"/>
                <w:szCs w:val="2"/>
                <w:color w:val="auto"/>
              </w:rPr>
              <w:t>—</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16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440" w:type="dxa"/>
            <w:vAlign w:val="bottom"/>
            <w:tcBorders>
              <w:top w:val="single" w:sz="8" w:color="CCEEFF"/>
            </w:tcBorders>
          </w:tcPr>
          <w:p>
            <w:pPr>
              <w:jc w:val="right"/>
              <w:ind w:right="92"/>
              <w:spacing w:after="0"/>
              <w:rPr>
                <w:sz w:val="20"/>
                <w:szCs w:val="20"/>
                <w:color w:val="auto"/>
              </w:rPr>
            </w:pPr>
            <w:r>
              <w:rPr>
                <w:rFonts w:ascii="Times New Roman" w:cs="Times New Roman" w:eastAsia="Times New Roman" w:hAnsi="Times New Roman"/>
                <w:sz w:val="2"/>
                <w:szCs w:val="2"/>
                <w:color w:val="auto"/>
              </w:rPr>
              <w:t>—</w:t>
            </w:r>
          </w:p>
        </w:tc>
        <w:tc>
          <w:tcPr>
            <w:tcW w:w="140" w:type="dxa"/>
            <w:vAlign w:val="bottom"/>
            <w:tcBorders>
              <w:top w:val="single" w:sz="8" w:color="CCEEFF"/>
            </w:tcBorders>
          </w:tcPr>
          <w:p>
            <w:pPr>
              <w:jc w:val="right"/>
              <w:ind w:right="27"/>
              <w:spacing w:after="0"/>
              <w:rPr>
                <w:sz w:val="20"/>
                <w:szCs w:val="20"/>
                <w:color w:val="auto"/>
              </w:rPr>
            </w:pPr>
            <w:r>
              <w:rPr>
                <w:rFonts w:ascii="Times New Roman" w:cs="Times New Roman" w:eastAsia="Times New Roman" w:hAnsi="Times New Roman"/>
                <w:sz w:val="2"/>
                <w:szCs w:val="2"/>
                <w:color w:val="auto"/>
              </w:rPr>
              <w:t>​​​</w:t>
            </w:r>
          </w:p>
        </w:tc>
        <w:tc>
          <w:tcPr>
            <w:tcW w:w="4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​667,097</w:t>
            </w:r>
          </w:p>
        </w:tc>
        <w:tc>
          <w:tcPr>
            <w:tcW w:w="1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7"/>
                <w:szCs w:val="7"/>
                <w:color w:val="auto"/>
                <w:w w:val="85"/>
              </w:rPr>
              <w:t>(10)</w:t>
            </w:r>
          </w:p>
        </w:tc>
        <w:tc>
          <w:tcPr>
            <w:tcW w:w="5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​1,257,047</w:t>
            </w:r>
          </w:p>
        </w:tc>
        <w:tc>
          <w:tcPr>
            <w:tcW w:w="40" w:type="dxa"/>
            <w:vAlign w:val="bottom"/>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95"/>
        </w:trPr>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gridSpan w:val="3"/>
          </w:tcPr>
          <w:p>
            <w:pPr>
              <w:jc w:val="right"/>
              <w:ind w:right="42"/>
              <w:spacing w:after="0"/>
              <w:rPr>
                <w:sz w:val="20"/>
                <w:szCs w:val="20"/>
                <w:color w:val="auto"/>
              </w:rPr>
            </w:pPr>
            <w:r>
              <w:rPr>
                <w:rFonts w:ascii="Times New Roman" w:cs="Times New Roman" w:eastAsia="Times New Roman" w:hAnsi="Times New Roman"/>
                <w:sz w:val="7"/>
                <w:szCs w:val="7"/>
                <w:color w:val="auto"/>
              </w:rPr>
              <w:t>(5)</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2"/>
                <w:szCs w:val="12"/>
                <w:i w:val="1"/>
                <w:iCs w:val="1"/>
                <w:color w:val="auto"/>
              </w:rPr>
              <w:t>Former Chief Executive Officer</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line="20" w:lineRule="exact"/>
              <w:rPr>
                <w:sz w:val="1"/>
                <w:szCs w:val="1"/>
                <w:color w:val="auto"/>
              </w:rPr>
            </w:pPr>
          </w:p>
        </w:tc>
      </w:tr>
      <w:tr>
        <w:trPr>
          <w:trHeight w:val="15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Joseph Farmer</w:t>
            </w:r>
          </w:p>
        </w:tc>
        <w:tc>
          <w:tcPr>
            <w:tcW w:w="1020" w:type="dxa"/>
            <w:vAlign w:val="bottom"/>
            <w:gridSpan w:val="6"/>
            <w:shd w:val="clear" w:color="auto" w:fill="CCEEFF"/>
          </w:tcPr>
          <w:p>
            <w:pPr>
              <w:ind w:left="40"/>
              <w:spacing w:after="0" w:line="157"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0"/>
                <w:szCs w:val="10"/>
                <w:color w:val="auto"/>
              </w:rPr>
              <w:t xml:space="preserve">​2023 </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0"/>
                <w:szCs w:val="10"/>
                <w:color w:val="auto"/>
              </w:rPr>
              <w:t>​471,458</w:t>
            </w: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 ​</w:t>
            </w:r>
          </w:p>
        </w:tc>
        <w:tc>
          <w:tcPr>
            <w:tcW w:w="160" w:type="dxa"/>
            <w:vAlign w:val="bottom"/>
            <w:shd w:val="clear" w:color="auto" w:fill="CCEEFF"/>
          </w:tcPr>
          <w:p>
            <w:pPr>
              <w:ind w:left="80"/>
              <w:spacing w:after="0" w:line="15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vertAlign w:val="subscript"/>
              </w:rPr>
              <w:t>​</w:t>
            </w:r>
          </w:p>
        </w:tc>
        <w:tc>
          <w:tcPr>
            <w:tcW w:w="5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7"/>
              </w:rPr>
              <w:t>625,017</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92"/>
              <w:spacing w:after="0" w:line="157"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0"/>
                <w:szCs w:val="10"/>
                <w:color w:val="auto"/>
              </w:rPr>
              <w:t>​197,508</w:t>
            </w:r>
          </w:p>
        </w:tc>
        <w:tc>
          <w:tcPr>
            <w:tcW w:w="140" w:type="dxa"/>
            <w:vAlign w:val="bottom"/>
            <w:tcBorders>
              <w:right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ind w:left="60"/>
              <w:spacing w:after="0" w:line="15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vertAlign w:val="subscript"/>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0"/>
                <w:szCs w:val="10"/>
                <w:color w:val="auto"/>
              </w:rPr>
              <w:t>​1,293,983</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i w:val="1"/>
                <w:iCs w:val="1"/>
                <w:color w:val="auto"/>
              </w:rPr>
              <w:t>President and Chief Operating Officer</w:t>
            </w:r>
          </w:p>
        </w:tc>
        <w:tc>
          <w:tcPr>
            <w:tcW w:w="8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5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2"/>
                <w:szCs w:val="2"/>
                <w:color w:val="auto"/>
              </w:rPr>
              <w:t>Jennifer Fox</w:t>
            </w:r>
          </w:p>
        </w:tc>
        <w:tc>
          <w:tcPr>
            <w:tcW w:w="360" w:type="dxa"/>
            <w:vAlign w:val="bottom"/>
            <w:tcBorders>
              <w:top w:val="single" w:sz="8" w:color="CCEEFF"/>
            </w:tcBorders>
            <w:gridSpan w:val="2"/>
          </w:tcPr>
          <w:p>
            <w:pPr>
              <w:ind w:left="40"/>
              <w:spacing w:after="0"/>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​2023</w:t>
            </w:r>
          </w:p>
        </w:tc>
        <w:tc>
          <w:tcPr>
            <w:tcW w:w="1160" w:type="dxa"/>
            <w:vAlign w:val="bottom"/>
            <w:tcBorders>
              <w:top w:val="single" w:sz="8" w:color="CCEEFF"/>
            </w:tcBorders>
            <w:gridSpan w:val="7"/>
          </w:tcPr>
          <w:p>
            <w:pPr>
              <w:jc w:val="right"/>
              <w:spacing w:after="0"/>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 40,064</w:t>
            </w: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​450,000</w:t>
            </w:r>
            <w:r>
              <w:rPr>
                <w:rFonts w:ascii="Times New Roman" w:cs="Times New Roman" w:eastAsia="Times New Roman" w:hAnsi="Times New Roman"/>
                <w:sz w:val="2"/>
                <w:szCs w:val="2"/>
                <w:color w:val="auto"/>
                <w:vertAlign w:val="superscript"/>
              </w:rPr>
              <w:t>​​ ​</w:t>
            </w:r>
          </w:p>
        </w:tc>
        <w:tc>
          <w:tcPr>
            <w:tcW w:w="660" w:type="dxa"/>
            <w:vAlign w:val="bottom"/>
            <w:tcBorders>
              <w:top w:val="single" w:sz="8" w:color="CCEEFF"/>
            </w:tcBorders>
            <w:gridSpan w:val="2"/>
          </w:tcPr>
          <w:p>
            <w:pPr>
              <w:jc w:val="right"/>
              <w:ind w:right="59"/>
              <w:spacing w:after="0"/>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​2,076,544</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16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440" w:type="dxa"/>
            <w:vAlign w:val="bottom"/>
            <w:tcBorders>
              <w:top w:val="single" w:sz="8" w:color="CCEEFF"/>
            </w:tcBorders>
          </w:tcPr>
          <w:p>
            <w:pPr>
              <w:jc w:val="right"/>
              <w:ind w:right="92"/>
              <w:spacing w:after="0"/>
              <w:rPr>
                <w:sz w:val="20"/>
                <w:szCs w:val="20"/>
                <w:color w:val="auto"/>
              </w:rPr>
            </w:pPr>
            <w:r>
              <w:rPr>
                <w:rFonts w:ascii="Times New Roman" w:cs="Times New Roman" w:eastAsia="Times New Roman" w:hAnsi="Times New Roman"/>
                <w:sz w:val="2"/>
                <w:szCs w:val="2"/>
                <w:color w:val="auto"/>
              </w:rPr>
              <w:t>—</w:t>
            </w:r>
          </w:p>
        </w:tc>
        <w:tc>
          <w:tcPr>
            <w:tcW w:w="140" w:type="dxa"/>
            <w:vAlign w:val="bottom"/>
            <w:tcBorders>
              <w:top w:val="single" w:sz="8" w:color="CCEEFF"/>
            </w:tcBorders>
          </w:tcPr>
          <w:p>
            <w:pPr>
              <w:jc w:val="right"/>
              <w:ind w:right="27"/>
              <w:spacing w:after="0"/>
              <w:rPr>
                <w:sz w:val="20"/>
                <w:szCs w:val="20"/>
                <w:color w:val="auto"/>
              </w:rPr>
            </w:pPr>
            <w:r>
              <w:rPr>
                <w:rFonts w:ascii="Times New Roman" w:cs="Times New Roman" w:eastAsia="Times New Roman" w:hAnsi="Times New Roman"/>
                <w:sz w:val="2"/>
                <w:szCs w:val="2"/>
                <w:color w:val="auto"/>
              </w:rPr>
              <w:t>​​​</w:t>
            </w:r>
          </w:p>
        </w:tc>
        <w:tc>
          <w:tcPr>
            <w:tcW w:w="14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​2,566,608</w:t>
            </w:r>
          </w:p>
        </w:tc>
        <w:tc>
          <w:tcPr>
            <w:tcW w:w="40" w:type="dxa"/>
            <w:vAlign w:val="bottom"/>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95"/>
        </w:trPr>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gridSpan w:val="3"/>
          </w:tcPr>
          <w:p>
            <w:pPr>
              <w:jc w:val="right"/>
              <w:ind w:right="42"/>
              <w:spacing w:after="0"/>
              <w:rPr>
                <w:sz w:val="20"/>
                <w:szCs w:val="20"/>
                <w:color w:val="auto"/>
              </w:rPr>
            </w:pPr>
            <w:r>
              <w:rPr>
                <w:rFonts w:ascii="Times New Roman" w:cs="Times New Roman" w:eastAsia="Times New Roman" w:hAnsi="Times New Roman"/>
                <w:sz w:val="7"/>
                <w:szCs w:val="7"/>
                <w:color w:val="auto"/>
              </w:rPr>
              <w:t>(6)</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46"/>
              <w:spacing w:after="0"/>
              <w:rPr>
                <w:sz w:val="20"/>
                <w:szCs w:val="20"/>
                <w:color w:val="auto"/>
              </w:rPr>
            </w:pPr>
            <w:r>
              <w:rPr>
                <w:rFonts w:ascii="Times New Roman" w:cs="Times New Roman" w:eastAsia="Times New Roman" w:hAnsi="Times New Roman"/>
                <w:sz w:val="7"/>
                <w:szCs w:val="7"/>
                <w:color w:val="auto"/>
              </w:rPr>
              <w:t>(8)</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2"/>
                <w:szCs w:val="12"/>
                <w:i w:val="1"/>
                <w:iCs w:val="1"/>
                <w:color w:val="auto"/>
              </w:rPr>
              <w:t>Chief Business Officer and Chief</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2"/>
                <w:szCs w:val="12"/>
                <w:i w:val="1"/>
                <w:iCs w:val="1"/>
                <w:color w:val="auto"/>
              </w:rPr>
              <w:t>Financial Officer</w:t>
            </w:r>
          </w:p>
        </w:tc>
        <w:tc>
          <w:tcPr>
            <w:tcW w:w="360" w:type="dxa"/>
            <w:vAlign w:val="bottom"/>
            <w:gridSpan w:val="2"/>
            <w:vMerge w:val="restart"/>
          </w:tcPr>
          <w:p>
            <w:pPr>
              <w:ind w:left="40"/>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color w:val="auto"/>
              </w:rPr>
              <w:t>​2023</w:t>
            </w:r>
          </w:p>
        </w:tc>
        <w:tc>
          <w:tcPr>
            <w:tcW w:w="1160" w:type="dxa"/>
            <w:vAlign w:val="bottom"/>
            <w:gridSpan w:val="7"/>
            <w:vMerge w:val="restart"/>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color w:val="auto"/>
              </w:rPr>
              <w:t>​ 78,462</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1"/>
                <w:szCs w:val="11"/>
                <w:color w:val="auto"/>
              </w:rPr>
              <w:t>​254,080</w:t>
            </w:r>
            <w:r>
              <w:rPr>
                <w:rFonts w:ascii="Times New Roman" w:cs="Times New Roman" w:eastAsia="Times New Roman" w:hAnsi="Times New Roman"/>
                <w:sz w:val="22"/>
                <w:szCs w:val="22"/>
                <w:color w:val="auto"/>
                <w:vertAlign w:val="superscript"/>
              </w:rPr>
              <w:t>​​ ​</w:t>
            </w:r>
          </w:p>
        </w:tc>
        <w:tc>
          <w:tcPr>
            <w:tcW w:w="660" w:type="dxa"/>
            <w:vAlign w:val="bottom"/>
            <w:gridSpan w:val="2"/>
            <w:vMerge w:val="restart"/>
          </w:tcPr>
          <w:p>
            <w:pPr>
              <w:jc w:val="right"/>
              <w:ind w:right="59"/>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color w:val="auto"/>
              </w:rPr>
              <w:t>​1,389,262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color w:val="auto"/>
              </w:rPr>
              <w:t>​</w:t>
            </w:r>
          </w:p>
        </w:tc>
        <w:tc>
          <w:tcPr>
            <w:tcW w:w="440" w:type="dxa"/>
            <w:vAlign w:val="bottom"/>
            <w:vMerge w:val="restart"/>
          </w:tcPr>
          <w:p>
            <w:pPr>
              <w:jc w:val="right"/>
              <w:ind w:right="9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ind w:right="27"/>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0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color w:val="auto"/>
              </w:rPr>
              <w:t>​1,721,804</w:t>
            </w:r>
            <w:r>
              <w:rPr>
                <w:rFonts w:ascii="Times New Roman" w:cs="Times New Roman" w:eastAsia="Times New Roman" w:hAnsi="Times New Roman"/>
                <w:sz w:val="22"/>
                <w:szCs w:val="22"/>
                <w:color w:val="auto"/>
                <w:vertAlign w:val="superscript"/>
              </w:rPr>
              <w:t>​</w:t>
            </w:r>
          </w:p>
        </w:tc>
        <w:tc>
          <w:tcPr>
            <w:tcW w:w="0" w:type="dxa"/>
            <w:vAlign w:val="bottom"/>
          </w:tcPr>
          <w:p>
            <w:pPr>
              <w:spacing w:after="0"/>
              <w:rPr>
                <w:sz w:val="1"/>
                <w:szCs w:val="1"/>
                <w:color w:val="auto"/>
              </w:rPr>
            </w:pPr>
          </w:p>
        </w:tc>
      </w:tr>
      <w:tr>
        <w:trPr>
          <w:trHeight w:val="44"/>
        </w:trPr>
        <w:tc>
          <w:tcPr>
            <w:tcW w:w="2520" w:type="dxa"/>
            <w:vAlign w:val="bottom"/>
            <w:gridSpan w:val="2"/>
          </w:tcPr>
          <w:p>
            <w:pPr>
              <w:spacing w:after="0" w:line="44" w:lineRule="exact"/>
              <w:rPr>
                <w:sz w:val="20"/>
                <w:szCs w:val="20"/>
                <w:color w:val="auto"/>
              </w:rPr>
            </w:pPr>
            <w:r>
              <w:rPr>
                <w:rFonts w:ascii="Times New Roman" w:cs="Times New Roman" w:eastAsia="Times New Roman" w:hAnsi="Times New Roman"/>
                <w:sz w:val="5"/>
                <w:szCs w:val="5"/>
                <w:color w:val="auto"/>
              </w:rPr>
              <w:t>Tanya Z. Fischer, M.D., Ph.D.</w:t>
            </w:r>
          </w:p>
        </w:tc>
        <w:tc>
          <w:tcPr>
            <w:tcW w:w="360" w:type="dxa"/>
            <w:vAlign w:val="bottom"/>
            <w:gridSpan w:val="2"/>
            <w:vMerge w:val="continue"/>
          </w:tcPr>
          <w:p>
            <w:pPr>
              <w:spacing w:after="0"/>
              <w:rPr>
                <w:sz w:val="3"/>
                <w:szCs w:val="3"/>
                <w:color w:val="auto"/>
              </w:rPr>
            </w:pPr>
          </w:p>
        </w:tc>
        <w:tc>
          <w:tcPr>
            <w:tcW w:w="1160" w:type="dxa"/>
            <w:vAlign w:val="bottom"/>
            <w:gridSpan w:val="7"/>
            <w:vMerge w:val="continue"/>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gridSpan w:val="3"/>
          </w:tcPr>
          <w:p>
            <w:pPr>
              <w:jc w:val="right"/>
              <w:ind w:right="42"/>
              <w:spacing w:after="0"/>
              <w:rPr>
                <w:sz w:val="20"/>
                <w:szCs w:val="20"/>
                <w:color w:val="auto"/>
              </w:rPr>
            </w:pPr>
            <w:r>
              <w:rPr>
                <w:rFonts w:ascii="Times New Roman" w:cs="Times New Roman" w:eastAsia="Times New Roman" w:hAnsi="Times New Roman"/>
                <w:sz w:val="7"/>
                <w:szCs w:val="7"/>
                <w:color w:val="auto"/>
              </w:rPr>
              <w:t>(7)</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46"/>
              <w:spacing w:after="0"/>
              <w:rPr>
                <w:sz w:val="20"/>
                <w:szCs w:val="20"/>
                <w:color w:val="auto"/>
              </w:rPr>
            </w:pPr>
            <w:r>
              <w:rPr>
                <w:rFonts w:ascii="Times New Roman" w:cs="Times New Roman" w:eastAsia="Times New Roman" w:hAnsi="Times New Roman"/>
                <w:sz w:val="7"/>
                <w:szCs w:val="7"/>
                <w:color w:val="auto"/>
              </w:rPr>
              <w:t>(9)</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-74295</wp:posOffset>
            </wp:positionV>
            <wp:extent cx="4241800" cy="2997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241800" cy="299720"/>
                    </a:xfrm>
                    <a:prstGeom prst="rect">
                      <a:avLst/>
                    </a:prstGeom>
                    <a:noFill/>
                  </pic:spPr>
                </pic:pic>
              </a:graphicData>
            </a:graphic>
          </wp:anchor>
        </w:drawing>
      </w:r>
    </w:p>
    <w:p>
      <w:pPr>
        <w:spacing w:after="0" w:line="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i w:val="1"/>
          <w:iCs w:val="1"/>
          <w:color w:val="auto"/>
        </w:rPr>
        <w:t>Former Head of Research and Development and</w:t>
      </w:r>
    </w:p>
    <w:p>
      <w:pPr>
        <w:spacing w:after="0" w:line="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i w:val="1"/>
          <w:iCs w:val="1"/>
          <w:color w:val="auto"/>
        </w:rPr>
        <w:t>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121285</wp:posOffset>
            </wp:positionV>
            <wp:extent cx="44640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63" w:lineRule="exact"/>
        <w:rPr>
          <w:sz w:val="20"/>
          <w:szCs w:val="20"/>
          <w:color w:val="auto"/>
        </w:rPr>
      </w:pPr>
    </w:p>
    <w:p>
      <w:pPr>
        <w:ind w:left="1460" w:right="1179" w:hanging="296"/>
        <w:spacing w:after="0" w:line="250" w:lineRule="auto"/>
        <w:tabs>
          <w:tab w:leader="none" w:pos="146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include amounts that our named executive officers and Mr. Farmer earned and deferred into our retirement plan, described below under “Executive Compensation Arrangements—Retirement Plan and Other Benefits.”</w:t>
      </w:r>
    </w:p>
    <w:p>
      <w:pPr>
        <w:spacing w:after="0" w:line="31" w:lineRule="exact"/>
        <w:rPr>
          <w:rFonts w:ascii="Times New Roman" w:cs="Times New Roman" w:eastAsia="Times New Roman" w:hAnsi="Times New Roman"/>
          <w:sz w:val="12"/>
          <w:szCs w:val="12"/>
          <w:color w:val="auto"/>
        </w:rPr>
      </w:pPr>
    </w:p>
    <w:p>
      <w:pPr>
        <w:jc w:val="both"/>
        <w:ind w:left="1460" w:right="1179" w:hanging="296"/>
        <w:spacing w:after="0" w:line="237" w:lineRule="auto"/>
        <w:tabs>
          <w:tab w:leader="none" w:pos="146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in this column represent the grant date fair value of options to purchase our common stock granted to Mr. Moulder, Mr. Farmer, Ms. Fox and Dr. Fischer in fiscal year 2023, computed in accordance with FASB ASC Topic 718, excluding the effect of estimated forfeitures. The assumptions used to value the options for this purpose are set forth in Note 12 to our consolidated financial statements included elsewhere in this prospectus.</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0" w:name="page171"/>
    <w:bookmarkEnd w:id="17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460" w:right="1179" w:hanging="296"/>
        <w:spacing w:after="0" w:line="235" w:lineRule="auto"/>
        <w:tabs>
          <w:tab w:leader="none" w:pos="146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shown in this column is the full annual bonus amount payable in respect of fiscal year 2023 to Mr. Farmer. Our board of directors has the discretion to determine Mr. Moulder’s earned bonus for each fiscal year in which he remains eligible to participate in the Annual Bonus Plan. For fiscal year 2023, Mr. Moulder waived his bonus in advance of a meeting of the board of directors in which his annual bonus would have been discussed and determined. Our annual bonus program is described below under “Narrative to the Summary Compensation Table—Annual Performance Bonus Opportunity.”</w:t>
      </w:r>
    </w:p>
    <w:p>
      <w:pPr>
        <w:spacing w:after="0" w:line="38"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Moulder commenced employment with the Company on June 29, 2023 with an annual base salary of $250,000. The reported amount reflects his prorated base salary for fiscal year 2023.</w:t>
      </w:r>
    </w:p>
    <w:p>
      <w:pPr>
        <w:spacing w:after="0" w:line="31"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paid Dr. Mu at a rate based on his annual base salary of $589,950 through June 28, 2023, and then from his transition date of June 29, 2023 we paid him a base salary of $49,163 per month through his separation date of December 31, 2023.</w:t>
      </w:r>
    </w:p>
    <w:p>
      <w:pPr>
        <w:spacing w:after="0" w:line="185"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Fox commenced employment with the Company on December 4, 2023 with an annual base salary of $500,000. The reported amount reflects her prorated base salary for fiscal year 2023.</w:t>
      </w:r>
    </w:p>
    <w:p>
      <w:pPr>
        <w:spacing w:after="0" w:line="31"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Fischer commenced employment with the Company on October 30, 2023 with an annual base salary of $450,000. The reported amount reflects her prorated base salary for fiscal year 2023.</w:t>
      </w:r>
    </w:p>
    <w:p>
      <w:pPr>
        <w:spacing w:after="0" w:line="31" w:lineRule="exact"/>
        <w:rPr>
          <w:rFonts w:ascii="Times New Roman" w:cs="Times New Roman" w:eastAsia="Times New Roman" w:hAnsi="Times New Roman"/>
          <w:sz w:val="12"/>
          <w:szCs w:val="12"/>
          <w:color w:val="auto"/>
        </w:rPr>
      </w:pPr>
    </w:p>
    <w:p>
      <w:pPr>
        <w:jc w:val="both"/>
        <w:ind w:left="1460" w:right="1179" w:hanging="296"/>
        <w:spacing w:after="0" w:line="233" w:lineRule="auto"/>
        <w:tabs>
          <w:tab w:leader="none" w:pos="146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reported in this column represent the $200,000 signing bonus paid to Ms. Fox in fiscal year 2023 in connection with the commencement of her employment in December 2023, and the $250,000 annual bonus payable to Ms. Fox in respect of fiscal year 2023, the full target bonus amount for the year, as was negotiated as part of Ms. Fox’s employment agreement. If Ms. Fox voluntarily leaves the Company within 12 months following December 4, 2023, she must repay to the Company the $200,000 signing bonus. Additionally, Ms. Fox is eligible to receive an additional $100,000 bonus in December 2024 if she is employed with the Company at that time; however, if Ms. Fox leaves the Company between 12 months and 24 months following December 4, 2023, she must repay to the Company the additional $100,000 bonus. Our annual bonus program is described below under “Narrative to the Summary Compensation Table—Annual Performance Bonus Opportunity.”</w:t>
      </w:r>
    </w:p>
    <w:p>
      <w:pPr>
        <w:spacing w:after="0" w:line="37" w:lineRule="exact"/>
        <w:rPr>
          <w:rFonts w:ascii="Times New Roman" w:cs="Times New Roman" w:eastAsia="Times New Roman" w:hAnsi="Times New Roman"/>
          <w:sz w:val="12"/>
          <w:szCs w:val="12"/>
          <w:color w:val="auto"/>
        </w:rPr>
      </w:pPr>
    </w:p>
    <w:p>
      <w:pPr>
        <w:jc w:val="both"/>
        <w:ind w:left="1460" w:right="1179" w:hanging="296"/>
        <w:spacing w:after="0" w:line="233" w:lineRule="auto"/>
        <w:tabs>
          <w:tab w:leader="none" w:pos="146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reported in this column represent the $100,000 signing bonus paid to Dr. Fischer in fiscal year 2023 in connection with the commencement of her employment in October 2023, and the $154,080 annual bonus payable to Dr. Fischer in respect of fiscal year 2023, with the annual bonus calculated as though she was employed for the full fiscal year, as was negotiated as part of Dr. Fischer’s employment agreement. If Dr. Fischer voluntarily leaves the Company without Good Reason (as defined in her employment agreement) within 24 months following October 30, 2023, she must repay to the Company the $100,000 signing bonus subtracted by 1/24 of the value of such signing bonus for each month that she was an employee of the Company prior to the date her employment terminates. Our annual bonus program is described below under “Narrative to the Summary Compensation Table—Annual Performance Bonus Opportunity.”</w:t>
      </w:r>
    </w:p>
    <w:p>
      <w:pPr>
        <w:spacing w:after="0" w:line="37"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reported in this column represents the severance earned by Dr. Mu in fiscal year 2023, which consists of salary continuation, an amount equal to his full annual target bonus, and his accrued but unused vacation, and is described below under “Executive Compensation Arrangements—Transition and Separation Agreement.”</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Narrative to the Summary Compensation Table</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Historically, our board of directors was responsible for overseeing all aspects of our executive compensation programs. In making compensation determinations,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w:t>
      </w:r>
    </w:p>
    <w:p>
      <w:pPr>
        <w:spacing w:after="0" w:line="258"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Our board of directors has determined our executive officers’ compensation and has typically reviewed and discussed management’s proposed compensation with our chief executive officer for all executives other than our chief executive officer. Based on those discussions and its discretion, our board of directors then approved the compensation of each executive officer.</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Annual Base Salary</w:t>
      </w:r>
    </w:p>
    <w:p>
      <w:pPr>
        <w:spacing w:after="0" w:line="11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Our board of directors approves the base salaries for our executive officers, which the board of directors initially establishes through arm’s- length negotiations at the time of the executive officer’s hiring, taking into account such executive officer’s qualifications, experience, the scope of such executive officer’s responsibilities and competitive market compensation paid by other companies for similar positions within the industry and geography. Our board of directors periodically reviews our executive officers’ base salaries, and adjusts the base salaries from time to time to realign salaries with market levels after taking into account individual responsibilities, performance and experience.</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Annual Performance Bonus Opportunity</w:t>
      </w:r>
    </w:p>
    <w:p>
      <w:pPr>
        <w:spacing w:after="0" w:line="117"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For 2023, our executive officers were eligible to earn an annual cash incentive bonus (the “Annual Bonus”) under our Short-Term Incentive Plan (the “Short- Term Incentive Plan”) based on the achievement of pre-established performance objectives that our board of directors determines at the beginning of the fiscal year. The Annual Bonuses are based on both our performance and the executive officer’s individual performance</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1" w:name="page172"/>
    <w:bookmarkEnd w:id="17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when determining the amount of the Annual Bonus paid to the executive officer. In addition, our board of directors may reduce the Annual Bonus, including to zero, if the executive officer is not in compliance with our policies, guidelines and applicable laws. The Annual Bonus target amount is based on a percentage of the executive officer’s annual base salary. If the minimum Company performance objectives are not met, then no Annual Bonus payments will be made. The Annual Bonus is capped at 150% of the executive officer’s target bonus, in the event that our performance objectives exceed the targeted goals. Furthermore, an executive officer must be employed at the time of the payment of the Annual Bonus in order to be eligible for and to earn the Annual Bonus.</w:t>
      </w:r>
    </w:p>
    <w:p>
      <w:pPr>
        <w:spacing w:after="0" w:line="98"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For 2023, each of Dr. Mu, Mr. Farmer, Ms. Fox and Dr. Fischer, had a target bonus equal to 60%, 50%, 50% and 40% of their base salary, respectively. Mr. Moulder is eligible to participate in the Short-Term Incentive Plan; however, he and the Company agreed that his bonus would not be subject to the target bonus percentage in the Short- Term Incentive Plan. Instead, our board of directors has the discretion to determine his earned bonus for each fiscal year in which he remains eligible to participate in the Annual Bonus Plan. For fiscal year 2023, Mr. Moulder waived his bonus in advance of a meeting of the board of directors in which his annual bonus would have been discussed and determined. Because Dr. Mu’s employment terminated before the Company payment, he is ineligible to receive the Annual Bonus for 2023; however, pursuant to Dr. Mu’s Separation Agreement, described in more detail below under “Executive Compensation Arrangements—Transition and Separation Agreement,” he is entitled to receive a payment equal to the amount of his target bonus for 2023. The terms of Ms. Fox’s and Dr. Fischer’s Annual Bonus were in each of their employment agreements, which were negotiated prior to their hire date. Ms. Fox’s employment agreement provides that she will receive her full target bonus amount for the 2023 fiscal year. Dr. Fischer’s employment agreement provides that her Annual Bonus for 2023 will be calculated as though she was employed for the full fiscal year.</w:t>
      </w:r>
    </w:p>
    <w:p>
      <w:pPr>
        <w:spacing w:after="0" w:line="103"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corporate performance goals the board of directors established for fiscal year 2023 related to regulatory, clinical and development goals, as well as operational objectives. In February 2024, our board of directors determined that the fiscal year 2023 corporate goals were achieved at 82% overall, and as a result, approved Annual Bonuses for Mr. Farmer and Dr. Fischer, as reflected, respectively, in the “Non-Equity Incentive Plan Compensation” column of the Summary Compensation Table and the “Bonus” column of the Summary Compensation Table above. Our board of directors also approved the Annual Bonus for Ms. Fox, as reflected in the “Bonus” column of the Summary Compensation Table above.</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Equity-Based Incentive Awards</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equity award program is the primary vehicle for offering long -term incentives to our executive officers. We believe that equity awards provide our executives with a strong link to our long-term performance, create an ownership culture and help to align the interests of our executives and our stockholders. To date, we have used stock option grants and restricted stock awards for this purpose because we believe they are an effective means by which to align the long-term interests of our executive officers with those of our stockholders. We believe that our equity awards are an important retention tool for our executive officers, as well as for our other employees. Grants to our executive officers and other employees are made at the discretion of our board of directors and are not made at any specific time period during a year.</w:t>
      </w:r>
    </w:p>
    <w:p>
      <w:pPr>
        <w:spacing w:after="0" w:line="25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July 2023, in connection with his commencement of employment, we granted Mr. Moulder an option to purchase 2,675,000 shares of our common stock. The option has an exercise price of $1.07 per share and is subject to a four-year vesting schedule, with 25% of the shares vesting in June 2024 on the first anniversary of the vesting commencement date and the balance vesting monthly in substantially equal installments over the following 36 months, subject to Mr. Moulder’s continued service with us through each vesting date.</w:t>
      </w:r>
    </w:p>
    <w:p>
      <w:pPr>
        <w:spacing w:after="0" w:line="258"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In July 2023, we granted Mr. Farmer an option to purchase 675,000 shares of our common stock. The option has an exercise price of $1.07 per share and is subject to a four-year vesting schedule, with 25% of the shares vesting in July 2024 on the first anniversary of the vesting commencement date and the balance vesting monthly in substantially equal instalments over the following 36 months, subject to Mr. Farmer’s continued service with us through each vesting date.</w:t>
      </w:r>
    </w:p>
    <w:p>
      <w:pPr>
        <w:spacing w:after="0" w:line="94"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In October 2023, in connection with her commencement of employment, we granted Dr. Fischer an option to purchase 1,500,000 shares of our common stock. The option has an exercise price of $1.21 per share</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2" w:name="page173"/>
    <w:bookmarkEnd w:id="17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and is subject to a four-year vesting schedule, with 25% of the shares vesting in October 2024 on the first anniversary of the vesting commencement date and the balance vesting monthly in substantially equal installments over the following 36 months, subject to Ms. Fischer’s continued service with us through each vesting date.</w:t>
      </w:r>
    </w:p>
    <w:p>
      <w:pPr>
        <w:spacing w:after="0" w:line="100"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December 2023, in connection with her commencement of employment, we granted Ms. Fox an option to purchase 2,000,000 shares of our common stock. The option has an exercise price of $1.37 per share and is subject to a four-year vesting schedule, with 25% of the shares vesting in December 2024 on the first anniversary of the vesting commencement date and the balance vesting monthly in substantially equal installments over the following 36 months, subject to Ms. Fox’s continued service with us through each vesting date. Additionally, upon any equity financing event through December 31, 2024 (including an initial public offering), Ms. Fox is entitled to receive an additional grant of an option to purchase a certain number of shares of our common stock such that Ms. Fox maintains at least 1.5% ownership of our outstanding shares on an as-converted basis.</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Outstanding Equity Awards as of December 31, 2023</w:t>
      </w:r>
    </w:p>
    <w:p>
      <w:pPr>
        <w:spacing w:after="0" w:line="12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table presents the outstanding equity awards held by each named executive officer and Mr. Farmer as of December 31, 2023.</w:t>
      </w:r>
    </w:p>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gridSpan w:val="4"/>
          </w:tcPr>
          <w:p>
            <w:pPr>
              <w:ind w:left="160"/>
              <w:spacing w:after="0"/>
              <w:rPr>
                <w:sz w:val="20"/>
                <w:szCs w:val="20"/>
                <w:color w:val="auto"/>
              </w:rPr>
            </w:pPr>
            <w:r>
              <w:rPr>
                <w:rFonts w:ascii="Times New Roman" w:cs="Times New Roman" w:eastAsia="Times New Roman" w:hAnsi="Times New Roman"/>
                <w:sz w:val="12"/>
                <w:szCs w:val="12"/>
                <w:b w:val="1"/>
                <w:bCs w:val="1"/>
                <w:color w:val="auto"/>
              </w:rPr>
              <w:t>​ ​</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4"/>
          </w:tcPr>
          <w:p>
            <w:pPr>
              <w:ind w:left="24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20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ind w:right="1"/>
              <w:spacing w:after="0" w:line="137" w:lineRule="exact"/>
              <w:rPr>
                <w:sz w:val="20"/>
                <w:szCs w:val="20"/>
                <w:color w:val="auto"/>
              </w:rPr>
            </w:pPr>
            <w:r>
              <w:rPr>
                <w:rFonts w:ascii="Times New Roman" w:cs="Times New Roman" w:eastAsia="Times New Roman" w:hAnsi="Times New Roman"/>
                <w:sz w:val="12"/>
                <w:szCs w:val="12"/>
                <w:b w:val="1"/>
                <w:bCs w:val="1"/>
                <w:color w:val="auto"/>
                <w:w w:val="93"/>
              </w:rPr>
              <w:t>Market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88"/>
              </w:rPr>
              <w:t>Value of</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ind w:right="128"/>
              <w:spacing w:after="0" w:line="132"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40" w:type="dxa"/>
            <w:vAlign w:val="bottom"/>
          </w:tcPr>
          <w:p>
            <w:pPr>
              <w:spacing w:after="0"/>
              <w:rPr>
                <w:sz w:val="11"/>
                <w:szCs w:val="11"/>
                <w:color w:val="auto"/>
              </w:rPr>
            </w:pPr>
          </w:p>
        </w:tc>
        <w:tc>
          <w:tcPr>
            <w:tcW w:w="840" w:type="dxa"/>
            <w:vAlign w:val="bottom"/>
            <w:gridSpan w:val="3"/>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4"/>
          </w:tcPr>
          <w:p>
            <w:pPr>
              <w:jc w:val="center"/>
              <w:ind w:right="74"/>
              <w:spacing w:after="0" w:line="132"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60" w:type="dxa"/>
            <w:vAlign w:val="bottom"/>
          </w:tcPr>
          <w:p>
            <w:pPr>
              <w:spacing w:after="0"/>
              <w:rPr>
                <w:sz w:val="11"/>
                <w:szCs w:val="11"/>
                <w:color w:val="auto"/>
              </w:rPr>
            </w:pPr>
          </w:p>
        </w:tc>
        <w:tc>
          <w:tcPr>
            <w:tcW w:w="56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Shares 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148"/>
              <w:spacing w:after="0" w:line="132" w:lineRule="exact"/>
              <w:rPr>
                <w:sz w:val="20"/>
                <w:szCs w:val="20"/>
                <w:color w:val="auto"/>
              </w:rPr>
            </w:pPr>
            <w:r>
              <w:rPr>
                <w:rFonts w:ascii="Times New Roman" w:cs="Times New Roman" w:eastAsia="Times New Roman" w:hAnsi="Times New Roman"/>
                <w:sz w:val="12"/>
                <w:szCs w:val="12"/>
                <w:b w:val="1"/>
                <w:bCs w:val="1"/>
                <w:color w:val="auto"/>
                <w:w w:val="91"/>
              </w:rPr>
              <w:t>Securities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2"/>
                <w:szCs w:val="12"/>
                <w:b w:val="1"/>
                <w:bCs w:val="1"/>
                <w:color w:val="auto"/>
                <w:w w:val="91"/>
              </w:rPr>
              <w:t>Securities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89"/>
              </w:rPr>
              <w:t>Shares or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Units of</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ind w:right="108"/>
              <w:spacing w:after="0" w:line="132" w:lineRule="exact"/>
              <w:rPr>
                <w:sz w:val="20"/>
                <w:szCs w:val="20"/>
                <w:color w:val="auto"/>
              </w:rPr>
            </w:pPr>
            <w:r>
              <w:rPr>
                <w:rFonts w:ascii="Times New Roman" w:cs="Times New Roman" w:eastAsia="Times New Roman" w:hAnsi="Times New Roman"/>
                <w:sz w:val="12"/>
                <w:szCs w:val="12"/>
                <w:b w:val="1"/>
                <w:bCs w:val="1"/>
                <w:color w:val="auto"/>
                <w:w w:val="93"/>
              </w:rPr>
              <w:t>Underlying</w:t>
            </w:r>
          </w:p>
        </w:tc>
        <w:tc>
          <w:tcPr>
            <w:tcW w:w="40" w:type="dxa"/>
            <w:vAlign w:val="bottom"/>
          </w:tcPr>
          <w:p>
            <w:pPr>
              <w:spacing w:after="0"/>
              <w:rPr>
                <w:sz w:val="11"/>
                <w:szCs w:val="11"/>
                <w:color w:val="auto"/>
              </w:rPr>
            </w:pPr>
          </w:p>
        </w:tc>
        <w:tc>
          <w:tcPr>
            <w:tcW w:w="840" w:type="dxa"/>
            <w:vAlign w:val="bottom"/>
            <w:gridSpan w:val="3"/>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3"/>
              </w:rPr>
              <w:t>Underlying</w:t>
            </w:r>
          </w:p>
        </w:tc>
        <w:tc>
          <w:tcPr>
            <w:tcW w:w="42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ind w:right="5"/>
              <w:spacing w:after="0" w:line="132" w:lineRule="exact"/>
              <w:rPr>
                <w:sz w:val="20"/>
                <w:szCs w:val="20"/>
                <w:color w:val="auto"/>
              </w:rPr>
            </w:pPr>
            <w:r>
              <w:rPr>
                <w:rFonts w:ascii="Times New Roman" w:cs="Times New Roman" w:eastAsia="Times New Roman" w:hAnsi="Times New Roman"/>
                <w:sz w:val="12"/>
                <w:szCs w:val="12"/>
                <w:b w:val="1"/>
                <w:bCs w:val="1"/>
                <w:color w:val="auto"/>
                <w:w w:val="89"/>
              </w:rPr>
              <w:t>Units of</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5"/>
              </w:rPr>
              <w:t>Stock That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4"/>
          </w:tcPr>
          <w:p>
            <w:pPr>
              <w:jc w:val="center"/>
              <w:ind w:right="88"/>
              <w:spacing w:after="0" w:line="132" w:lineRule="exact"/>
              <w:rPr>
                <w:sz w:val="20"/>
                <w:szCs w:val="20"/>
                <w:color w:val="auto"/>
              </w:rPr>
            </w:pPr>
            <w:r>
              <w:rPr>
                <w:rFonts w:ascii="Times New Roman" w:cs="Times New Roman" w:eastAsia="Times New Roman" w:hAnsi="Times New Roman"/>
                <w:sz w:val="12"/>
                <w:szCs w:val="12"/>
                <w:b w:val="1"/>
                <w:bCs w:val="1"/>
                <w:color w:val="auto"/>
                <w:w w:val="92"/>
              </w:rPr>
              <w:t>Unexercised</w:t>
            </w:r>
          </w:p>
        </w:tc>
        <w:tc>
          <w:tcPr>
            <w:tcW w:w="40" w:type="dxa"/>
            <w:vAlign w:val="bottom"/>
          </w:tcPr>
          <w:p>
            <w:pPr>
              <w:spacing w:after="0"/>
              <w:rPr>
                <w:sz w:val="11"/>
                <w:szCs w:val="11"/>
                <w:color w:val="auto"/>
              </w:rPr>
            </w:pPr>
          </w:p>
        </w:tc>
        <w:tc>
          <w:tcPr>
            <w:tcW w:w="840" w:type="dxa"/>
            <w:vAlign w:val="bottom"/>
            <w:gridSpan w:val="3"/>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2"/>
              </w:rPr>
              <w:t>Unexercised</w:t>
            </w:r>
          </w:p>
        </w:tc>
        <w:tc>
          <w:tcPr>
            <w:tcW w:w="42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Exercise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35"/>
              <w:spacing w:after="0" w:line="132"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4"/>
          </w:tcPr>
          <w:p>
            <w:pPr>
              <w:jc w:val="center"/>
              <w:ind w:right="74"/>
              <w:spacing w:after="0" w:line="132" w:lineRule="exact"/>
              <w:rPr>
                <w:sz w:val="20"/>
                <w:szCs w:val="20"/>
                <w:color w:val="auto"/>
              </w:rPr>
            </w:pPr>
            <w:r>
              <w:rPr>
                <w:rFonts w:ascii="Times New Roman" w:cs="Times New Roman" w:eastAsia="Times New Roman" w:hAnsi="Times New Roman"/>
                <w:sz w:val="12"/>
                <w:szCs w:val="12"/>
                <w:b w:val="1"/>
                <w:bCs w:val="1"/>
                <w:color w:val="auto"/>
                <w:w w:val="92"/>
              </w:rPr>
              <w:t>Stock That</w:t>
            </w:r>
          </w:p>
        </w:tc>
        <w:tc>
          <w:tcPr>
            <w:tcW w:w="60" w:type="dxa"/>
            <w:vAlign w:val="bottom"/>
          </w:tcPr>
          <w:p>
            <w:pPr>
              <w:spacing w:after="0"/>
              <w:rPr>
                <w:sz w:val="11"/>
                <w:szCs w:val="11"/>
                <w:color w:val="auto"/>
              </w:rPr>
            </w:pPr>
          </w:p>
        </w:tc>
        <w:tc>
          <w:tcPr>
            <w:tcW w:w="56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5"/>
              </w:rPr>
              <w:t>Have Not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ind w:right="108"/>
              <w:spacing w:after="0" w:line="132" w:lineRule="exact"/>
              <w:rPr>
                <w:sz w:val="20"/>
                <w:szCs w:val="20"/>
                <w:color w:val="auto"/>
              </w:rPr>
            </w:pPr>
            <w:r>
              <w:rPr>
                <w:rFonts w:ascii="Times New Roman" w:cs="Times New Roman" w:eastAsia="Times New Roman" w:hAnsi="Times New Roman"/>
                <w:sz w:val="12"/>
                <w:szCs w:val="12"/>
                <w:b w:val="1"/>
                <w:bCs w:val="1"/>
                <w:color w:val="auto"/>
                <w:w w:val="93"/>
              </w:rPr>
              <w:t>Options (#)</w:t>
            </w:r>
          </w:p>
        </w:tc>
        <w:tc>
          <w:tcPr>
            <w:tcW w:w="40" w:type="dxa"/>
            <w:vAlign w:val="bottom"/>
          </w:tcPr>
          <w:p>
            <w:pPr>
              <w:spacing w:after="0"/>
              <w:rPr>
                <w:sz w:val="11"/>
                <w:szCs w:val="11"/>
                <w:color w:val="auto"/>
              </w:rPr>
            </w:pPr>
          </w:p>
        </w:tc>
        <w:tc>
          <w:tcPr>
            <w:tcW w:w="840" w:type="dxa"/>
            <w:vAlign w:val="bottom"/>
            <w:gridSpan w:val="3"/>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3"/>
              </w:rPr>
              <w:t>Options (#)</w:t>
            </w:r>
          </w:p>
        </w:tc>
        <w:tc>
          <w:tcPr>
            <w:tcW w:w="42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89"/>
              </w:rPr>
              <w:t>Price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5"/>
              <w:spacing w:after="0" w:line="132" w:lineRule="exact"/>
              <w:rPr>
                <w:sz w:val="20"/>
                <w:szCs w:val="20"/>
                <w:color w:val="auto"/>
              </w:rPr>
            </w:pPr>
            <w:r>
              <w:rPr>
                <w:rFonts w:ascii="Times New Roman" w:cs="Times New Roman" w:eastAsia="Times New Roman" w:hAnsi="Times New Roman"/>
                <w:sz w:val="12"/>
                <w:szCs w:val="12"/>
                <w:b w:val="1"/>
                <w:bCs w:val="1"/>
                <w:color w:val="auto"/>
                <w:w w:val="93"/>
              </w:rPr>
              <w:t>Expiration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0"/>
              </w:rPr>
              <w:t>Have Not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ind w:right="1"/>
              <w:spacing w:after="0" w:line="132" w:lineRule="exact"/>
              <w:rPr>
                <w:sz w:val="20"/>
                <w:szCs w:val="20"/>
                <w:color w:val="auto"/>
              </w:rPr>
            </w:pPr>
            <w:r>
              <w:rPr>
                <w:rFonts w:ascii="Times New Roman" w:cs="Times New Roman" w:eastAsia="Times New Roman" w:hAnsi="Times New Roman"/>
                <w:sz w:val="12"/>
                <w:szCs w:val="12"/>
                <w:b w:val="1"/>
                <w:bCs w:val="1"/>
                <w:color w:val="auto"/>
                <w:w w:val="92"/>
              </w:rPr>
              <w:t>Vested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000" w:type="dxa"/>
            <w:vAlign w:val="bottom"/>
            <w:gridSpan w:val="6"/>
          </w:tcPr>
          <w:p>
            <w:pPr>
              <w:jc w:val="center"/>
              <w:ind w:left="55"/>
              <w:spacing w:after="0" w:line="148" w:lineRule="exact"/>
              <w:rPr>
                <w:sz w:val="20"/>
                <w:szCs w:val="20"/>
                <w:color w:val="auto"/>
              </w:rPr>
            </w:pPr>
            <w:r>
              <w:rPr>
                <w:rFonts w:ascii="Times New Roman" w:cs="Times New Roman" w:eastAsia="Times New Roman" w:hAnsi="Times New Roman"/>
                <w:sz w:val="17"/>
                <w:szCs w:val="17"/>
                <w:b w:val="1"/>
                <w:bCs w:val="1"/>
                <w:color w:val="auto"/>
                <w:vertAlign w:val="subscript"/>
              </w:rPr>
              <w:t>​ ​</w:t>
            </w:r>
            <w:r>
              <w:rPr>
                <w:rFonts w:ascii="Times New Roman" w:cs="Times New Roman" w:eastAsia="Times New Roman" w:hAnsi="Times New Roman"/>
                <w:sz w:val="9"/>
                <w:szCs w:val="9"/>
                <w:b w:val="1"/>
                <w:bCs w:val="1"/>
                <w:color w:val="auto"/>
              </w:rPr>
              <w:t xml:space="preserve"> Exercisable </w:t>
            </w:r>
            <w:r>
              <w:rPr>
                <w:rFonts w:ascii="Times New Roman" w:cs="Times New Roman" w:eastAsia="Times New Roman" w:hAnsi="Times New Roman"/>
                <w:sz w:val="17"/>
                <w:szCs w:val="17"/>
                <w:b w:val="1"/>
                <w:bCs w:val="1"/>
                <w:color w:val="auto"/>
                <w:vertAlign w:val="subscript"/>
              </w:rPr>
              <w:t>​</w:t>
            </w:r>
          </w:p>
        </w:tc>
        <w:tc>
          <w:tcPr>
            <w:tcW w:w="880" w:type="dxa"/>
            <w:vAlign w:val="bottom"/>
            <w:gridSpan w:val="4"/>
          </w:tcPr>
          <w:p>
            <w:pPr>
              <w:spacing w:after="0" w:line="148"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 xml:space="preserve"> Unexercisable </w:t>
            </w:r>
            <w:r>
              <w:rPr>
                <w:rFonts w:ascii="Times New Roman" w:cs="Times New Roman" w:eastAsia="Times New Roman" w:hAnsi="Times New Roman"/>
                <w:sz w:val="17"/>
                <w:szCs w:val="17"/>
                <w:b w:val="1"/>
                <w:bCs w:val="1"/>
                <w:color w:val="auto"/>
                <w:vertAlign w:val="subscript"/>
              </w:rPr>
              <w:t>​ ​</w:t>
            </w:r>
          </w:p>
        </w:tc>
        <w:tc>
          <w:tcPr>
            <w:tcW w:w="120" w:type="dxa"/>
            <w:vAlign w:val="bottom"/>
          </w:tcPr>
          <w:p>
            <w:pPr>
              <w:spacing w:after="0"/>
              <w:rPr>
                <w:sz w:val="12"/>
                <w:szCs w:val="12"/>
                <w:color w:val="auto"/>
              </w:rPr>
            </w:pPr>
          </w:p>
        </w:tc>
        <w:tc>
          <w:tcPr>
            <w:tcW w:w="300" w:type="dxa"/>
            <w:vAlign w:val="bottom"/>
          </w:tcPr>
          <w:p>
            <w:pPr>
              <w:jc w:val="center"/>
              <w:ind w:right="9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Date</w:t>
            </w:r>
          </w:p>
        </w:tc>
        <w:tc>
          <w:tcPr>
            <w:tcW w:w="1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Vested</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7"/>
                <w:szCs w:val="17"/>
                <w:b w:val="1"/>
                <w:bCs w:val="1"/>
                <w:color w:val="auto"/>
                <w:w w:val="98"/>
                <w:vertAlign w:val="subscript"/>
              </w:rPr>
              <w:t>($)</w:t>
            </w:r>
            <w:r>
              <w:rPr>
                <w:rFonts w:ascii="Times New Roman" w:cs="Times New Roman" w:eastAsia="Times New Roman" w:hAnsi="Times New Roman"/>
                <w:sz w:val="6"/>
                <w:szCs w:val="6"/>
                <w:b w:val="1"/>
                <w:bCs w:val="1"/>
                <w:color w:val="auto"/>
                <w:w w:val="98"/>
              </w:rPr>
              <w:t>(1)</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6"/>
        </w:trPr>
        <w:tc>
          <w:tcPr>
            <w:tcW w:w="30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3"/>
        </w:trPr>
        <w:tc>
          <w:tcPr>
            <w:tcW w:w="2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Leon O. Moulder, Jr.</w:t>
            </w:r>
          </w:p>
        </w:tc>
        <w:tc>
          <w:tcPr>
            <w:tcW w:w="200" w:type="dxa"/>
            <w:vAlign w:val="bottom"/>
          </w:tcPr>
          <w:p>
            <w:pPr>
              <w:ind w:left="160"/>
              <w:spacing w:after="0" w:line="171"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gridSpan w:val="2"/>
            <w:shd w:val="clear" w:color="auto" w:fill="CCEEFF"/>
          </w:tcPr>
          <w:p>
            <w:pPr>
              <w:jc w:val="right"/>
              <w:spacing w:after="0" w:line="207"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w:t>
            </w:r>
          </w:p>
        </w:tc>
        <w:tc>
          <w:tcPr>
            <w:tcW w:w="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shd w:val="clear" w:color="auto" w:fill="CCEEFF"/>
          </w:tcPr>
          <w:p>
            <w:pPr>
              <w:jc w:val="right"/>
              <w:ind w:right="8"/>
              <w:spacing w:after="0" w:line="171"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shd w:val="clear" w:color="auto" w:fill="CCEEFF"/>
          </w:tcPr>
          <w:p>
            <w:pPr>
              <w:jc w:val="right"/>
              <w:spacing w:after="0" w:line="207"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​2,675,000</w:t>
            </w:r>
            <w:r>
              <w:rPr>
                <w:rFonts w:ascii="Times New Roman" w:cs="Times New Roman" w:eastAsia="Times New Roman" w:hAnsi="Times New Roman"/>
                <w:sz w:val="16"/>
                <w:szCs w:val="16"/>
                <w:color w:val="auto"/>
                <w:vertAlign w:val="superscript"/>
              </w:rPr>
              <w:t>(6)</w:t>
            </w:r>
            <w:r>
              <w:rPr>
                <w:rFonts w:ascii="Times New Roman" w:cs="Times New Roman" w:eastAsia="Times New Roman" w:hAnsi="Times New Roman"/>
                <w:sz w:val="24"/>
                <w:szCs w:val="24"/>
                <w:color w:val="auto"/>
                <w:vertAlign w:val="superscript"/>
              </w:rPr>
              <w:t>​​ ​</w:t>
            </w:r>
          </w:p>
        </w:tc>
        <w:tc>
          <w:tcPr>
            <w:tcW w:w="420" w:type="dxa"/>
            <w:vAlign w:val="bottom"/>
            <w:gridSpan w:val="2"/>
            <w:shd w:val="clear" w:color="auto" w:fill="CCEEFF"/>
          </w:tcPr>
          <w:p>
            <w:pPr>
              <w:ind w:left="80"/>
              <w:spacing w:after="0" w:line="207"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​1.07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shd w:val="clear" w:color="auto" w:fill="CCEEFF"/>
          </w:tcPr>
          <w:p>
            <w:pPr>
              <w:jc w:val="center"/>
              <w:spacing w:after="0" w:line="207"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7/17/2033</w:t>
            </w:r>
          </w:p>
        </w:tc>
        <w:tc>
          <w:tcPr>
            <w:tcW w:w="180" w:type="dxa"/>
            <w:vAlign w:val="bottom"/>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ind w:left="200"/>
              <w:spacing w:after="0" w:line="207"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
        </w:trPr>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1"/>
                <w:szCs w:val="1"/>
                <w:color w:val="auto"/>
                <w:vertAlign w:val="subscript"/>
              </w:rPr>
              <w:t>​</w:t>
            </w:r>
          </w:p>
        </w:tc>
        <w:tc>
          <w:tcPr>
            <w:tcW w:w="800" w:type="dxa"/>
            <w:vAlign w:val="bottom"/>
            <w:tcBorders>
              <w:top w:val="single" w:sz="8" w:color="CCEEFF"/>
            </w:tcBorders>
            <w:gridSpan w:val="4"/>
          </w:tcPr>
          <w:p>
            <w:pPr>
              <w:jc w:val="right"/>
              <w:spacing w:after="0"/>
              <w:rPr>
                <w:sz w:val="20"/>
                <w:szCs w:val="20"/>
                <w:color w:val="auto"/>
              </w:rPr>
            </w:pPr>
            <w:r>
              <w:rPr>
                <w:rFonts w:ascii="Times New Roman" w:cs="Times New Roman" w:eastAsia="Times New Roman" w:hAnsi="Times New Roman"/>
                <w:sz w:val="1"/>
                <w:szCs w:val="1"/>
                <w:color w:val="auto"/>
                <w:vertAlign w:val="subscript"/>
              </w:rPr>
              <w:t>—</w:t>
            </w:r>
            <w:r>
              <w:rPr>
                <w:rFonts w:ascii="Times New Roman" w:cs="Times New Roman" w:eastAsia="Times New Roman" w:hAnsi="Times New Roman"/>
                <w:sz w:val="1"/>
                <w:szCs w:val="1"/>
                <w:color w:val="auto"/>
              </w:rPr>
              <w:t>​​ ​ ​</w:t>
            </w:r>
            <w:r>
              <w:rPr>
                <w:rFonts w:ascii="Times New Roman" w:cs="Times New Roman" w:eastAsia="Times New Roman" w:hAnsi="Times New Roman"/>
                <w:sz w:val="1"/>
                <w:szCs w:val="1"/>
                <w:color w:val="auto"/>
                <w:vertAlign w:val="subscript"/>
              </w:rPr>
              <w:t>​</w:t>
            </w:r>
          </w:p>
        </w:tc>
        <w:tc>
          <w:tcPr>
            <w:tcW w:w="7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
                <w:szCs w:val="1"/>
                <w:color w:val="auto"/>
                <w:vertAlign w:val="subscript"/>
              </w:rPr>
              <w:t>—</w:t>
            </w:r>
            <w:r>
              <w:rPr>
                <w:rFonts w:ascii="Times New Roman" w:cs="Times New Roman" w:eastAsia="Times New Roman" w:hAnsi="Times New Roman"/>
                <w:sz w:val="1"/>
                <w:szCs w:val="1"/>
                <w:color w:val="auto"/>
              </w:rPr>
              <w:t xml:space="preserve"> ​​ ​</w:t>
            </w:r>
          </w:p>
        </w:tc>
        <w:tc>
          <w:tcPr>
            <w:tcW w:w="12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
                <w:szCs w:val="1"/>
                <w:color w:val="auto"/>
                <w:vertAlign w:val="superscript"/>
              </w:rPr>
              <w:t>​</w:t>
            </w:r>
            <w:r>
              <w:rPr>
                <w:rFonts w:ascii="Times New Roman" w:cs="Times New Roman" w:eastAsia="Times New Roman" w:hAnsi="Times New Roman"/>
                <w:sz w:val="1"/>
                <w:szCs w:val="1"/>
                <w:color w:val="auto"/>
              </w:rPr>
              <w:t>​</w:t>
            </w:r>
          </w:p>
        </w:tc>
        <w:tc>
          <w:tcPr>
            <w:tcW w:w="30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
                <w:szCs w:val="1"/>
                <w:color w:val="auto"/>
              </w:rPr>
              <w:t>—</w:t>
            </w:r>
          </w:p>
        </w:tc>
        <w:tc>
          <w:tcPr>
            <w:tcW w:w="24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
                <w:szCs w:val="1"/>
                <w:color w:val="auto"/>
              </w:rPr>
              <w:t>​​ ​​</w:t>
            </w:r>
            <w:r>
              <w:rPr>
                <w:rFonts w:ascii="Times New Roman" w:cs="Times New Roman" w:eastAsia="Times New Roman" w:hAnsi="Times New Roman"/>
                <w:sz w:val="1"/>
                <w:szCs w:val="1"/>
                <w:color w:val="auto"/>
                <w:vertAlign w:val="subscript"/>
              </w:rPr>
              <w:t>​</w:t>
            </w:r>
          </w:p>
        </w:tc>
        <w:tc>
          <w:tcPr>
            <w:tcW w:w="880" w:type="dxa"/>
            <w:vAlign w:val="bottom"/>
            <w:tcBorders>
              <w:top w:val="single" w:sz="8" w:color="CCEEFF"/>
            </w:tcBorders>
            <w:gridSpan w:val="4"/>
          </w:tcPr>
          <w:p>
            <w:pPr>
              <w:jc w:val="right"/>
              <w:spacing w:after="0"/>
              <w:rPr>
                <w:sz w:val="20"/>
                <w:szCs w:val="20"/>
                <w:color w:val="auto"/>
              </w:rPr>
            </w:pPr>
            <w:r>
              <w:rPr>
                <w:rFonts w:ascii="Times New Roman" w:cs="Times New Roman" w:eastAsia="Times New Roman" w:hAnsi="Times New Roman"/>
                <w:sz w:val="1"/>
                <w:szCs w:val="1"/>
                <w:color w:val="auto"/>
                <w:vertAlign w:val="subscript"/>
              </w:rPr>
              <w:t>—</w:t>
            </w:r>
            <w:r>
              <w:rPr>
                <w:rFonts w:ascii="Times New Roman" w:cs="Times New Roman" w:eastAsia="Times New Roman" w:hAnsi="Times New Roman"/>
                <w:sz w:val="1"/>
                <w:szCs w:val="1"/>
                <w:color w:val="auto"/>
              </w:rPr>
              <w:t>​​ ​ ​</w:t>
            </w:r>
            <w:r>
              <w:rPr>
                <w:rFonts w:ascii="Times New Roman" w:cs="Times New Roman" w:eastAsia="Times New Roman" w:hAnsi="Times New Roman"/>
                <w:sz w:val="1"/>
                <w:szCs w:val="1"/>
                <w:color w:val="auto"/>
                <w:vertAlign w:val="subscript"/>
              </w:rPr>
              <w:t>​</w:t>
            </w:r>
          </w:p>
        </w:tc>
        <w:tc>
          <w:tcPr>
            <w:tcW w:w="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
                <w:szCs w:val="1"/>
                <w:color w:val="auto"/>
              </w:rPr>
              <w:t>6,542</w:t>
            </w:r>
          </w:p>
        </w:tc>
        <w:tc>
          <w:tcPr>
            <w:tcW w:w="22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
                <w:szCs w:val="1"/>
                <w:color w:val="auto"/>
              </w:rPr>
              <w:t>​​ ​</w:t>
            </w:r>
          </w:p>
        </w:tc>
        <w:tc>
          <w:tcPr>
            <w:tcW w:w="360" w:type="dxa"/>
            <w:vAlign w:val="bottom"/>
            <w:tcBorders>
              <w:top w:val="single" w:sz="8" w:color="CCEEFF"/>
            </w:tcBorders>
          </w:tcPr>
          <w:p>
            <w:pPr>
              <w:ind w:left="200"/>
              <w:spacing w:after="0"/>
              <w:rPr>
                <w:sz w:val="20"/>
                <w:szCs w:val="20"/>
                <w:color w:val="auto"/>
              </w:rPr>
            </w:pPr>
            <w:r>
              <w:rPr>
                <w:rFonts w:ascii="Times New Roman" w:cs="Times New Roman" w:eastAsia="Times New Roman" w:hAnsi="Times New Roman"/>
                <w:sz w:val="1"/>
                <w:szCs w:val="1"/>
                <w:b w:val="1"/>
                <w:bCs w:val="1"/>
                <w:color w:val="auto"/>
              </w:rPr>
              <w:t>​</w:t>
            </w:r>
          </w:p>
        </w:tc>
        <w:tc>
          <w:tcPr>
            <w:tcW w:w="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
                <w:sz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
                <w:szCs w:val="1"/>
                <w:b w:val="1"/>
                <w:bCs w:val="1"/>
                <w:color w:val="auto"/>
              </w:rPr>
              <w:t>​</w:t>
            </w:r>
          </w:p>
        </w:tc>
        <w:tc>
          <w:tcPr>
            <w:tcW w:w="0" w:type="dxa"/>
            <w:vAlign w:val="bottom"/>
          </w:tcPr>
          <w:p>
            <w:pPr>
              <w:spacing w:after="0" w:line="20" w:lineRule="exact"/>
              <w:rPr>
                <w:sz w:val="1"/>
                <w:szCs w:val="1"/>
                <w:color w:val="auto"/>
              </w:rPr>
            </w:pPr>
          </w:p>
        </w:tc>
      </w:tr>
      <w:tr>
        <w:trPr>
          <w:trHeight w:val="123"/>
        </w:trPr>
        <w:tc>
          <w:tcPr>
            <w:tcW w:w="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83"/>
              </w:rPr>
              <w:t>(10)</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9"/>
        </w:trPr>
        <w:tc>
          <w:tcPr>
            <w:tcW w:w="2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Hua Mu, M.D., Ph.D.</w:t>
            </w:r>
          </w:p>
        </w:tc>
        <w:tc>
          <w:tcPr>
            <w:tcW w:w="1000" w:type="dxa"/>
            <w:vAlign w:val="bottom"/>
            <w:gridSpan w:val="6"/>
          </w:tcPr>
          <w:p>
            <w:pPr>
              <w:jc w:val="right"/>
              <w:spacing w:after="0" w:line="299"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​1,011,121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9"/>
                <w:szCs w:val="19"/>
                <w:color w:val="auto"/>
                <w:vertAlign w:val="superscript"/>
              </w:rPr>
              <w:t>(2)</w:t>
            </w:r>
          </w:p>
        </w:tc>
        <w:tc>
          <w:tcPr>
            <w:tcW w:w="120" w:type="dxa"/>
            <w:vAlign w:val="bottom"/>
            <w:gridSpan w:val="2"/>
          </w:tcPr>
          <w:p>
            <w:pPr>
              <w:jc w:val="right"/>
              <w:spacing w:after="0" w:line="299"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bscript"/>
              </w:rPr>
              <w:t>​</w:t>
            </w:r>
          </w:p>
        </w:tc>
        <w:tc>
          <w:tcPr>
            <w:tcW w:w="760" w:type="dxa"/>
            <w:vAlign w:val="bottom"/>
            <w:gridSpan w:val="2"/>
          </w:tcPr>
          <w:p>
            <w:pPr>
              <w:jc w:val="right"/>
              <w:spacing w:after="0" w:line="299"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 ​</w:t>
            </w:r>
          </w:p>
        </w:tc>
        <w:tc>
          <w:tcPr>
            <w:tcW w:w="420" w:type="dxa"/>
            <w:vAlign w:val="bottom"/>
            <w:gridSpan w:val="2"/>
          </w:tcPr>
          <w:p>
            <w:pPr>
              <w:ind w:left="80"/>
              <w:spacing w:after="0" w:line="29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​0.40</w:t>
            </w:r>
          </w:p>
        </w:tc>
        <w:tc>
          <w:tcPr>
            <w:tcW w:w="1120" w:type="dxa"/>
            <w:vAlign w:val="bottom"/>
            <w:gridSpan w:val="7"/>
          </w:tcPr>
          <w:p>
            <w:pPr>
              <w:jc w:val="right"/>
              <w:spacing w:after="0" w:line="299"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5/19/2031</w:t>
            </w:r>
            <w:r>
              <w:rPr>
                <w:rFonts w:ascii="Times New Roman" w:cs="Times New Roman" w:eastAsia="Times New Roman" w:hAnsi="Times New Roman"/>
                <w:sz w:val="29"/>
                <w:szCs w:val="29"/>
                <w:color w:val="auto"/>
                <w:vertAlign w:val="superscript"/>
              </w:rPr>
              <w:t>​​ ​ ​</w:t>
            </w:r>
            <w:r>
              <w:rPr>
                <w:rFonts w:ascii="Times New Roman" w:cs="Times New Roman" w:eastAsia="Times New Roman" w:hAnsi="Times New Roman"/>
                <w:sz w:val="15"/>
                <w:szCs w:val="15"/>
                <w:color w:val="auto"/>
              </w:rPr>
              <w:t>​</w:t>
            </w:r>
          </w:p>
        </w:tc>
        <w:tc>
          <w:tcPr>
            <w:tcW w:w="680" w:type="dxa"/>
            <w:vAlign w:val="bottom"/>
            <w:gridSpan w:val="4"/>
          </w:tcPr>
          <w:p>
            <w:pPr>
              <w:jc w:val="right"/>
              <w:spacing w:after="0" w:line="299"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 ​</w:t>
            </w:r>
          </w:p>
        </w:tc>
        <w:tc>
          <w:tcPr>
            <w:tcW w:w="360" w:type="dxa"/>
            <w:vAlign w:val="bottom"/>
          </w:tcPr>
          <w:p>
            <w:pPr>
              <w:ind w:left="200"/>
              <w:spacing w:after="0" w:line="299" w:lineRule="exact"/>
              <w:rPr>
                <w:sz w:val="20"/>
                <w:szCs w:val="20"/>
                <w:color w:val="auto"/>
              </w:rPr>
            </w:pPr>
            <w:r>
              <w:rPr>
                <w:rFonts w:ascii="Times New Roman" w:cs="Times New Roman" w:eastAsia="Times New Roman" w:hAnsi="Times New Roman"/>
                <w:sz w:val="29"/>
                <w:szCs w:val="29"/>
                <w:color w:val="auto"/>
                <w:w w:val="92"/>
                <w:vertAlign w:val="superscript"/>
              </w:rPr>
              <w:t>​</w:t>
            </w:r>
            <w:r>
              <w:rPr>
                <w:rFonts w:ascii="Times New Roman" w:cs="Times New Roman" w:eastAsia="Times New Roman" w:hAnsi="Times New Roman"/>
                <w:sz w:val="15"/>
                <w:szCs w:val="15"/>
                <w:color w:val="auto"/>
                <w:w w:val="92"/>
              </w:rPr>
              <w:t>​—</w:t>
            </w:r>
          </w:p>
        </w:tc>
        <w:tc>
          <w:tcPr>
            <w:tcW w:w="2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w:t>
            </w:r>
          </w:p>
        </w:tc>
        <w:tc>
          <w:tcPr>
            <w:tcW w:w="420" w:type="dxa"/>
            <w:vAlign w:val="bottom"/>
            <w:gridSpan w:val="2"/>
            <w:vMerge w:val="restart"/>
          </w:tcPr>
          <w:p>
            <w:pPr>
              <w:ind w:left="8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​1.07</w:t>
            </w:r>
          </w:p>
        </w:tc>
        <w:tc>
          <w:tcPr>
            <w:tcW w:w="1120" w:type="dxa"/>
            <w:vAlign w:val="bottom"/>
            <w:gridSpan w:val="7"/>
            <w:vMerge w:val="restart"/>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​12/13/2032</w:t>
            </w:r>
            <w:r>
              <w:rPr>
                <w:rFonts w:ascii="Times New Roman" w:cs="Times New Roman" w:eastAsia="Times New Roman" w:hAnsi="Times New Roman"/>
                <w:sz w:val="25"/>
                <w:szCs w:val="25"/>
                <w:color w:val="auto"/>
                <w:vertAlign w:val="superscript"/>
              </w:rPr>
              <w:t>​​ ​ ​</w:t>
            </w: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w:t>
            </w:r>
          </w:p>
        </w:tc>
        <w:tc>
          <w:tcPr>
            <w:tcW w:w="360" w:type="dxa"/>
            <w:vAlign w:val="bottom"/>
            <w:vMerge w:val="restart"/>
          </w:tcPr>
          <w:p>
            <w:pPr>
              <w:ind w:left="20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7"/>
          </w:tcPr>
          <w:p>
            <w:pPr>
              <w:jc w:val="right"/>
              <w:spacing w:after="0" w:line="95" w:lineRule="exact"/>
              <w:rPr>
                <w:sz w:val="20"/>
                <w:szCs w:val="20"/>
                <w:color w:val="auto"/>
              </w:rPr>
            </w:pPr>
            <w:r>
              <w:rPr>
                <w:rFonts w:ascii="Times New Roman" w:cs="Times New Roman" w:eastAsia="Times New Roman" w:hAnsi="Times New Roman"/>
                <w:sz w:val="11"/>
                <w:szCs w:val="11"/>
                <w:color w:val="auto"/>
                <w:vertAlign w:val="superscript"/>
              </w:rPr>
              <w:t>​​</w:t>
            </w:r>
            <w:r>
              <w:rPr>
                <w:rFonts w:ascii="Times New Roman" w:cs="Times New Roman" w:eastAsia="Times New Roman" w:hAnsi="Times New Roman"/>
                <w:sz w:val="8"/>
                <w:szCs w:val="8"/>
                <w:color w:val="auto"/>
              </w:rPr>
              <w:t>​1,164,010</w:t>
            </w:r>
            <w:r>
              <w:rPr>
                <w:rFonts w:ascii="Times New Roman" w:cs="Times New Roman" w:eastAsia="Times New Roman" w:hAnsi="Times New Roman"/>
                <w:sz w:val="11"/>
                <w:szCs w:val="11"/>
                <w:color w:val="auto"/>
                <w:vertAlign w:val="superscript"/>
              </w:rPr>
              <w:t>​​ ​ ​</w:t>
            </w:r>
            <w:r>
              <w:rPr>
                <w:rFonts w:ascii="Times New Roman" w:cs="Times New Roman" w:eastAsia="Times New Roman" w:hAnsi="Times New Roman"/>
                <w:sz w:val="8"/>
                <w:szCs w:val="8"/>
                <w:color w:val="auto"/>
              </w:rPr>
              <w:t>​</w:t>
            </w:r>
          </w:p>
        </w:tc>
        <w:tc>
          <w:tcPr>
            <w:tcW w:w="760" w:type="dxa"/>
            <w:vAlign w:val="bottom"/>
            <w:gridSpan w:val="2"/>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120" w:type="dxa"/>
            <w:vAlign w:val="bottom"/>
            <w:gridSpan w:val="7"/>
            <w:vMerge w:val="continue"/>
          </w:tcPr>
          <w:p>
            <w:pPr>
              <w:spacing w:after="0"/>
              <w:rPr>
                <w:sz w:val="8"/>
                <w:szCs w:val="8"/>
                <w:color w:val="auto"/>
              </w:rPr>
            </w:pPr>
          </w:p>
        </w:tc>
        <w:tc>
          <w:tcPr>
            <w:tcW w:w="680" w:type="dxa"/>
            <w:vAlign w:val="bottom"/>
            <w:gridSpan w:val="4"/>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200" w:type="dxa"/>
            <w:vAlign w:val="bottom"/>
            <w:vMerge w:val="restart"/>
          </w:tcPr>
          <w:p>
            <w:pPr>
              <w:spacing w:after="0" w:line="135"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3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gridSpan w:val="3"/>
          </w:tcPr>
          <w:p>
            <w:pPr>
              <w:jc w:val="right"/>
              <w:spacing w:after="0" w:line="40" w:lineRule="exact"/>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4"/>
                <w:szCs w:val="4"/>
                <w:b w:val="1"/>
                <w:bCs w:val="1"/>
                <w:color w:val="auto"/>
              </w:rPr>
              <w:t>​</w:t>
            </w:r>
          </w:p>
        </w:tc>
        <w:tc>
          <w:tcPr>
            <w:tcW w:w="560" w:type="dxa"/>
            <w:vAlign w:val="bottom"/>
          </w:tcPr>
          <w:p>
            <w:pPr>
              <w:spacing w:after="0"/>
              <w:rPr>
                <w:sz w:val="3"/>
                <w:szCs w:val="3"/>
                <w:color w:val="auto"/>
              </w:rPr>
            </w:pPr>
          </w:p>
        </w:tc>
        <w:tc>
          <w:tcPr>
            <w:tcW w:w="240" w:type="dxa"/>
            <w:vAlign w:val="bottom"/>
            <w:gridSpan w:val="3"/>
          </w:tcPr>
          <w:p>
            <w:pPr>
              <w:jc w:val="right"/>
              <w:spacing w:after="0" w:line="40" w:lineRule="exact"/>
              <w:rPr>
                <w:sz w:val="20"/>
                <w:szCs w:val="20"/>
                <w:color w:val="auto"/>
              </w:rPr>
            </w:pPr>
            <w:r>
              <w:rPr>
                <w:rFonts w:ascii="Times New Roman" w:cs="Times New Roman" w:eastAsia="Times New Roman" w:hAnsi="Times New Roman"/>
                <w:sz w:val="4"/>
                <w:szCs w:val="4"/>
                <w:color w:val="auto"/>
              </w:rPr>
              <w:t xml:space="preserve">​​ ​ </w:t>
            </w:r>
            <w:r>
              <w:rPr>
                <w:rFonts w:ascii="Times New Roman" w:cs="Times New Roman" w:eastAsia="Times New Roman" w:hAnsi="Times New Roman"/>
                <w:sz w:val="4"/>
                <w:szCs w:val="4"/>
                <w:b w:val="1"/>
                <w:bCs w:val="1"/>
                <w:color w:val="auto"/>
              </w:rPr>
              <w:t>​</w:t>
            </w:r>
          </w:p>
        </w:tc>
        <w:tc>
          <w:tcPr>
            <w:tcW w:w="760" w:type="dxa"/>
            <w:vAlign w:val="bottom"/>
            <w:gridSpan w:val="2"/>
          </w:tcPr>
          <w:p>
            <w:pPr>
              <w:jc w:val="right"/>
              <w:spacing w:after="0" w:line="40" w:lineRule="exact"/>
              <w:rPr>
                <w:sz w:val="20"/>
                <w:szCs w:val="20"/>
                <w:color w:val="auto"/>
              </w:rPr>
            </w:pPr>
            <w:r>
              <w:rPr>
                <w:rFonts w:ascii="Times New Roman" w:cs="Times New Roman" w:eastAsia="Times New Roman" w:hAnsi="Times New Roman"/>
                <w:sz w:val="4"/>
                <w:szCs w:val="4"/>
                <w:color w:val="auto"/>
              </w:rPr>
              <w:t>​​​ ​</w:t>
            </w:r>
          </w:p>
        </w:tc>
        <w:tc>
          <w:tcPr>
            <w:tcW w:w="120" w:type="dxa"/>
            <w:vAlign w:val="bottom"/>
          </w:tcPr>
          <w:p>
            <w:pPr>
              <w:ind w:left="80"/>
              <w:spacing w:after="0" w:line="40" w:lineRule="exact"/>
              <w:rPr>
                <w:sz w:val="20"/>
                <w:szCs w:val="20"/>
                <w:color w:val="auto"/>
              </w:rPr>
            </w:pPr>
            <w:r>
              <w:rPr>
                <w:rFonts w:ascii="Times New Roman" w:cs="Times New Roman" w:eastAsia="Times New Roman" w:hAnsi="Times New Roman"/>
                <w:sz w:val="4"/>
                <w:szCs w:val="4"/>
                <w:b w:val="1"/>
                <w:bCs w:val="1"/>
                <w:color w:val="auto"/>
              </w:rPr>
              <w:t>​</w:t>
            </w:r>
          </w:p>
        </w:tc>
        <w:tc>
          <w:tcPr>
            <w:tcW w:w="540" w:type="dxa"/>
            <w:vAlign w:val="bottom"/>
            <w:gridSpan w:val="4"/>
          </w:tcPr>
          <w:p>
            <w:pPr>
              <w:jc w:val="right"/>
              <w:spacing w:after="0" w:line="40" w:lineRule="exact"/>
              <w:rPr>
                <w:sz w:val="20"/>
                <w:szCs w:val="20"/>
                <w:color w:val="auto"/>
              </w:rPr>
            </w:pPr>
            <w:r>
              <w:rPr>
                <w:rFonts w:ascii="Times New Roman" w:cs="Times New Roman" w:eastAsia="Times New Roman" w:hAnsi="Times New Roman"/>
                <w:sz w:val="4"/>
                <w:szCs w:val="4"/>
                <w:color w:val="auto"/>
              </w:rPr>
              <w:t>​ ​​ ​</w:t>
            </w:r>
            <w:r>
              <w:rPr>
                <w:rFonts w:ascii="Times New Roman" w:cs="Times New Roman" w:eastAsia="Times New Roman" w:hAnsi="Times New Roman"/>
                <w:sz w:val="4"/>
                <w:szCs w:val="4"/>
                <w:b w:val="1"/>
                <w:bCs w:val="1"/>
                <w:color w:val="auto"/>
              </w:rPr>
              <w:t>​</w:t>
            </w:r>
          </w:p>
        </w:tc>
        <w:tc>
          <w:tcPr>
            <w:tcW w:w="620" w:type="dxa"/>
            <w:vAlign w:val="bottom"/>
          </w:tcPr>
          <w:p>
            <w:pPr>
              <w:spacing w:after="0"/>
              <w:rPr>
                <w:sz w:val="3"/>
                <w:szCs w:val="3"/>
                <w:color w:val="auto"/>
              </w:rPr>
            </w:pPr>
          </w:p>
        </w:tc>
        <w:tc>
          <w:tcPr>
            <w:tcW w:w="720" w:type="dxa"/>
            <w:vAlign w:val="bottom"/>
            <w:gridSpan w:val="4"/>
          </w:tcPr>
          <w:p>
            <w:pPr>
              <w:jc w:val="right"/>
              <w:spacing w:after="0" w:line="40" w:lineRule="exact"/>
              <w:rPr>
                <w:sz w:val="20"/>
                <w:szCs w:val="20"/>
                <w:color w:val="auto"/>
              </w:rPr>
            </w:pPr>
            <w:r>
              <w:rPr>
                <w:rFonts w:ascii="Times New Roman" w:cs="Times New Roman" w:eastAsia="Times New Roman" w:hAnsi="Times New Roman"/>
                <w:sz w:val="4"/>
                <w:szCs w:val="4"/>
                <w:color w:val="auto"/>
                <w:vertAlign w:val="superscript"/>
              </w:rPr>
              <w:t>​​ ​ ​</w:t>
            </w:r>
            <w:r>
              <w:rPr>
                <w:rFonts w:ascii="Times New Roman" w:cs="Times New Roman" w:eastAsia="Times New Roman" w:hAnsi="Times New Roman"/>
                <w:sz w:val="2"/>
                <w:szCs w:val="2"/>
                <w:color w:val="auto"/>
              </w:rPr>
              <w:t>​183,841</w:t>
            </w:r>
          </w:p>
        </w:tc>
        <w:tc>
          <w:tcPr>
            <w:tcW w:w="160" w:type="dxa"/>
            <w:vAlign w:val="bottom"/>
            <w:gridSpan w:val="2"/>
          </w:tcPr>
          <w:p>
            <w:pPr>
              <w:jc w:val="right"/>
              <w:spacing w:after="0" w:line="40" w:lineRule="exact"/>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200"/>
              <w:spacing w:after="0" w:line="40" w:lineRule="exact"/>
              <w:rPr>
                <w:sz w:val="20"/>
                <w:szCs w:val="20"/>
                <w:color w:val="auto"/>
              </w:rPr>
            </w:pPr>
            <w:r>
              <w:rPr>
                <w:rFonts w:ascii="Times New Roman" w:cs="Times New Roman" w:eastAsia="Times New Roman" w:hAnsi="Times New Roman"/>
                <w:sz w:val="4"/>
                <w:szCs w:val="4"/>
                <w:b w:val="1"/>
                <w:bCs w:val="1"/>
                <w:color w:val="auto"/>
              </w:rPr>
              <w:t>​</w:t>
            </w:r>
          </w:p>
        </w:tc>
        <w:tc>
          <w:tcPr>
            <w:tcW w:w="200" w:type="dxa"/>
            <w:vAlign w:val="bottom"/>
            <w:vMerge w:val="continue"/>
          </w:tcPr>
          <w:p>
            <w:pPr>
              <w:spacing w:after="0"/>
              <w:rPr>
                <w:sz w:val="3"/>
                <w:szCs w:val="3"/>
                <w:color w:val="auto"/>
              </w:rPr>
            </w:pPr>
          </w:p>
        </w:tc>
        <w:tc>
          <w:tcPr>
            <w:tcW w:w="40" w:type="dxa"/>
            <w:vAlign w:val="bottom"/>
          </w:tcPr>
          <w:p>
            <w:pPr>
              <w:spacing w:after="0" w:line="40" w:lineRule="exact"/>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line="20" w:lineRule="exact"/>
              <w:rPr>
                <w:sz w:val="1"/>
                <w:szCs w:val="1"/>
                <w:color w:val="auto"/>
              </w:rPr>
            </w:pPr>
          </w:p>
        </w:tc>
      </w:tr>
      <w:tr>
        <w:trPr>
          <w:trHeight w:val="123"/>
        </w:trPr>
        <w:tc>
          <w:tcPr>
            <w:tcW w:w="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71"/>
              </w:rPr>
              <w:t>(11)</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4"/>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tcPr>
          <w:p>
            <w:pPr>
              <w:spacing w:after="0"/>
              <w:rPr>
                <w:sz w:val="7"/>
                <w:szCs w:val="7"/>
                <w:color w:val="auto"/>
              </w:rPr>
            </w:pPr>
          </w:p>
        </w:tc>
        <w:tc>
          <w:tcPr>
            <w:tcW w:w="180" w:type="dxa"/>
            <w:vAlign w:val="bottom"/>
            <w:gridSpan w:val="2"/>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42"/>
        </w:trPr>
        <w:tc>
          <w:tcPr>
            <w:tcW w:w="2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Joseph Farmer</w:t>
            </w:r>
          </w:p>
        </w:tc>
        <w:tc>
          <w:tcPr>
            <w:tcW w:w="2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3"/>
            <w:shd w:val="clear" w:color="auto" w:fill="CCEEFF"/>
          </w:tcPr>
          <w:p>
            <w:pPr>
              <w:jc w:val="right"/>
              <w:spacing w:after="0" w:line="2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p>
        </w:tc>
        <w:tc>
          <w:tcPr>
            <w:tcW w:w="800" w:type="dxa"/>
            <w:vAlign w:val="bottom"/>
            <w:gridSpan w:val="4"/>
            <w:shd w:val="clear" w:color="auto" w:fill="CCEEFF"/>
          </w:tcPr>
          <w:p>
            <w:pPr>
              <w:jc w:val="right"/>
              <w:spacing w:after="0" w:line="242" w:lineRule="exact"/>
              <w:rPr>
                <w:sz w:val="20"/>
                <w:szCs w:val="20"/>
                <w:color w:val="auto"/>
              </w:rPr>
            </w:pPr>
            <w:r>
              <w:rPr>
                <w:rFonts w:ascii="Times New Roman" w:cs="Times New Roman" w:eastAsia="Times New Roman" w:hAnsi="Times New Roman"/>
                <w:sz w:val="14"/>
                <w:szCs w:val="14"/>
                <w:color w:val="auto"/>
              </w:rPr>
              <w:t>367,680</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line="242" w:lineRule="exact"/>
              <w:rPr>
                <w:sz w:val="20"/>
                <w:szCs w:val="20"/>
                <w:color w:val="auto"/>
              </w:rPr>
            </w:pPr>
            <w:r>
              <w:rPr>
                <w:rFonts w:ascii="Times New Roman" w:cs="Times New Roman" w:eastAsia="Times New Roman" w:hAnsi="Times New Roman"/>
                <w:sz w:val="14"/>
                <w:szCs w:val="14"/>
                <w:color w:val="auto"/>
              </w:rPr>
              <w:t xml:space="preserve">183,841 </w:t>
            </w:r>
            <w:r>
              <w:rPr>
                <w:rFonts w:ascii="Times New Roman" w:cs="Times New Roman" w:eastAsia="Times New Roman" w:hAnsi="Times New Roman"/>
                <w:sz w:val="28"/>
                <w:szCs w:val="28"/>
                <w:color w:val="auto"/>
                <w:vertAlign w:val="superscript"/>
              </w:rPr>
              <w:t>​​ ​</w:t>
            </w:r>
          </w:p>
        </w:tc>
        <w:tc>
          <w:tcPr>
            <w:tcW w:w="420" w:type="dxa"/>
            <w:vAlign w:val="bottom"/>
            <w:gridSpan w:val="2"/>
            <w:shd w:val="clear" w:color="auto" w:fill="CCEEFF"/>
          </w:tcPr>
          <w:p>
            <w:pPr>
              <w:ind w:left="80"/>
              <w:spacing w:after="0" w:line="242"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​0.40</w:t>
            </w:r>
          </w:p>
        </w:tc>
        <w:tc>
          <w:tcPr>
            <w:tcW w:w="1120" w:type="dxa"/>
            <w:vAlign w:val="bottom"/>
            <w:gridSpan w:val="7"/>
            <w:shd w:val="clear" w:color="auto" w:fill="CCEEFF"/>
          </w:tcPr>
          <w:p>
            <w:pPr>
              <w:jc w:val="right"/>
              <w:spacing w:after="0" w:line="242"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5/19/2031</w:t>
            </w:r>
            <w:r>
              <w:rPr>
                <w:rFonts w:ascii="Times New Roman" w:cs="Times New Roman" w:eastAsia="Times New Roman" w:hAnsi="Times New Roman"/>
                <w:sz w:val="28"/>
                <w:szCs w:val="28"/>
                <w:color w:val="auto"/>
                <w:vertAlign w:val="superscript"/>
              </w:rPr>
              <w:t>​​ ​ ​</w:t>
            </w:r>
            <w:r>
              <w:rPr>
                <w:rFonts w:ascii="Times New Roman" w:cs="Times New Roman" w:eastAsia="Times New Roman" w:hAnsi="Times New Roman"/>
                <w:sz w:val="14"/>
                <w:szCs w:val="14"/>
                <w:color w:val="auto"/>
              </w:rPr>
              <w:t>​</w:t>
            </w:r>
          </w:p>
        </w:tc>
        <w:tc>
          <w:tcPr>
            <w:tcW w:w="680" w:type="dxa"/>
            <w:vAlign w:val="bottom"/>
            <w:gridSpan w:val="4"/>
            <w:shd w:val="clear" w:color="auto" w:fill="CCEEFF"/>
          </w:tcPr>
          <w:p>
            <w:pPr>
              <w:jc w:val="right"/>
              <w:spacing w:after="0" w:line="242"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360" w:type="dxa"/>
            <w:vAlign w:val="bottom"/>
            <w:shd w:val="clear" w:color="auto" w:fill="CCEEFF"/>
          </w:tcPr>
          <w:p>
            <w:pPr>
              <w:ind w:left="200"/>
              <w:spacing w:after="0" w:line="242" w:lineRule="exact"/>
              <w:rPr>
                <w:sz w:val="20"/>
                <w:szCs w:val="20"/>
                <w:color w:val="auto"/>
              </w:rPr>
            </w:pPr>
            <w:r>
              <w:rPr>
                <w:rFonts w:ascii="Times New Roman" w:cs="Times New Roman" w:eastAsia="Times New Roman" w:hAnsi="Times New Roman"/>
                <w:sz w:val="28"/>
                <w:szCs w:val="28"/>
                <w:color w:val="auto"/>
                <w:w w:val="99"/>
                <w:vertAlign w:val="superscript"/>
              </w:rPr>
              <w:t>​</w:t>
            </w:r>
            <w:r>
              <w:rPr>
                <w:rFonts w:ascii="Times New Roman" w:cs="Times New Roman" w:eastAsia="Times New Roman" w:hAnsi="Times New Roman"/>
                <w:sz w:val="14"/>
                <w:szCs w:val="14"/>
                <w:color w:val="auto"/>
                <w:w w:val="99"/>
              </w:rPr>
              <w:t>​—</w:t>
            </w:r>
          </w:p>
        </w:tc>
        <w:tc>
          <w:tcPr>
            <w:tcW w:w="200" w:type="dxa"/>
            <w:vAlign w:val="bottom"/>
            <w:tcBorders>
              <w:right w:val="single" w:sz="8" w:color="CCEEFF"/>
            </w:tcBorders>
            <w:shd w:val="clear" w:color="auto" w:fill="CCEEFF"/>
          </w:tcPr>
          <w:p>
            <w:pPr>
              <w:spacing w:after="0"/>
              <w:rPr>
                <w:sz w:val="21"/>
                <w:szCs w:val="21"/>
                <w:color w:val="auto"/>
              </w:rPr>
            </w:pP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gridSpan w:val="3"/>
            <w:vMerge w:val="restart"/>
          </w:tcPr>
          <w:p>
            <w:pPr>
              <w:jc w:val="right"/>
              <w:spacing w:after="0" w:line="194"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2"/>
                <w:szCs w:val="22"/>
                <w:color w:val="auto"/>
                <w:vertAlign w:val="subscript"/>
              </w:rPr>
              <w:t>​</w:t>
            </w:r>
          </w:p>
        </w:tc>
        <w:tc>
          <w:tcPr>
            <w:tcW w:w="68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(5)</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gridSpan w:val="2"/>
            <w:vMerge w:val="restart"/>
          </w:tcPr>
          <w:p>
            <w:pPr>
              <w:ind w:left="80"/>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​1.07</w:t>
            </w:r>
          </w:p>
        </w:tc>
        <w:tc>
          <w:tcPr>
            <w:tcW w:w="1120" w:type="dxa"/>
            <w:vAlign w:val="bottom"/>
            <w:gridSpan w:val="7"/>
            <w:vMerge w:val="restart"/>
          </w:tcPr>
          <w:p>
            <w:pPr>
              <w:jc w:val="right"/>
              <w:spacing w:after="0" w:line="194"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​12/13/2032</w:t>
            </w:r>
            <w:r>
              <w:rPr>
                <w:rFonts w:ascii="Times New Roman" w:cs="Times New Roman" w:eastAsia="Times New Roman" w:hAnsi="Times New Roman"/>
                <w:sz w:val="22"/>
                <w:szCs w:val="22"/>
                <w:color w:val="auto"/>
                <w:vertAlign w:val="superscript"/>
              </w:rPr>
              <w:t>​​ ​ ​</w:t>
            </w:r>
            <w:r>
              <w:rPr>
                <w:rFonts w:ascii="Times New Roman" w:cs="Times New Roman" w:eastAsia="Times New Roman" w:hAnsi="Times New Roman"/>
                <w:sz w:val="12"/>
                <w:szCs w:val="12"/>
                <w:color w:val="auto"/>
              </w:rPr>
              <w:t>​</w:t>
            </w:r>
          </w:p>
        </w:tc>
        <w:tc>
          <w:tcPr>
            <w:tcW w:w="680" w:type="dxa"/>
            <w:vAlign w:val="bottom"/>
            <w:gridSpan w:val="4"/>
            <w:vMerge w:val="restart"/>
          </w:tcPr>
          <w:p>
            <w:pPr>
              <w:jc w:val="right"/>
              <w:spacing w:after="0" w:line="194"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 ​</w:t>
            </w:r>
          </w:p>
        </w:tc>
        <w:tc>
          <w:tcPr>
            <w:tcW w:w="360" w:type="dxa"/>
            <w:vAlign w:val="bottom"/>
            <w:vMerge w:val="restart"/>
          </w:tcPr>
          <w:p>
            <w:pPr>
              <w:ind w:left="200"/>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w:t>
            </w:r>
          </w:p>
        </w:tc>
        <w:tc>
          <w:tcPr>
            <w:tcW w:w="200" w:type="dxa"/>
            <w:vAlign w:val="bottom"/>
          </w:tcPr>
          <w:p>
            <w:pPr>
              <w:spacing w:after="0"/>
              <w:rPr>
                <w:sz w:val="8"/>
                <w:szCs w:val="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gridSpan w:val="3"/>
            <w:vMerge w:val="continue"/>
          </w:tcPr>
          <w:p>
            <w:pPr>
              <w:spacing w:after="0"/>
              <w:rPr>
                <w:sz w:val="8"/>
                <w:szCs w:val="8"/>
                <w:color w:val="auto"/>
              </w:rPr>
            </w:pPr>
          </w:p>
        </w:tc>
        <w:tc>
          <w:tcPr>
            <w:tcW w:w="1560" w:type="dxa"/>
            <w:vAlign w:val="bottom"/>
            <w:gridSpan w:val="6"/>
          </w:tcPr>
          <w:p>
            <w:pPr>
              <w:jc w:val="right"/>
              <w:spacing w:after="0" w:line="95" w:lineRule="exact"/>
              <w:rPr>
                <w:sz w:val="20"/>
                <w:szCs w:val="20"/>
                <w:color w:val="auto"/>
              </w:rPr>
            </w:pPr>
            <w:r>
              <w:rPr>
                <w:rFonts w:ascii="Times New Roman" w:cs="Times New Roman" w:eastAsia="Times New Roman" w:hAnsi="Times New Roman"/>
                <w:sz w:val="8"/>
                <w:szCs w:val="8"/>
                <w:color w:val="auto"/>
              </w:rPr>
              <w:t>350,000</w:t>
            </w:r>
            <w:r>
              <w:rPr>
                <w:rFonts w:ascii="Times New Roman" w:cs="Times New Roman" w:eastAsia="Times New Roman" w:hAnsi="Times New Roman"/>
                <w:sz w:val="11"/>
                <w:szCs w:val="11"/>
                <w:color w:val="auto"/>
                <w:vertAlign w:val="superscript"/>
              </w:rPr>
              <w:t>​​ ​ ​</w:t>
            </w:r>
            <w:r>
              <w:rPr>
                <w:rFonts w:ascii="Times New Roman" w:cs="Times New Roman" w:eastAsia="Times New Roman" w:hAnsi="Times New Roman"/>
                <w:sz w:val="8"/>
                <w:szCs w:val="8"/>
                <w:color w:val="auto"/>
              </w:rPr>
              <w:t xml:space="preserve">​1,050,000 </w:t>
            </w:r>
            <w:r>
              <w:rPr>
                <w:rFonts w:ascii="Times New Roman" w:cs="Times New Roman" w:eastAsia="Times New Roman" w:hAnsi="Times New Roman"/>
                <w:sz w:val="11"/>
                <w:szCs w:val="11"/>
                <w:color w:val="auto"/>
                <w:vertAlign w:val="superscript"/>
              </w:rPr>
              <w:t>​​ ​</w:t>
            </w:r>
          </w:p>
        </w:tc>
        <w:tc>
          <w:tcPr>
            <w:tcW w:w="420" w:type="dxa"/>
            <w:vAlign w:val="bottom"/>
            <w:gridSpan w:val="2"/>
            <w:vMerge w:val="continue"/>
          </w:tcPr>
          <w:p>
            <w:pPr>
              <w:spacing w:after="0"/>
              <w:rPr>
                <w:sz w:val="8"/>
                <w:szCs w:val="8"/>
                <w:color w:val="auto"/>
              </w:rPr>
            </w:pPr>
          </w:p>
        </w:tc>
        <w:tc>
          <w:tcPr>
            <w:tcW w:w="1120" w:type="dxa"/>
            <w:vAlign w:val="bottom"/>
            <w:gridSpan w:val="7"/>
            <w:vMerge w:val="continue"/>
          </w:tcPr>
          <w:p>
            <w:pPr>
              <w:spacing w:after="0"/>
              <w:rPr>
                <w:sz w:val="8"/>
                <w:szCs w:val="8"/>
                <w:color w:val="auto"/>
              </w:rPr>
            </w:pPr>
          </w:p>
        </w:tc>
        <w:tc>
          <w:tcPr>
            <w:tcW w:w="680" w:type="dxa"/>
            <w:vAlign w:val="bottom"/>
            <w:gridSpan w:val="4"/>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gridSpan w:val="2"/>
            <w:vMerge w:val="restart"/>
          </w:tcPr>
          <w:p>
            <w:pPr>
              <w:ind w:left="40"/>
              <w:spacing w:after="0" w:line="40" w:lineRule="exact"/>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vMerge w:val="restart"/>
          </w:tcPr>
          <w:p>
            <w:pPr>
              <w:spacing w:after="0" w:line="40" w:lineRule="exact"/>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line="20" w:lineRule="exact"/>
              <w:rPr>
                <w:sz w:val="1"/>
                <w:szCs w:val="1"/>
                <w:color w:val="auto"/>
              </w:rPr>
            </w:pPr>
          </w:p>
        </w:tc>
      </w:tr>
      <w:tr>
        <w:trPr>
          <w:trHeight w:val="14"/>
        </w:trPr>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b w:val="1"/>
                <w:bCs w:val="1"/>
                <w:color w:val="auto"/>
              </w:rPr>
              <w:t>​</w:t>
            </w:r>
          </w:p>
        </w:tc>
        <w:tc>
          <w:tcPr>
            <w:tcW w:w="560" w:type="dxa"/>
            <w:vAlign w:val="bottom"/>
            <w:shd w:val="clear" w:color="auto" w:fill="CCEEFF"/>
          </w:tcPr>
          <w:p>
            <w:pPr>
              <w:spacing w:after="0" w:line="20" w:lineRule="exact"/>
              <w:rPr>
                <w:sz w:val="1"/>
                <w:szCs w:val="1"/>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 ​ ​</w:t>
            </w:r>
            <w:r>
              <w:rPr>
                <w:rFonts w:ascii="Times New Roman" w:cs="Times New Roman" w:eastAsia="Times New Roman" w:hAnsi="Times New Roman"/>
                <w:sz w:val="1"/>
                <w:szCs w:val="1"/>
                <w:color w:val="auto"/>
                <w:vertAlign w:val="subscript"/>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 xml:space="preserve">675,000 </w:t>
            </w:r>
            <w:r>
              <w:rPr>
                <w:rFonts w:ascii="Times New Roman" w:cs="Times New Roman" w:eastAsia="Times New Roman" w:hAnsi="Times New Roman"/>
                <w:sz w:val="1"/>
                <w:szCs w:val="1"/>
                <w:color w:val="auto"/>
                <w:vertAlign w:val="superscript"/>
              </w:rPr>
              <w:t>​​ ​</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
                <w:szCs w:val="1"/>
                <w:color w:val="auto"/>
                <w:vertAlign w:val="superscript"/>
              </w:rPr>
              <w:t>​</w:t>
            </w:r>
            <w:r>
              <w:rPr>
                <w:rFonts w:ascii="Times New Roman" w:cs="Times New Roman" w:eastAsia="Times New Roman" w:hAnsi="Times New Roman"/>
                <w:sz w:val="1"/>
                <w:szCs w:val="1"/>
                <w:color w:val="auto"/>
              </w:rPr>
              <w:t>​1.07</w:t>
            </w:r>
          </w:p>
        </w:tc>
        <w:tc>
          <w:tcPr>
            <w:tcW w:w="11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vertAlign w:val="superscript"/>
              </w:rPr>
              <w:t>​​ ​​</w:t>
            </w:r>
            <w:r>
              <w:rPr>
                <w:rFonts w:ascii="Times New Roman" w:cs="Times New Roman" w:eastAsia="Times New Roman" w:hAnsi="Times New Roman"/>
                <w:sz w:val="1"/>
                <w:szCs w:val="1"/>
                <w:color w:val="auto"/>
              </w:rPr>
              <w:t>​ 7/17/2033</w:t>
            </w:r>
            <w:r>
              <w:rPr>
                <w:rFonts w:ascii="Times New Roman" w:cs="Times New Roman" w:eastAsia="Times New Roman" w:hAnsi="Times New Roman"/>
                <w:sz w:val="1"/>
                <w:szCs w:val="1"/>
                <w:color w:val="auto"/>
                <w:vertAlign w:val="superscript"/>
              </w:rPr>
              <w:t>​​ ​ ​</w:t>
            </w:r>
            <w:r>
              <w:rPr>
                <w:rFonts w:ascii="Times New Roman" w:cs="Times New Roman" w:eastAsia="Times New Roman" w:hAnsi="Times New Roman"/>
                <w:sz w:val="1"/>
                <w:szCs w:val="1"/>
                <w:color w:val="auto"/>
              </w:rPr>
              <w:t>​</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vertAlign w:val="subscript"/>
              </w:rPr>
              <w:t>—</w:t>
            </w:r>
            <w:r>
              <w:rPr>
                <w:rFonts w:ascii="Times New Roman" w:cs="Times New Roman" w:eastAsia="Times New Roman" w:hAnsi="Times New Roman"/>
                <w:sz w:val="1"/>
                <w:szCs w:val="1"/>
                <w:color w:val="auto"/>
              </w:rPr>
              <w:t xml:space="preserve"> ​​ ​</w:t>
            </w: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
                <w:szCs w:val="1"/>
                <w:color w:val="auto"/>
                <w:vertAlign w:val="superscript"/>
              </w:rPr>
              <w:t>​</w:t>
            </w:r>
            <w:r>
              <w:rPr>
                <w:rFonts w:ascii="Times New Roman" w:cs="Times New Roman" w:eastAsia="Times New Roman" w:hAnsi="Times New Roman"/>
                <w:sz w:val="1"/>
                <w:szCs w:val="1"/>
                <w:color w:val="auto"/>
              </w:rPr>
              <w:t>​—</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(7)</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Jennifer Fox</w:t>
            </w:r>
          </w:p>
        </w:tc>
        <w:tc>
          <w:tcPr>
            <w:tcW w:w="320" w:type="dxa"/>
            <w:vAlign w:val="bottom"/>
            <w:gridSpan w:val="4"/>
            <w:vMerge w:val="restart"/>
          </w:tcPr>
          <w:p>
            <w:pPr>
              <w:jc w:val="right"/>
              <w:spacing w:after="0" w:line="209"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bscript"/>
              </w:rPr>
              <w:t>​</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(8)</w:t>
            </w:r>
          </w:p>
        </w:tc>
        <w:tc>
          <w:tcPr>
            <w:tcW w:w="420" w:type="dxa"/>
            <w:vAlign w:val="bottom"/>
            <w:gridSpan w:val="2"/>
            <w:vMerge w:val="restart"/>
          </w:tcPr>
          <w:p>
            <w:pPr>
              <w:ind w:left="80"/>
              <w:spacing w:after="0" w:line="209"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​1.37</w:t>
            </w:r>
          </w:p>
        </w:tc>
        <w:tc>
          <w:tcPr>
            <w:tcW w:w="1120" w:type="dxa"/>
            <w:vAlign w:val="bottom"/>
            <w:gridSpan w:val="7"/>
            <w:vMerge w:val="restart"/>
          </w:tcPr>
          <w:p>
            <w:pPr>
              <w:jc w:val="right"/>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​12/18/2033</w:t>
            </w:r>
            <w:r>
              <w:rPr>
                <w:rFonts w:ascii="Times New Roman" w:cs="Times New Roman" w:eastAsia="Times New Roman" w:hAnsi="Times New Roman"/>
                <w:sz w:val="24"/>
                <w:szCs w:val="24"/>
                <w:color w:val="auto"/>
                <w:vertAlign w:val="superscript"/>
              </w:rPr>
              <w:t>​​ ​ ​</w:t>
            </w: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spacing w:after="0" w:line="209"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w:t>
            </w:r>
          </w:p>
        </w:tc>
        <w:tc>
          <w:tcPr>
            <w:tcW w:w="360" w:type="dxa"/>
            <w:vAlign w:val="bottom"/>
            <w:vMerge w:val="restart"/>
          </w:tcPr>
          <w:p>
            <w:pPr>
              <w:ind w:left="200"/>
              <w:spacing w:after="0" w:line="209"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w:t>
            </w:r>
          </w:p>
        </w:tc>
        <w:tc>
          <w:tcPr>
            <w:tcW w:w="200" w:type="dxa"/>
            <w:vAlign w:val="bottom"/>
          </w:tcPr>
          <w:p>
            <w:pPr>
              <w:spacing w:after="0"/>
              <w:rPr>
                <w:sz w:val="8"/>
                <w:szCs w:val="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10"/>
        </w:trPr>
        <w:tc>
          <w:tcPr>
            <w:tcW w:w="2020" w:type="dxa"/>
            <w:vAlign w:val="bottom"/>
            <w:gridSpan w:val="2"/>
            <w:vMerge w:val="continue"/>
          </w:tcPr>
          <w:p>
            <w:pPr>
              <w:spacing w:after="0"/>
              <w:rPr>
                <w:sz w:val="9"/>
                <w:szCs w:val="9"/>
                <w:color w:val="auto"/>
              </w:rPr>
            </w:pPr>
          </w:p>
        </w:tc>
        <w:tc>
          <w:tcPr>
            <w:tcW w:w="320" w:type="dxa"/>
            <w:vAlign w:val="bottom"/>
            <w:gridSpan w:val="4"/>
            <w:vMerge w:val="continue"/>
          </w:tcPr>
          <w:p>
            <w:pPr>
              <w:spacing w:after="0"/>
              <w:rPr>
                <w:sz w:val="9"/>
                <w:szCs w:val="9"/>
                <w:color w:val="auto"/>
              </w:rPr>
            </w:pPr>
          </w:p>
        </w:tc>
        <w:tc>
          <w:tcPr>
            <w:tcW w:w="1560" w:type="dxa"/>
            <w:vAlign w:val="bottom"/>
            <w:gridSpan w:val="6"/>
          </w:tcPr>
          <w:p>
            <w:pPr>
              <w:jc w:val="right"/>
              <w:spacing w:after="0" w:line="110" w:lineRule="exact"/>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12"/>
                <w:szCs w:val="12"/>
                <w:color w:val="auto"/>
                <w:vertAlign w:val="superscript"/>
              </w:rPr>
              <w:t>​​ ​ ​</w:t>
            </w:r>
            <w:r>
              <w:rPr>
                <w:rFonts w:ascii="Times New Roman" w:cs="Times New Roman" w:eastAsia="Times New Roman" w:hAnsi="Times New Roman"/>
                <w:sz w:val="9"/>
                <w:szCs w:val="9"/>
                <w:color w:val="auto"/>
              </w:rPr>
              <w:t xml:space="preserve">​2,000,000 </w:t>
            </w:r>
            <w:r>
              <w:rPr>
                <w:rFonts w:ascii="Times New Roman" w:cs="Times New Roman" w:eastAsia="Times New Roman" w:hAnsi="Times New Roman"/>
                <w:sz w:val="12"/>
                <w:szCs w:val="12"/>
                <w:color w:val="auto"/>
                <w:vertAlign w:val="superscript"/>
              </w:rPr>
              <w:t>​​ ​</w:t>
            </w:r>
          </w:p>
        </w:tc>
        <w:tc>
          <w:tcPr>
            <w:tcW w:w="420" w:type="dxa"/>
            <w:vAlign w:val="bottom"/>
            <w:gridSpan w:val="2"/>
            <w:vMerge w:val="continue"/>
          </w:tcPr>
          <w:p>
            <w:pPr>
              <w:spacing w:after="0"/>
              <w:rPr>
                <w:sz w:val="9"/>
                <w:szCs w:val="9"/>
                <w:color w:val="auto"/>
              </w:rPr>
            </w:pPr>
          </w:p>
        </w:tc>
        <w:tc>
          <w:tcPr>
            <w:tcW w:w="1120" w:type="dxa"/>
            <w:vAlign w:val="bottom"/>
            <w:gridSpan w:val="7"/>
            <w:vMerge w:val="continue"/>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Tanya Z. Fischer, M.D., Ph.D.</w:t>
            </w:r>
          </w:p>
        </w:tc>
        <w:tc>
          <w:tcPr>
            <w:tcW w:w="320" w:type="dxa"/>
            <w:vAlign w:val="bottom"/>
            <w:gridSpan w:val="4"/>
            <w:vMerge w:val="restart"/>
            <w:shd w:val="clear" w:color="auto" w:fill="CCEEFF"/>
          </w:tcPr>
          <w:p>
            <w:pPr>
              <w:jc w:val="right"/>
              <w:spacing w:after="0" w:line="209"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bscript"/>
              </w:rPr>
              <w:t>​</w:t>
            </w: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(9)</w:t>
            </w:r>
          </w:p>
        </w:tc>
        <w:tc>
          <w:tcPr>
            <w:tcW w:w="420" w:type="dxa"/>
            <w:vAlign w:val="bottom"/>
            <w:gridSpan w:val="2"/>
            <w:vMerge w:val="restart"/>
            <w:shd w:val="clear" w:color="auto" w:fill="CCEEFF"/>
          </w:tcPr>
          <w:p>
            <w:pPr>
              <w:ind w:left="80"/>
              <w:spacing w:after="0" w:line="209"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​1.21</w:t>
            </w:r>
          </w:p>
        </w:tc>
        <w:tc>
          <w:tcPr>
            <w:tcW w:w="1120" w:type="dxa"/>
            <w:vAlign w:val="bottom"/>
            <w:gridSpan w:val="7"/>
            <w:vMerge w:val="restart"/>
            <w:shd w:val="clear" w:color="auto" w:fill="CCEEFF"/>
          </w:tcPr>
          <w:p>
            <w:pPr>
              <w:jc w:val="right"/>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​10/29/2033</w:t>
            </w:r>
            <w:r>
              <w:rPr>
                <w:rFonts w:ascii="Times New Roman" w:cs="Times New Roman" w:eastAsia="Times New Roman" w:hAnsi="Times New Roman"/>
                <w:sz w:val="24"/>
                <w:szCs w:val="24"/>
                <w:color w:val="auto"/>
                <w:vertAlign w:val="superscript"/>
              </w:rPr>
              <w:t>​​ ​ ​</w:t>
            </w:r>
            <w:r>
              <w:rPr>
                <w:rFonts w:ascii="Times New Roman" w:cs="Times New Roman" w:eastAsia="Times New Roman" w:hAnsi="Times New Roman"/>
                <w:sz w:val="13"/>
                <w:szCs w:val="13"/>
                <w:color w:val="auto"/>
              </w:rPr>
              <w:t>​</w:t>
            </w:r>
          </w:p>
        </w:tc>
        <w:tc>
          <w:tcPr>
            <w:tcW w:w="680" w:type="dxa"/>
            <w:vAlign w:val="bottom"/>
            <w:gridSpan w:val="4"/>
            <w:vMerge w:val="restart"/>
            <w:shd w:val="clear" w:color="auto" w:fill="CCEEFF"/>
          </w:tcPr>
          <w:p>
            <w:pPr>
              <w:jc w:val="right"/>
              <w:spacing w:after="0" w:line="209"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w:t>
            </w:r>
          </w:p>
        </w:tc>
        <w:tc>
          <w:tcPr>
            <w:tcW w:w="360" w:type="dxa"/>
            <w:vAlign w:val="bottom"/>
            <w:vMerge w:val="restart"/>
            <w:shd w:val="clear" w:color="auto" w:fill="CCEEFF"/>
          </w:tcPr>
          <w:p>
            <w:pPr>
              <w:ind w:left="200"/>
              <w:spacing w:after="0" w:line="209"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rPr>
                <w:sz w:val="8"/>
                <w:szCs w:val="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10"/>
        </w:trPr>
        <w:tc>
          <w:tcPr>
            <w:tcW w:w="2020" w:type="dxa"/>
            <w:vAlign w:val="bottom"/>
            <w:gridSpan w:val="2"/>
            <w:vMerge w:val="continue"/>
            <w:shd w:val="clear" w:color="auto" w:fill="CCEEFF"/>
          </w:tcPr>
          <w:p>
            <w:pPr>
              <w:spacing w:after="0"/>
              <w:rPr>
                <w:sz w:val="9"/>
                <w:szCs w:val="9"/>
                <w:color w:val="auto"/>
              </w:rPr>
            </w:pPr>
          </w:p>
        </w:tc>
        <w:tc>
          <w:tcPr>
            <w:tcW w:w="320" w:type="dxa"/>
            <w:vAlign w:val="bottom"/>
            <w:gridSpan w:val="4"/>
            <w:vMerge w:val="continue"/>
            <w:shd w:val="clear" w:color="auto" w:fill="CCEEFF"/>
          </w:tcPr>
          <w:p>
            <w:pPr>
              <w:spacing w:after="0"/>
              <w:rPr>
                <w:sz w:val="9"/>
                <w:szCs w:val="9"/>
                <w:color w:val="auto"/>
              </w:rPr>
            </w:pPr>
          </w:p>
        </w:tc>
        <w:tc>
          <w:tcPr>
            <w:tcW w:w="1560" w:type="dxa"/>
            <w:vAlign w:val="bottom"/>
            <w:gridSpan w:val="6"/>
            <w:shd w:val="clear" w:color="auto" w:fill="CCEEFF"/>
          </w:tcPr>
          <w:p>
            <w:pPr>
              <w:jc w:val="right"/>
              <w:spacing w:after="0" w:line="110" w:lineRule="exact"/>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12"/>
                <w:szCs w:val="12"/>
                <w:color w:val="auto"/>
                <w:vertAlign w:val="superscript"/>
              </w:rPr>
              <w:t>​​ ​ ​</w:t>
            </w:r>
            <w:r>
              <w:rPr>
                <w:rFonts w:ascii="Times New Roman" w:cs="Times New Roman" w:eastAsia="Times New Roman" w:hAnsi="Times New Roman"/>
                <w:sz w:val="9"/>
                <w:szCs w:val="9"/>
                <w:color w:val="auto"/>
              </w:rPr>
              <w:t xml:space="preserve">​1,500,000 </w:t>
            </w:r>
            <w:r>
              <w:rPr>
                <w:rFonts w:ascii="Times New Roman" w:cs="Times New Roman" w:eastAsia="Times New Roman" w:hAnsi="Times New Roman"/>
                <w:sz w:val="12"/>
                <w:szCs w:val="12"/>
                <w:color w:val="auto"/>
                <w:vertAlign w:val="superscript"/>
              </w:rPr>
              <w:t>​​ ​</w:t>
            </w:r>
          </w:p>
        </w:tc>
        <w:tc>
          <w:tcPr>
            <w:tcW w:w="420" w:type="dxa"/>
            <w:vAlign w:val="bottom"/>
            <w:gridSpan w:val="2"/>
            <w:vMerge w:val="continue"/>
            <w:shd w:val="clear" w:color="auto" w:fill="CCEEFF"/>
          </w:tcPr>
          <w:p>
            <w:pPr>
              <w:spacing w:after="0"/>
              <w:rPr>
                <w:sz w:val="9"/>
                <w:szCs w:val="9"/>
                <w:color w:val="auto"/>
              </w:rPr>
            </w:pPr>
          </w:p>
        </w:tc>
        <w:tc>
          <w:tcPr>
            <w:tcW w:w="1120" w:type="dxa"/>
            <w:vAlign w:val="bottom"/>
            <w:gridSpan w:val="7"/>
            <w:vMerge w:val="continue"/>
            <w:shd w:val="clear" w:color="auto" w:fill="CCEEFF"/>
          </w:tcPr>
          <w:p>
            <w:pPr>
              <w:spacing w:after="0"/>
              <w:rPr>
                <w:sz w:val="9"/>
                <w:szCs w:val="9"/>
                <w:color w:val="auto"/>
              </w:rPr>
            </w:pPr>
          </w:p>
        </w:tc>
        <w:tc>
          <w:tcPr>
            <w:tcW w:w="680" w:type="dxa"/>
            <w:vAlign w:val="bottom"/>
            <w:gridSpan w:val="4"/>
            <w:vMerge w:val="continue"/>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-1429385</wp:posOffset>
            </wp:positionV>
            <wp:extent cx="4241800" cy="2997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241800" cy="29972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-697230</wp:posOffset>
            </wp:positionV>
            <wp:extent cx="4241800" cy="4324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241800" cy="43243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104775</wp:posOffset>
            </wp:positionV>
            <wp:extent cx="446405"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37" w:lineRule="exact"/>
        <w:rPr>
          <w:sz w:val="20"/>
          <w:szCs w:val="20"/>
          <w:color w:val="auto"/>
        </w:rPr>
      </w:pPr>
    </w:p>
    <w:p>
      <w:pPr>
        <w:ind w:left="1460" w:right="1179" w:hanging="296"/>
        <w:spacing w:after="0" w:line="250" w:lineRule="auto"/>
        <w:tabs>
          <w:tab w:leader="none" w:pos="14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market value of the restricted stock awards was determined assuming an initial public offering price of $            per share (the midpoint of the estimated public offering price range set forth on the cover page of this prospectus).</w:t>
      </w:r>
    </w:p>
    <w:p>
      <w:pPr>
        <w:spacing w:after="0" w:line="42" w:lineRule="exact"/>
        <w:rPr>
          <w:rFonts w:ascii="Times New Roman" w:cs="Times New Roman" w:eastAsia="Times New Roman" w:hAnsi="Times New Roman"/>
          <w:sz w:val="12"/>
          <w:szCs w:val="12"/>
          <w:color w:val="auto"/>
        </w:rPr>
      </w:pPr>
    </w:p>
    <w:p>
      <w:pPr>
        <w:jc w:val="both"/>
        <w:ind w:left="1460" w:right="1179" w:hanging="296"/>
        <w:spacing w:after="0" w:line="235" w:lineRule="auto"/>
        <w:tabs>
          <w:tab w:leader="none" w:pos="14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vested portion of an option to purchase 1,378,802 shares of our common stock granted on May 20, 2021, which vested as to 40% of the underlying shares on April 15, 2022, with the remaining 60% of the underlying shares vesting monthly in substantial equal installments over the following 36 months, generally subject to Dr. Mu’s continued service with us through each vesting date. The unvested portions of Dr. Mu’s stock option grants as of December 31, 2023 were forfeited in July 2023 in connection with his transition out of the chief executive officer role and his termination of employment on December 31, 2023.</w:t>
      </w:r>
    </w:p>
    <w:p>
      <w:pPr>
        <w:spacing w:after="0" w:line="38"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vested portion of an option to purchase 4,656,042 shares of our common stock granted on December 14, 2022, which vested as to 25% of the underlying shares on December 14, 2023, with the remaining 75% of the underlying shares vesting monthly in substantial equal installments over the following 36 months, generally subject to Dr. Mu’s continued service with us through each vesting date. The unvested portions of Dr. Mu’s stock option grants as of December 31, 2023 were forfeited in July 2023 in connection with his transition out of the chief executive officer role and his termination of employment on December 31, 2023.</w:t>
      </w:r>
    </w:p>
    <w:p>
      <w:pPr>
        <w:spacing w:after="0" w:line="166" w:lineRule="exact"/>
        <w:rPr>
          <w:rFonts w:ascii="Times New Roman" w:cs="Times New Roman" w:eastAsia="Times New Roman" w:hAnsi="Times New Roman"/>
          <w:sz w:val="12"/>
          <w:szCs w:val="12"/>
          <w:color w:val="auto"/>
        </w:rPr>
      </w:pPr>
    </w:p>
    <w:p>
      <w:pPr>
        <w:jc w:val="both"/>
        <w:ind w:left="1460" w:right="1179" w:hanging="296"/>
        <w:spacing w:after="0" w:line="237" w:lineRule="auto"/>
        <w:tabs>
          <w:tab w:leader="none" w:pos="14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vested portion of an option to purchase 551,521 shares of our common stock granted on May 20, 2021, which vested as to 25% of the underlying shares on April 1, 2022, with the remaining 75% of the underlying shares vesting monthly in substantial equal installments over the following 36 months, generally subject to Mr. Farmer’s continued service with us through each vesting date.</w:t>
      </w:r>
    </w:p>
    <w:p>
      <w:pPr>
        <w:spacing w:after="0" w:line="37" w:lineRule="exact"/>
        <w:rPr>
          <w:rFonts w:ascii="Times New Roman" w:cs="Times New Roman" w:eastAsia="Times New Roman" w:hAnsi="Times New Roman"/>
          <w:sz w:val="12"/>
          <w:szCs w:val="12"/>
          <w:color w:val="auto"/>
        </w:rPr>
      </w:pPr>
    </w:p>
    <w:p>
      <w:pPr>
        <w:ind w:left="1460" w:hanging="296"/>
        <w:spacing w:after="0"/>
        <w:tabs>
          <w:tab w:leader="none" w:pos="14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vested portion of an option to purchase 1,400,000 shares of our common stock granted on December 14, 2022,</w:t>
      </w: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3" w:name="page174"/>
    <w:bookmarkEnd w:id="17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which vested as to 25% of the underlying shares on December 14, 2023, with the remaining 75% of the underlying shares vesting</w:t>
      </w:r>
    </w:p>
    <w:p>
      <w:pPr>
        <w:spacing w:after="0" w:line="6" w:lineRule="exact"/>
        <w:rPr>
          <w:sz w:val="20"/>
          <w:szCs w:val="20"/>
          <w:color w:val="auto"/>
        </w:rPr>
      </w:pPr>
    </w:p>
    <w:p>
      <w:pPr>
        <w:ind w:left="1460" w:right="1179"/>
        <w:spacing w:after="0" w:line="225" w:lineRule="auto"/>
        <w:rPr>
          <w:sz w:val="20"/>
          <w:szCs w:val="20"/>
          <w:color w:val="auto"/>
        </w:rPr>
      </w:pPr>
      <w:r>
        <w:rPr>
          <w:rFonts w:ascii="Times New Roman" w:cs="Times New Roman" w:eastAsia="Times New Roman" w:hAnsi="Times New Roman"/>
          <w:sz w:val="12"/>
          <w:szCs w:val="12"/>
          <w:color w:val="auto"/>
        </w:rPr>
        <w:t>monthly in substantial equal installments over the following 36 months, generally subject to Mr. Farmer’s continued service with us through each vesting date.</w:t>
      </w:r>
    </w:p>
    <w:p>
      <w:pPr>
        <w:spacing w:after="0" w:line="26" w:lineRule="exact"/>
        <w:rPr>
          <w:sz w:val="20"/>
          <w:szCs w:val="20"/>
          <w:color w:val="auto"/>
        </w:rPr>
      </w:pPr>
    </w:p>
    <w:p>
      <w:pPr>
        <w:jc w:val="both"/>
        <w:ind w:left="1460" w:right="1179" w:hanging="296"/>
        <w:spacing w:after="0"/>
        <w:tabs>
          <w:tab w:leader="none" w:pos="146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an option to purchase 2,675,000 shares of our common stock granted on July 18, 2023, which vests as to 25% of the underlying shares on June 29, 2024, with the remaining 75% of the underlying shares vesting monthly in substantial equal installments over the following 36 months, generally subject to Mr. Moulder’s continued service with us through each vesting date.</w:t>
      </w:r>
    </w:p>
    <w:p>
      <w:pPr>
        <w:spacing w:after="0" w:line="179"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an option to purchase 675,000 shares of our common stock granted on July 18, 2023, which vests as to 25% of the underlying shares on July 18, 2024, with the remaining 75% of the underlying shares vesting monthly in substantial equal installments over the following 36 months, generally subject to Mr. Farmer’s continued service with us through each vesting date.</w:t>
      </w:r>
    </w:p>
    <w:p>
      <w:pPr>
        <w:spacing w:after="0" w:line="36"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an option to purchase 2,000,000 shares of our common stock granted on December 19, 2023, which vests as to 25% of the underlying shares on December 4, 2024, with the remaining 75% of the underlying shares vesting monthly in substantial equal installments over the following 36 months, generally subject to Ms. Fox’s continued service with us through each vesting date.</w:t>
      </w:r>
    </w:p>
    <w:p>
      <w:pPr>
        <w:spacing w:after="0" w:line="168"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an option to purchase 1,500,000 shares of our common stock granted on October 30, 2023, which vests as to 25% of the underlying shares on October 30, 2024, with the remaining 75% of the underlying shares vesting monthly in substantial equal installments over the following 36 months, generally subject to Dr. Fischer’s continued service with us through each vesting date.</w:t>
      </w:r>
    </w:p>
    <w:p>
      <w:pPr>
        <w:spacing w:after="0" w:line="36" w:lineRule="exact"/>
        <w:rPr>
          <w:rFonts w:ascii="Times New Roman" w:cs="Times New Roman" w:eastAsia="Times New Roman" w:hAnsi="Times New Roman"/>
          <w:sz w:val="12"/>
          <w:szCs w:val="12"/>
          <w:color w:val="auto"/>
        </w:rPr>
      </w:pPr>
    </w:p>
    <w:p>
      <w:pPr>
        <w:jc w:val="both"/>
        <w:ind w:left="1460" w:right="1179" w:hanging="296"/>
        <w:spacing w:after="0" w:line="237" w:lineRule="auto"/>
        <w:tabs>
          <w:tab w:leader="none" w:pos="146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unvested portion of an award of shares subject to certain restrictions for the purchase of 39,250 shares of our common stock granted on August 21, 2020, which restrictions lapsed as to 25% of the shares on August 3, 2021, with the restrictions lapsing as to the remaining 75% of the shares in substantially equal installments over the following 36 months, generally subject to Mr. Moulder’s continued service with us through each vesting date.</w:t>
      </w:r>
    </w:p>
    <w:p>
      <w:pPr>
        <w:spacing w:after="0" w:line="37"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purchased Dr. Mu’s restricted stock for $0 on January 16, 2024, in accordance with the Restricted Stock Repurchase Agreement by and between Dr. Mu and the Company, dated January 1, 2024.</w:t>
      </w:r>
    </w:p>
    <w:p>
      <w:pPr>
        <w:spacing w:after="0" w:line="100"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Except for Dr. Mu as described below under “Executive Compensation Arrangements—Transition and Separation Agreement,” we did not materially modify any outstanding equity awards held by our named executive officers or Mr. Farmer in 2023.</w:t>
      </w:r>
    </w:p>
    <w:p>
      <w:pPr>
        <w:spacing w:after="0" w:line="89"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may in the future, on an annual basis or otherwise, grant additional equity awards to our executive officers pursuant to our 2024 Plan the terms of which are described below under the subsection titled “Executive Compensation Arrangements—Equity Incentive Plans—2024 Equity Incentive Plan.”</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Emerging Growth Company Status</w:t>
      </w:r>
    </w:p>
    <w:p>
      <w:pPr>
        <w:spacing w:after="0" w:line="11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are an “emerging growth company,” as defined in the JOBS Act. As an emerging growth company we will be exempt from certain requirements related to the disclosure of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Executive Compensation Arrangements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Employment Agreements</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intend to enter into amended and restated employment agreements with certain of our executive officers, including our currently employed named executive officers, which will govern the terms of their employment with us. Pursuant to their amended and restated employment agreements, Mr. Moulder, Mr. Farmer and Ms. Fox are entitled to an annual base salary of $ 500,000, $ 500,000 and $ 500,000, respectively. In addition, Mr. Moulder, Mr. Farmer and Ms. Fox are each eligible to earn an annual bonus at a target amount of 50% of their annual base salaries, subject to the achievement of performance objectives as our board of directors determines for the fiscal year.</w:t>
      </w:r>
    </w:p>
    <w:p>
      <w:pPr>
        <w:spacing w:after="0" w:line="99"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In addition, Ms. Fox’s amended and restated employment agreement includes the repayment of her $200,000 signing bonus paid in fiscal year 2023 if she leaves the Company on or prior to December 4, 2024 and she is eligible to receive an additional $100,000 bonus in December 2024 if she is employed with the Company at that time; however, if Ms. Fox is paid the $100,000 bonus and leaves the Company on or prior to December 4, 2025, then she must repay to the Company the additional $100,000 bonus.</w:t>
      </w:r>
    </w:p>
    <w:p>
      <w:pPr>
        <w:spacing w:after="0" w:line="101"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Under the terms of the amended and restated employment agreements, Mr. Moulder, Mr. Farmer and Ms. Fox are each eligible to receive severance benefits as follows: (i) in connection with a termination of employment by the Company without cause or a resignation for good reason that does not occur three months prior to, on or within 12 months following a change of control, then (a) Mr. Moulder would be eligible to</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4" w:name="page175"/>
    <w:bookmarkEnd w:id="17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receive twelve months of base salary continuation and reimbursement of Consolidated Omnibus Budget Reconciliation Act premiums (“COBRA Premium Reimbursement”) for up to twelve months, and (b) each of Mr. Farmer and Ms. Fox would be eligible to receive up to nine months of base salary continuation and nine months of COBRA Premium Reimbursement; and (ii) in connection with a termination of employment by the Company without cause or a resignation for good reason that occurs three months prior to, on or within 12 months following a change of control, then (a) Mr. Moulder would be eligible to receive 18 months of base salary continuation, 18 months of COBRA Premium Reimbursement and full vesting of all outstanding equity awards, and (b) each of Mr. Farmer and Ms. Fox would be eligible to receive 12 months of base salary continuation, 12 months of COBRA Premium Reimbursement and full vesting of all outstanding equity awards. The receipt of severance benefits for any of the executive officers is conditioned upon the executive officer executing a general release of claims and complying with his or her restrictive covenant obligations. The terms “cause,” “good reason” and “change in control” have the meanings set forth in the applicable employment agreement.</w:t>
      </w:r>
    </w:p>
    <w:p>
      <w:pPr>
        <w:spacing w:after="0" w:line="102"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Each of the amended and restated employment agreements contain restrictive covenants and each of Mr. Moulder, Mr. Farmer and Ms. Fox has agreed not to solicit our employees, independent contractors, customers, vendors, suppliers or other business partners during and for one year following his or her termination of employment, and has also agreed to a perpetual confidentiality covenant, an assignment of intellectual property covenant and a perpetual non-disparagement covenant.</w:t>
      </w:r>
    </w:p>
    <w:p>
      <w:pPr>
        <w:spacing w:after="0" w:line="9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Prior to this offering, we entered into an employment agreement with Dr. Fischer, which governed the terms of her employment with us. Pursuant to her employment agreement, Dr. Fischer is entitled to an annual base salary of $450,000, and is eligible to earn an annual bonus at a target amount of 40% of her annual base salary, subject to the achievement of performance objectives as our board of directors determines for the fiscal year. Upon joining us in fiscal 2023, Dr. Fischer received a one-time signing bonus of $100,000, which she is required to repay to us if she voluntarily leaves the Company without good reason on or prior to October 30, 2025. The repayment amount is calculated by subtracting by 1/24 of the value of Dr. Fischer’s signing bonus for each month that she was an employee of the Company prior to the date her employment terminates.</w:t>
      </w:r>
    </w:p>
    <w:p>
      <w:pPr>
        <w:spacing w:after="0" w:line="24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Under the terms of Dr. Fischer’s employment agreements, she is eligible to receive severance benefits as follows: (i) in connection with a termination of employment by the Company without cause (except in connection with her death or disability) that does not occur within 12 months following a change of control, then she is eligible to receive six months of base salary continuation and reimbursement of COBRA Premium Reimbursement for up to six months; and (ii) in connection with a termination of employment by the Company without cause (except in connection with her death or disability) or a resignation for good reason that occurs within 12 months following a change of control, then Dr. Fischer would be eligible to receive 12 months of base salary continuation, up to 12 months of COBRA Premium Reimbursement and full vesting of all outstanding equity awards. The receipt of her severance benefits is conditioned upon Dr. Fischer executing a general release of claims, complying with her restrictive covenant obligations and returning company property. The terms “cause,” “good reason,” “change in control,” and “disability” have the meanings set forth in the applicable employment agreement.</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Dr. Fischer’s employment agreement also contains restrictive covenants following her termination of employment containing a one-year non-solicitation of employees and a three-year non -disparagement of the Company or its directors, officers, stockholders, agents and/or employees. Upon her employment with the Company, Dr. Fischer also entered into a “Confidentiality and Proprietary Rights Agreement” with us regarding confidentiality of certain information and her assignment of certain information and inventions to us.</w:t>
      </w:r>
    </w:p>
    <w:p>
      <w:pPr>
        <w:spacing w:after="0" w:line="258"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On August 20, 2024, Dr. Fischer decided to transition from her role as the Company’s Head of Research &amp; Development and Chief Medical Officer, effective as of December 31, 2024, and in the interim serve as Executive Research &amp; Development Advisor to the Chief Executive Officer of the Company. Discussions as to the new role are ongoing at this time.</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Transition and Separation Agreement</w:t>
      </w:r>
    </w:p>
    <w:p>
      <w:pPr>
        <w:spacing w:after="0" w:line="11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connection with Dr. Mu’s transition from the role of Chief Executive Officer to Head of China and Interim Chief Medical Officer, we entered into a transition and separation agreement with him, dated June 29,</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5" w:name="page176"/>
    <w:bookmarkEnd w:id="17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2023 (the “Separation Agreement”). Dr. Mu stepped down as our Chief Executive Officer effective as of June 28, 2023, and transitioned to Head of China and Interim Chief Medical Officer on June 29, 2023 (the “Transition Date”) through his separation date of December 31, 2023 (the “Separation Date”), which period of time from the Transition Date through the Separation Date is referred to as the “Transition Period”. Pursuant to the terms of the Separation Agreement, Dr. Mu received a base salary of $49,163 per month during the Transition Period. Additionally, Dr. Mu received payment for accrued but unused vacation up to the Separation Date. Dr. Mu’s release of claims became effective on January 12, 2024, following the Separation Date, accordingly, Dr. Mu became eligible to receive (i) an amount equal to six months of his pre-transitional annual base salary paid as continuation of salary for a period of six months (totaling $294,975), (ii) subsidized COBRA premiums until the earlier of 12 months following the Separation Date or the date upon which he commences employment that provides him with substantially similar group health benefits, and (iii) an amount equal to his target annual bonus for 2023 paid in a lump sum of the gross amount of $353,970. In addition, we agreed to extend the exercise period of his vested stock options outstanding at the Separation Date until the sooner of 12 months following the date of this offering or 18 months following the Separation Date, but in no event later than the term of his option.</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Retirement Plan and Other Benefits</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executive officers also are eligible to participate in our employee benefit plans, in each case on the same basis as of all our other employees. These employee benefit plans include medical, dental, vision, short- and long-term disability and life and accidental dismemberment insurance plans. We pay a portion of the premiums for the medical, dental, vision and life and accidental death and dismemberment insurance for all of our employees, including our executive officers. We generally do not provide perquisites or personal benefits to our executive officers. Our employee benefit plans include a defined contribution retirement plan, which is a tax-qualified retirement plan under Section 401(k) of the Code (the “401(k) Plan”). The 401(k) Plan provides eligible employees with an opportunity to save for retirement on a tax-advantaged basis. Eligible employees may elect to defer up to 100% of their eligible compensation into the 401(k) Plan on a pretax basis or through the Roth component of the 401(k) Plan on an after-tax basis, up to annual limits prescribed by the Code.</w:t>
      </w:r>
    </w:p>
    <w:p>
      <w:pPr>
        <w:spacing w:after="0" w:line="3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Equity Incentive Plans</w:t>
      </w:r>
    </w:p>
    <w:p>
      <w:pPr>
        <w:spacing w:after="0" w:line="11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options and other equity-based awards helps us to attract, retain and motivate employees, consultants and directors, and encourages them to devote their best efforts to our business and financial success. The principal features of our equity incentive plans are summarized below. These summaries are qualified in their entirety by reference to the actual text of the plans, which are filed as exhibits to the registration statement of which this prospectus forms a part.</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2024 Equity Incentive Plan</w:t>
      </w:r>
    </w:p>
    <w:p>
      <w:pPr>
        <w:spacing w:after="0" w:line="12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Our board of directors intends to adopt the 2024 Plan in connection with this offering. Following this offering, instead of granting equity incentive awards under the 2020 Plan, we will grant our equity incentive awards under our 2024 Plan.</w:t>
      </w:r>
    </w:p>
    <w:p>
      <w:pPr>
        <w:spacing w:after="0" w:line="9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i w:val="1"/>
          <w:iCs w:val="1"/>
          <w:color w:val="auto"/>
        </w:rPr>
        <w:t>Administration</w:t>
      </w:r>
      <w:r>
        <w:rPr>
          <w:rFonts w:ascii="Times New Roman" w:cs="Times New Roman" w:eastAsia="Times New Roman" w:hAnsi="Times New Roman"/>
          <w:sz w:val="15"/>
          <w:szCs w:val="15"/>
          <w:color w:val="auto"/>
        </w:rPr>
        <w:t>. Our compensation committee will administer our 2024 Plan, and will have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authority to interpret our 2024 Plan and any awards granted under it, determine eligibility for and grant awards, determine the exercise price, base value from which appreciation is measured or purchase price, if any, applicable to any award, determine, modify, accelerate or waive the terms and conditions of any award, determine the form of settlement of awards, prescribe forms, rules and procedures relating to our 2024 Plan and awards and otherwise do all things necessary or desirable to carry out the purposes of our 2024 Plan or any award. Our board of directors may at any time act in the capacity of the administrator of our 2024 Plan (including with respect to such matters that are not delegated to our compensation committee). Our compensation committee (or our board of directors) may delegate such of its duties, powers and responsibilities as it may determine to one or more of its members (or one or more other members of our board of directors), may delegate to one or more of our officers the power to grant awards to the extent permitted by law and may delegate to employees and other persons the day-to-day tasks as it determines is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6" w:name="page177"/>
    <w:bookmarkEnd w:id="17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appropriate. As used in this summary, the term “Administrator” refers to our compensation committee, our board of directors or any of either of its authorized delegate(s), as applicable.</w:t>
      </w:r>
    </w:p>
    <w:p>
      <w:pPr>
        <w:spacing w:after="0" w:line="84"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i w:val="1"/>
          <w:iCs w:val="1"/>
          <w:color w:val="auto"/>
        </w:rPr>
        <w:t xml:space="preserve">Eligibility. </w:t>
      </w:r>
      <w:r>
        <w:rPr>
          <w:rFonts w:ascii="Times New Roman" w:cs="Times New Roman" w:eastAsia="Times New Roman" w:hAnsi="Times New Roman"/>
          <w:sz w:val="15"/>
          <w:szCs w:val="15"/>
          <w:color w:val="auto"/>
        </w:rPr>
        <w:t>Our employees, directors, consultants and advisors are eligible to participate in our 2024</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Plan. Only individuals who are providing direct services to us or our subsidiaries on the date of grant of the award will be eligible to receive stock options, and stock appreciation rights, or SARs. Furthermore, only our employees or employees of our subsidiaries will be eligible to receive stock options intended to be incentive stock options, or ISOs.</w:t>
      </w:r>
    </w:p>
    <w:p>
      <w:pPr>
        <w:spacing w:after="0" w:line="9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i w:val="1"/>
          <w:iCs w:val="1"/>
          <w:color w:val="auto"/>
        </w:rPr>
        <w:t>Authorized Shares</w:t>
      </w:r>
      <w:r>
        <w:rPr>
          <w:rFonts w:ascii="Times New Roman" w:cs="Times New Roman" w:eastAsia="Times New Roman" w:hAnsi="Times New Roman"/>
          <w:sz w:val="15"/>
          <w:szCs w:val="15"/>
          <w:color w:val="auto"/>
        </w:rPr>
        <w:t>. Subject to adjustment as described below, the maximum number of shares of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common stock that we may issue in satisfaction of awards under our 2024 Plan is            shares, plus the number of shares of our common stock available for issuance under the 2020 Plan as of the effective date of the 2024 Plan, plus the number of shares subject to outstanding awards under the 2020 Plan that would again be available for issuance under the 2020 Plan upon the occurrence of certain events with such number of shares automatically increasing on January 1 of each year beginning in 2025 and continuing through and including 2034, by the lesser of (i) five percent of the number of shares outstanding as of such January 1, and (ii) the number of shares that our board of directors determines on or prior to such January 1. Up to            shares may be issued in satisfaction of ISOs. The collective amount of shares available for issuance under our 2024 Plan is the “Share Pool”. We will not reduce the Share Pool by (i) any shares of stock withheld by us in payment of the exercise price or purchase price of an award or in satisfaction of tax withholding requirements or (ii) any shares underlying any portion of an award that is settled in cash or that expires, becomes unexercisable, terminates or is forfeited to or repurchased by us without the issuance (or retention, in the case of restricted or unrestricted stock) of shares. Any substitute awards, as described below, will be in addition to, and not reduce, the Share Pool.</w:t>
      </w:r>
    </w:p>
    <w:p>
      <w:pPr>
        <w:spacing w:after="0" w:line="97"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Shares that may be delivered under our 2024 Plan may be authorized but unissued shares, treasury shares or previously issued shares acquired by us.</w:t>
      </w:r>
    </w:p>
    <w:p>
      <w:pPr>
        <w:spacing w:after="0" w:line="84" w:lineRule="exact"/>
        <w:rPr>
          <w:sz w:val="20"/>
          <w:szCs w:val="20"/>
          <w:color w:val="auto"/>
        </w:rPr>
      </w:pPr>
    </w:p>
    <w:p>
      <w:pPr>
        <w:jc w:val="both"/>
        <w:ind w:left="1160" w:right="1179" w:firstLine="293"/>
        <w:spacing w:after="0" w:line="253" w:lineRule="auto"/>
        <w:rPr>
          <w:sz w:val="20"/>
          <w:szCs w:val="20"/>
          <w:color w:val="auto"/>
        </w:rPr>
      </w:pPr>
      <w:r>
        <w:rPr>
          <w:rFonts w:ascii="Times New Roman" w:cs="Times New Roman" w:eastAsia="Times New Roman" w:hAnsi="Times New Roman"/>
          <w:sz w:val="15"/>
          <w:szCs w:val="15"/>
          <w:i w:val="1"/>
          <w:iCs w:val="1"/>
          <w:color w:val="auto"/>
        </w:rPr>
        <w:t>Director Limits</w:t>
      </w:r>
      <w:r>
        <w:rPr>
          <w:rFonts w:ascii="Times New Roman" w:cs="Times New Roman" w:eastAsia="Times New Roman" w:hAnsi="Times New Roman"/>
          <w:sz w:val="15"/>
          <w:szCs w:val="15"/>
          <w:color w:val="auto"/>
        </w:rPr>
        <w:t>. The awards granted under our 2024 Plan to non-employee directors will be consistent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with the terms of our non-employee director compensation policy, but any limitations provided in such policy do not apply to any compensation granted or paid for services other than as a director, including as a consultant or advisor to the Company or a subsidiary.</w:t>
      </w:r>
    </w:p>
    <w:p>
      <w:pPr>
        <w:spacing w:after="0" w:line="97" w:lineRule="exact"/>
        <w:rPr>
          <w:sz w:val="20"/>
          <w:szCs w:val="20"/>
          <w:color w:val="auto"/>
        </w:rPr>
      </w:pPr>
    </w:p>
    <w:p>
      <w:pPr>
        <w:jc w:val="both"/>
        <w:ind w:left="1160" w:right="1179" w:firstLine="293"/>
        <w:spacing w:after="0" w:line="255" w:lineRule="auto"/>
        <w:rPr>
          <w:sz w:val="20"/>
          <w:szCs w:val="20"/>
          <w:color w:val="auto"/>
        </w:rPr>
      </w:pPr>
      <w:r>
        <w:rPr>
          <w:rFonts w:ascii="Times New Roman" w:cs="Times New Roman" w:eastAsia="Times New Roman" w:hAnsi="Times New Roman"/>
          <w:sz w:val="15"/>
          <w:szCs w:val="15"/>
          <w:i w:val="1"/>
          <w:iCs w:val="1"/>
          <w:color w:val="auto"/>
        </w:rPr>
        <w:t>Types of Awards</w:t>
      </w:r>
      <w:r>
        <w:rPr>
          <w:rFonts w:ascii="Times New Roman" w:cs="Times New Roman" w:eastAsia="Times New Roman" w:hAnsi="Times New Roman"/>
          <w:sz w:val="15"/>
          <w:szCs w:val="15"/>
          <w:color w:val="auto"/>
        </w:rPr>
        <w:t>. Our 2024 Plan provides for the grant of stock options, SARs, restricted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unrestricted stock and stock units, performance awards and other awards that are convertible into or otherwise based on our common stock. Dividend equivalents may also be provided in connection with awards under our 2024 Plan.</w:t>
      </w:r>
    </w:p>
    <w:p>
      <w:pPr>
        <w:spacing w:after="0" w:line="241" w:lineRule="exact"/>
        <w:rPr>
          <w:sz w:val="20"/>
          <w:szCs w:val="20"/>
          <w:color w:val="auto"/>
        </w:rPr>
      </w:pPr>
    </w:p>
    <w:p>
      <w:pPr>
        <w:jc w:val="both"/>
        <w:ind w:left="1600" w:right="1179" w:hanging="143"/>
        <w:spacing w:after="0" w:line="246" w:lineRule="auto"/>
        <w:tabs>
          <w:tab w:leader="none" w:pos="160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Stock Options and SARs</w:t>
      </w:r>
      <w:r>
        <w:rPr>
          <w:rFonts w:ascii="Times New Roman" w:cs="Times New Roman" w:eastAsia="Times New Roman" w:hAnsi="Times New Roman"/>
          <w:sz w:val="15"/>
          <w:szCs w:val="15"/>
          <w:color w:val="auto"/>
        </w:rPr>
        <w:t>. The Administrator may grant stock options, including ISOs, and SARs.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option is a right entitling the holder to acquire shares upon payment of the exercise price, which the Administrator determines on the grant date of the stock option. A SAR is a right entitling the holder upon exercise to receive an amount (payable in cash or shares of equivalent value) equal to the excess of the fair market value of the shares subject to the right over the base value from which appreciation is measured. The exercise price per share of all stock options, and the base value of all SARs, must equal at least 100% of the fair market value per share of our common stock on the date of grant. The term of a stock option or SAR may not exceed ten years. An ISO granted to a participant who owns more than 10% of the total combined voting power of all classes of our stock on the date of grant, or any subsidiary corporations, may not have a term in excess of five years and must have an exercise price of at least 110% of the fair market value per share of our common stock on the date of grant. The participant may pay for the exercise price by cash or check, or as the Administrator permits (i) by remitting shares that participant owns; (ii) through net exercise;</w:t>
      </w:r>
    </w:p>
    <w:p>
      <w:pPr>
        <w:spacing w:after="0" w:line="3" w:lineRule="exact"/>
        <w:rPr>
          <w:rFonts w:ascii="Times New Roman" w:cs="Times New Roman" w:eastAsia="Times New Roman" w:hAnsi="Times New Roman"/>
          <w:sz w:val="15"/>
          <w:szCs w:val="15"/>
          <w:color w:val="auto"/>
        </w:rPr>
      </w:pPr>
    </w:p>
    <w:p>
      <w:pPr>
        <w:ind w:left="1600" w:right="1179" w:firstLine="4"/>
        <w:spacing w:after="0" w:line="249" w:lineRule="auto"/>
        <w:tabs>
          <w:tab w:leader="none" w:pos="1892" w:val="left"/>
        </w:tabs>
        <w:numPr>
          <w:ilvl w:val="1"/>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 broker-assisted cashless exercise program; or (iv) by other means acceptable to the Administrator.</w:t>
      </w:r>
    </w:p>
    <w:p>
      <w:pPr>
        <w:spacing w:after="0" w:line="64"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Restricted and Unrestricted Stock and Stock Units. </w:t>
      </w:r>
      <w:r>
        <w:rPr>
          <w:rFonts w:ascii="Times New Roman" w:cs="Times New Roman" w:eastAsia="Times New Roman" w:hAnsi="Times New Roman"/>
          <w:sz w:val="15"/>
          <w:szCs w:val="15"/>
          <w:color w:val="auto"/>
        </w:rPr>
        <w:t>The Administrator may grant awards of stock,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units, restricted stock and restricted stock units. A stock unit is an unfunded and unsecured promise, denominated in shares, to deliver shares or cash measured by the value of shares in the future, and a restricted stock unit is a stock unit that is subject to the satisfaction of specified performance or</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7" w:name="page178"/>
    <w:bookmarkEnd w:id="17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spacing w:after="0" w:line="249" w:lineRule="auto"/>
        <w:rPr>
          <w:sz w:val="20"/>
          <w:szCs w:val="20"/>
          <w:color w:val="auto"/>
        </w:rPr>
      </w:pPr>
      <w:r>
        <w:rPr>
          <w:rFonts w:ascii="Times New Roman" w:cs="Times New Roman" w:eastAsia="Times New Roman" w:hAnsi="Times New Roman"/>
          <w:sz w:val="15"/>
          <w:szCs w:val="15"/>
          <w:color w:val="auto"/>
        </w:rPr>
        <w:t>other vesting conditions. Restricted stock are shares subject to restrictions requiring that they be forfeited, redelivered or offered for sale to us if specified performance or other vesting conditions are not satisfied.</w:t>
      </w:r>
    </w:p>
    <w:p>
      <w:pPr>
        <w:spacing w:after="0" w:line="54" w:lineRule="exact"/>
        <w:rPr>
          <w:sz w:val="20"/>
          <w:szCs w:val="20"/>
          <w:color w:val="auto"/>
        </w:rPr>
      </w:pPr>
    </w:p>
    <w:p>
      <w:pPr>
        <w:ind w:left="1600" w:right="1179" w:hanging="143"/>
        <w:spacing w:after="0" w:line="272" w:lineRule="auto"/>
        <w:tabs>
          <w:tab w:leader="none" w:pos="16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Performance Awards. </w:t>
      </w:r>
      <w:r>
        <w:rPr>
          <w:rFonts w:ascii="Times New Roman" w:cs="Times New Roman" w:eastAsia="Times New Roman" w:hAnsi="Times New Roman"/>
          <w:sz w:val="15"/>
          <w:szCs w:val="15"/>
          <w:color w:val="auto"/>
        </w:rPr>
        <w:t>The Administrator may grant performance awards, which are awards subject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the achievement of performance criteria.</w:t>
      </w:r>
    </w:p>
    <w:p>
      <w:pPr>
        <w:spacing w:after="0" w:line="48"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Other Share-Based Awards. </w:t>
      </w:r>
      <w:r>
        <w:rPr>
          <w:rFonts w:ascii="Times New Roman" w:cs="Times New Roman" w:eastAsia="Times New Roman" w:hAnsi="Times New Roman"/>
          <w:sz w:val="15"/>
          <w:szCs w:val="15"/>
          <w:color w:val="auto"/>
        </w:rPr>
        <w:t>The Administrator may grant other awards that are convertible into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otherwise based on shares, subject to such terms and conditions as it determines.</w:t>
      </w:r>
    </w:p>
    <w:p>
      <w:pPr>
        <w:spacing w:after="0" w:line="48" w:lineRule="exact"/>
        <w:rPr>
          <w:rFonts w:ascii="Times New Roman" w:cs="Times New Roman" w:eastAsia="Times New Roman" w:hAnsi="Times New Roman"/>
          <w:sz w:val="15"/>
          <w:szCs w:val="15"/>
          <w:color w:val="auto"/>
        </w:rPr>
      </w:pPr>
    </w:p>
    <w:p>
      <w:pPr>
        <w:jc w:val="both"/>
        <w:ind w:left="1600" w:right="1179" w:hanging="143"/>
        <w:spacing w:after="0" w:line="253" w:lineRule="auto"/>
        <w:tabs>
          <w:tab w:leader="none" w:pos="16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Substitute Awards. </w:t>
      </w:r>
      <w:r>
        <w:rPr>
          <w:rFonts w:ascii="Times New Roman" w:cs="Times New Roman" w:eastAsia="Times New Roman" w:hAnsi="Times New Roman"/>
          <w:sz w:val="15"/>
          <w:szCs w:val="15"/>
          <w:color w:val="auto"/>
        </w:rPr>
        <w:t>The Administrator may grant substitute awards which may have terms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conditions that are inconsistent with the terms and conditions of our 2024 Plan. A substitute award is an award granted under our 2024 Plan in substitution for one or more equity awards of an acquired company that are converted, replaced or adjusted in connection with the acquisition.</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Vesting; Terms of Awards</w:t>
      </w:r>
      <w:r>
        <w:rPr>
          <w:rFonts w:ascii="Times New Roman" w:cs="Times New Roman" w:eastAsia="Times New Roman" w:hAnsi="Times New Roman"/>
          <w:sz w:val="15"/>
          <w:szCs w:val="15"/>
          <w:color w:val="auto"/>
        </w:rPr>
        <w:t>. The Administrator determines the terms and conditions of all awards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granted under our 2024 Plan, including the time or times an award vests or becomes exercisable, the terms and conditions on which an award remains exercisable and the effect of termination of a participant’s employment or service on an award. The Administrator may at any time accelerate the vesting or exercisability of an award.</w:t>
      </w:r>
    </w:p>
    <w:p>
      <w:pPr>
        <w:spacing w:after="0" w:line="26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Transferability of Awards. </w:t>
      </w:r>
      <w:r>
        <w:rPr>
          <w:rFonts w:ascii="Times New Roman" w:cs="Times New Roman" w:eastAsia="Times New Roman" w:hAnsi="Times New Roman"/>
          <w:sz w:val="15"/>
          <w:szCs w:val="15"/>
          <w:color w:val="auto"/>
        </w:rPr>
        <w:t>Except as the Administrator may otherwise determine, awards may not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transferred other than by will or by the laws of descent and distribution.</w:t>
      </w:r>
    </w:p>
    <w:p>
      <w:pPr>
        <w:spacing w:after="0" w:line="81"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 xml:space="preserve">Effect of Covered Transactions. </w:t>
      </w:r>
      <w:r>
        <w:rPr>
          <w:rFonts w:ascii="Times New Roman" w:cs="Times New Roman" w:eastAsia="Times New Roman" w:hAnsi="Times New Roman"/>
          <w:sz w:val="15"/>
          <w:szCs w:val="15"/>
          <w:color w:val="auto"/>
        </w:rPr>
        <w:t>In the event of a covered transactions (including the consummation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 consolidation, merger or similar transaction, the sale of all or substantially all of our assets or shares of our common stock, our dissolution or liquidation or such other transaction that the Administrator determines is a covered transaction), the Administrator may, with respect to outstanding awards, provide for any or a combination of the following:</w:t>
      </w:r>
    </w:p>
    <w:p>
      <w:pPr>
        <w:spacing w:after="0" w:line="73" w:lineRule="exact"/>
        <w:rPr>
          <w:sz w:val="20"/>
          <w:szCs w:val="20"/>
          <w:color w:val="auto"/>
        </w:rPr>
      </w:pPr>
    </w:p>
    <w:p>
      <w:pPr>
        <w:ind w:left="1600" w:right="1179" w:hanging="143"/>
        <w:spacing w:after="0" w:line="269" w:lineRule="auto"/>
        <w:tabs>
          <w:tab w:leader="none" w:pos="160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assumption, substitution or continuation of an award (or any portion thereof) by the acquiror or surviving entity;</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cash payment in respect of an award (or any portion thereof) equal to the difference between the fair market value of the shares subject to the award and its exercise or base price, if any; and/or</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acceleration of exercisability or delivery of shares in respect of an award, in full or in part.</w:t>
      </w:r>
    </w:p>
    <w:p>
      <w:pPr>
        <w:spacing w:after="0" w:line="124"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Administrator will determine the terms and conditions as it deems appropriate with respect to each award, and does not have the obligation to treat all awards the same, in connection with a covered transaction. Except as the Administrator may otherwise determine, each award will automatically terminate or be forfeited immediately upon the consummation of the covered transaction, other than awards that are assumed or that continue following the covered transaction.</w:t>
      </w:r>
    </w:p>
    <w:p>
      <w:pPr>
        <w:spacing w:after="0" w:line="9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i w:val="1"/>
          <w:iCs w:val="1"/>
          <w:color w:val="auto"/>
        </w:rPr>
        <w:t>Adjustment Provisions</w:t>
      </w:r>
      <w:r>
        <w:rPr>
          <w:rFonts w:ascii="Times New Roman" w:cs="Times New Roman" w:eastAsia="Times New Roman" w:hAnsi="Times New Roman"/>
          <w:sz w:val="15"/>
          <w:szCs w:val="15"/>
          <w:color w:val="auto"/>
        </w:rPr>
        <w:t>. In the event of a change in our capital structure that constitutes an equity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restructuring, including a stock dividend, stock split or combination of shares (including a reverse stock split), recapitalization or other changes in our capital structure, the Administrator will make appropriate adjustments to the maximum number of shares that may be delivered under our 2024 Plan, the number and kind of securities subject to individual awards, and the exercise or purchase prices (or base values) of, outstanding awards and any other provisions affected by such event.</w:t>
      </w:r>
    </w:p>
    <w:p>
      <w:pPr>
        <w:spacing w:after="0" w:line="97"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i w:val="1"/>
          <w:iCs w:val="1"/>
          <w:color w:val="auto"/>
        </w:rPr>
        <w:t>Clawback</w:t>
      </w:r>
      <w:r>
        <w:rPr>
          <w:rFonts w:ascii="Times New Roman" w:cs="Times New Roman" w:eastAsia="Times New Roman" w:hAnsi="Times New Roman"/>
          <w:sz w:val="15"/>
          <w:szCs w:val="15"/>
          <w:color w:val="auto"/>
        </w:rPr>
        <w:t>. The Administrator may provide that any outstanding award, the proceeds of any award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shares acquired under any award and any other amounts received in respect of any award or shares acquired under any award will be subject to forfeiture and disgorgement to us, with interest and other related earnings, if (i) the participant is not in compliance with (a) any provision of our 2024 Plan or any award,</w:t>
      </w:r>
    </w:p>
    <w:p>
      <w:pPr>
        <w:spacing w:after="0" w:line="1" w:lineRule="exact"/>
        <w:rPr>
          <w:sz w:val="20"/>
          <w:szCs w:val="20"/>
          <w:color w:val="auto"/>
        </w:rPr>
      </w:pPr>
    </w:p>
    <w:p>
      <w:pPr>
        <w:jc w:val="both"/>
        <w:ind w:left="1160" w:right="1179" w:firstLine="4"/>
        <w:spacing w:after="0" w:line="246" w:lineRule="auto"/>
        <w:tabs>
          <w:tab w:leader="none" w:pos="138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non-competition, non-solicitation, no-hire, non-disparagement, confidentiality, invention assignment or other restrictive covenant, or (c) any company policy, such as our insider trading policy or our clawback policy, or (ii) otherwise required by law or Nasdaq listing standards.</w:t>
      </w:r>
    </w:p>
    <w:p>
      <w:pPr>
        <w:spacing w:after="0" w:line="101"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i w:val="1"/>
          <w:iCs w:val="1"/>
          <w:color w:val="auto"/>
        </w:rPr>
        <w:t>Amendments and Termination</w:t>
      </w:r>
      <w:r>
        <w:rPr>
          <w:rFonts w:ascii="Times New Roman" w:cs="Times New Roman" w:eastAsia="Times New Roman" w:hAnsi="Times New Roman"/>
          <w:sz w:val="15"/>
          <w:szCs w:val="15"/>
          <w:color w:val="auto"/>
        </w:rPr>
        <w:t>. The Administrator may at any time amend our 2024 Plan or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outstanding award and may at any time terminate our 2024 Plan as to future grants. Except as expressly provided in our 2024 Plan, the Administrator may not alter the terms of an award so as to materially and</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8" w:name="page179"/>
    <w:bookmarkEnd w:id="17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adversely affect a participant’s rights without the participant’s consent (unless the Administrator expressly reserved the right to do so in our 2024 Plan or at the time the award was granted). The Administrator will condition any amendments to our 2024 Plan upon shareholder approval to the extent required by applicable law or Nasdaq Listing Rules.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2020 Equity Incentive Plan</w:t>
      </w:r>
    </w:p>
    <w:p>
      <w:pPr>
        <w:spacing w:after="0" w:line="11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board of directors adopted, and our stockholders approved, the 2020 Plan in October 2020. The 2020 Plan was most recently amended in May 2024. No further awards will be made under the 2020 Plan following the completion of this offering.</w:t>
      </w:r>
    </w:p>
    <w:p>
      <w:pPr>
        <w:spacing w:after="0" w:line="8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i w:val="1"/>
          <w:iCs w:val="1"/>
          <w:color w:val="auto"/>
        </w:rPr>
        <w:t xml:space="preserve">Authorized Shares. </w:t>
      </w:r>
      <w:r>
        <w:rPr>
          <w:rFonts w:ascii="Times New Roman" w:cs="Times New Roman" w:eastAsia="Times New Roman" w:hAnsi="Times New Roman"/>
          <w:sz w:val="15"/>
          <w:szCs w:val="15"/>
          <w:color w:val="auto"/>
        </w:rPr>
        <w:t>Subject to certain capitalization adjustments, the aggregate number of shares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our common stock that may be issued pursuant to stock awards under the 2020 Plan will not exceed 38,414,424 shares. The maximum number of shares of our common stock that the plan administrator may issue pursuant to the exercise of ISOs under our 2020 Plan is 38,414,424 shares. No shares will be issued under the 2020 Plan after the effective date of our 2024 Plan. The shares of common stock underlying any awards that are (i) forfeited, (ii) canceled, (iii) reacquired by the Company prior to vesting, (iv) satisfied without the issuance of stock or otherwise terminated (other than by exercise), and (v) that are withheld upon exercise of an option or settlement of an award to cover the exercise price or tax withholding, will again become available for issuance under the 2020 Plan up to the effective date of our 2024 Plan, then any shares that again become available for issuance under the 2020 Plan will do so under our 2024 Plan.</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 xml:space="preserve">Plan Administration. </w:t>
      </w:r>
      <w:r>
        <w:rPr>
          <w:rFonts w:ascii="Times New Roman" w:cs="Times New Roman" w:eastAsia="Times New Roman" w:hAnsi="Times New Roman"/>
          <w:sz w:val="15"/>
          <w:szCs w:val="15"/>
          <w:color w:val="auto"/>
        </w:rPr>
        <w:t>The 2020 Plan is administered by our board of directors or a committee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appointed by it (the plan administrator). The plan administrator has full power to, among other things, select, from among the individuals eligible for awards, the individuals to whom awards will be granted, to accelerate the time at which a stock award may be exercised or vest, to amend the 2020 Plan and to determine the specific terms and conditions of each award, subject to the provisions of the 2020 Plan.</w:t>
      </w:r>
    </w:p>
    <w:p>
      <w:pPr>
        <w:spacing w:after="0" w:line="93"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i w:val="1"/>
          <w:iCs w:val="1"/>
          <w:color w:val="auto"/>
        </w:rPr>
        <w:t>Types of Awards</w:t>
      </w:r>
      <w:r>
        <w:rPr>
          <w:rFonts w:ascii="Times New Roman" w:cs="Times New Roman" w:eastAsia="Times New Roman" w:hAnsi="Times New Roman"/>
          <w:sz w:val="15"/>
          <w:szCs w:val="15"/>
          <w:color w:val="auto"/>
        </w:rPr>
        <w:t>. The 2020 Plan allows for the grant of nonqualified stock options, restricted stock,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unrestricted stock, SARs, and restricted stock unit awards to our employees, officers, directors, consultants and advisors and those of our subsidiary corporations, and for the grant of ISOs to our employees and to any employees of our subsidiaries.</w:t>
      </w:r>
    </w:p>
    <w:p>
      <w:pPr>
        <w:spacing w:after="0" w:line="59" w:lineRule="exact"/>
        <w:rPr>
          <w:sz w:val="20"/>
          <w:szCs w:val="20"/>
          <w:color w:val="auto"/>
        </w:rPr>
      </w:pPr>
    </w:p>
    <w:p>
      <w:pPr>
        <w:jc w:val="both"/>
        <w:ind w:left="1600" w:right="1179" w:hanging="143"/>
        <w:spacing w:after="0" w:line="246" w:lineRule="auto"/>
        <w:tabs>
          <w:tab w:leader="none" w:pos="16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Stock Options and SARs. </w:t>
      </w:r>
      <w:r>
        <w:rPr>
          <w:rFonts w:ascii="Times New Roman" w:cs="Times New Roman" w:eastAsia="Times New Roman" w:hAnsi="Times New Roman"/>
          <w:sz w:val="15"/>
          <w:szCs w:val="15"/>
          <w:color w:val="auto"/>
        </w:rPr>
        <w:t>The exercise price per share of all stock options, and the base value of all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SARs, must equal at least 100% of the fair market value per share of our common stock on the date of grant. The term of a stock option or SAR may not exceed ten years. An ISO granted to a participant who owns more than 10% of the total combined voting power of all classes of our stock on the date of grant, or any subsidiary corporations, may not have a term in excess of five years and must have an exercise price of at least 110% of the fair market value per share of our common stock on the date of grant. The plan administrator will determine the methods of payment of the exercise price of an option, which may include cash, shares or certain other property or other consideration acceptable to the plan administrator. After a participant’s termination of service, the participant generally may exercise his or her stock options, to the extent vested as of such date of termination, during a period of 90 days after termination of service. If a termination of service is due to death or disability, the option generally will remain exercisable, to the extent vested as of such date of termination, until the one-year anniversary of such termination of service. However, in no event may an option be exercised later than the expiration of its term. If a termination of service is for cause (as defined in an applicable award agreement), the stock option automatically expires upon the date of the termination of service.</w:t>
      </w:r>
    </w:p>
    <w:p>
      <w:pPr>
        <w:spacing w:after="0" w:line="237" w:lineRule="exact"/>
        <w:rPr>
          <w:rFonts w:ascii="Times New Roman" w:cs="Times New Roman" w:eastAsia="Times New Roman" w:hAnsi="Times New Roman"/>
          <w:sz w:val="15"/>
          <w:szCs w:val="15"/>
          <w:color w:val="auto"/>
        </w:rPr>
      </w:pPr>
    </w:p>
    <w:p>
      <w:pPr>
        <w:jc w:val="both"/>
        <w:ind w:left="1600" w:right="1179" w:hanging="143"/>
        <w:spacing w:after="0" w:line="253" w:lineRule="auto"/>
        <w:tabs>
          <w:tab w:leader="none" w:pos="16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Restricted Stock</w:t>
      </w:r>
      <w:r>
        <w:rPr>
          <w:rFonts w:ascii="Times New Roman" w:cs="Times New Roman" w:eastAsia="Times New Roman" w:hAnsi="Times New Roman"/>
          <w:sz w:val="15"/>
          <w:szCs w:val="15"/>
          <w:color w:val="auto"/>
        </w:rPr>
        <w:t>. Restricted stock awards are grants of shares of our common stock that are subject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various restrictions, including restrictions on transferability and forfeitures provisions. Shares of restricted stock will vest, and the restrictions on such shares will lapse, in accordance with terms and conditions established by the plan administrator.</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Unrestricted Stock</w:t>
      </w:r>
      <w:r>
        <w:rPr>
          <w:rFonts w:ascii="Times New Roman" w:cs="Times New Roman" w:eastAsia="Times New Roman" w:hAnsi="Times New Roman"/>
          <w:sz w:val="15"/>
          <w:szCs w:val="15"/>
          <w:color w:val="auto"/>
        </w:rPr>
        <w:t>. Unrestricted stock awards may be granted to participants in recognition of past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services or for other valid consideration and may be issued in lieu of cash compensation due to such participant.</w:t>
      </w:r>
    </w:p>
    <w:p>
      <w:pPr>
        <w:spacing w:after="0" w:line="47" w:lineRule="exact"/>
        <w:rPr>
          <w:rFonts w:ascii="Times New Roman" w:cs="Times New Roman" w:eastAsia="Times New Roman" w:hAnsi="Times New Roman"/>
          <w:sz w:val="15"/>
          <w:szCs w:val="15"/>
          <w:color w:val="auto"/>
        </w:rPr>
      </w:pPr>
    </w:p>
    <w:p>
      <w:pPr>
        <w:jc w:val="both"/>
        <w:ind w:left="1600" w:right="1179" w:hanging="143"/>
        <w:spacing w:after="0" w:line="272" w:lineRule="auto"/>
        <w:tabs>
          <w:tab w:leader="none" w:pos="16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Restricted Stock Units</w:t>
      </w:r>
      <w:r>
        <w:rPr>
          <w:rFonts w:ascii="Times New Roman" w:cs="Times New Roman" w:eastAsia="Times New Roman" w:hAnsi="Times New Roman"/>
          <w:sz w:val="15"/>
          <w:szCs w:val="15"/>
          <w:color w:val="auto"/>
        </w:rPr>
        <w:t>. A restricted stock unit is an award that covers a number of shares of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common stock that may be settled upon vesting in cash, by the issuance of the underlying shares or a</w:t>
      </w: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9" w:name="page180"/>
    <w:bookmarkEnd w:id="17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spacing w:after="0" w:line="249" w:lineRule="auto"/>
        <w:rPr>
          <w:sz w:val="20"/>
          <w:szCs w:val="20"/>
          <w:color w:val="auto"/>
        </w:rPr>
      </w:pPr>
      <w:r>
        <w:rPr>
          <w:rFonts w:ascii="Times New Roman" w:cs="Times New Roman" w:eastAsia="Times New Roman" w:hAnsi="Times New Roman"/>
          <w:sz w:val="15"/>
          <w:szCs w:val="15"/>
          <w:color w:val="auto"/>
        </w:rPr>
        <w:t>combination of both. The plan administrator determines the terms and conditions of restricted stock units, including the number of units granted, the vesting criteria (which may include specified performance criteria and/or continued service to us) and the form and timing of payment.</w:t>
      </w:r>
    </w:p>
    <w:p>
      <w:pPr>
        <w:spacing w:after="0" w:line="87"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i w:val="1"/>
          <w:iCs w:val="1"/>
          <w:color w:val="auto"/>
        </w:rPr>
        <w:t>Changes to Capital Structure</w:t>
      </w:r>
      <w:r>
        <w:rPr>
          <w:rFonts w:ascii="Times New Roman" w:cs="Times New Roman" w:eastAsia="Times New Roman" w:hAnsi="Times New Roman"/>
          <w:sz w:val="15"/>
          <w:szCs w:val="15"/>
          <w:color w:val="auto"/>
        </w:rPr>
        <w:t>. In the event of certain changes in our capitalization, the exercise prices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and the number of shares subject to outstanding awards, and the purchase price of and the numbers of shares subject to outstanding awards will be proportionately adjusted, subject to any required action by our board of directors or stockholders.</w:t>
      </w:r>
    </w:p>
    <w:p>
      <w:pPr>
        <w:spacing w:after="0" w:line="92"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i w:val="1"/>
          <w:iCs w:val="1"/>
          <w:color w:val="auto"/>
        </w:rPr>
        <w:t>Covered Transactions</w:t>
      </w:r>
      <w:r>
        <w:rPr>
          <w:rFonts w:ascii="Times New Roman" w:cs="Times New Roman" w:eastAsia="Times New Roman" w:hAnsi="Times New Roman"/>
          <w:sz w:val="15"/>
          <w:szCs w:val="15"/>
          <w:color w:val="auto"/>
        </w:rPr>
        <w:t>. The 2020 Plan provides that upon the effectiveness of a “covered transaction,”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 defined in the 2020 Plan, an acquirer or successor entity may assume, continue or substitute for the outstanding awards under the 2020 Plan. To the extent that awards granted under the 2020 Plan are not assumed or continued or substituted by acquirer or the successor entity, and except as the plan administrator may otherwise determine, all stock options and all other awards granted under the 2020 Plan shall automatically terminate. In addition, upon a covered transaction, the plan administrator may provide for a cash payment in respect of some or all awards (or any portion thereof) equal to the difference between the fair market value of the shares subject to the award and its exercise or base price, if any. Additionally, the plan administrator may resolve, in its sole discretion, to subject any payments in respect of awards to any escrow, holdback, earn- out or similar provisions in the transaction agreements as such provisions apply to holders of our common stock. Upon a covered transaction, the plan administrator may also provide for the acceleration of exercisability or delivery of shares in respect of any award, in full or in part.</w:t>
      </w:r>
    </w:p>
    <w:p>
      <w:pPr>
        <w:spacing w:after="0" w:line="98" w:lineRule="exact"/>
        <w:rPr>
          <w:sz w:val="20"/>
          <w:szCs w:val="20"/>
          <w:color w:val="auto"/>
        </w:rPr>
      </w:pPr>
    </w:p>
    <w:p>
      <w:pPr>
        <w:jc w:val="both"/>
        <w:ind w:left="1160" w:right="1179" w:firstLine="293"/>
        <w:spacing w:after="0" w:line="244" w:lineRule="auto"/>
        <w:rPr>
          <w:sz w:val="20"/>
          <w:szCs w:val="20"/>
          <w:color w:val="auto"/>
        </w:rPr>
      </w:pPr>
      <w:r>
        <w:rPr>
          <w:rFonts w:ascii="Times New Roman" w:cs="Times New Roman" w:eastAsia="Times New Roman" w:hAnsi="Times New Roman"/>
          <w:sz w:val="15"/>
          <w:szCs w:val="15"/>
          <w:i w:val="1"/>
          <w:iCs w:val="1"/>
          <w:color w:val="auto"/>
        </w:rPr>
        <w:t>Transferability</w:t>
      </w:r>
      <w:r>
        <w:rPr>
          <w:rFonts w:ascii="Times New Roman" w:cs="Times New Roman" w:eastAsia="Times New Roman" w:hAnsi="Times New Roman"/>
          <w:sz w:val="15"/>
          <w:szCs w:val="15"/>
          <w:color w:val="auto"/>
        </w:rPr>
        <w:t>. Except as the plan administrator may otherwise determine, the 2020 Plan generally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does not allow for the transfer or assignment of awards other than by will or by the laws of descent and distribution.</w:t>
      </w:r>
    </w:p>
    <w:p>
      <w:pPr>
        <w:spacing w:after="0" w:line="26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Plan Amendment or Termination</w:t>
      </w:r>
      <w:r>
        <w:rPr>
          <w:rFonts w:ascii="Times New Roman" w:cs="Times New Roman" w:eastAsia="Times New Roman" w:hAnsi="Times New Roman"/>
          <w:sz w:val="15"/>
          <w:szCs w:val="15"/>
          <w:color w:val="auto"/>
        </w:rPr>
        <w:t>. The plan administrator may amend or terminate the 2020 Plan at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time and for any reason, however, the Company will obtain stockholder approval if required by applicable law. After the effective date of the 2024 Plan, no additional awards will be granted under the 2020 Plan. However, the 2020 Plan will continue to govern the terms and conditions of the outstanding awards granted under it.</w:t>
      </w:r>
    </w:p>
    <w:p>
      <w:pPr>
        <w:spacing w:after="0" w:line="3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2024 Employee Stock Purchase Plan</w:t>
      </w:r>
    </w:p>
    <w:p>
      <w:pPr>
        <w:spacing w:after="0" w:line="11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board of directors intends to adopt the Zenas BioPharma, Inc. 2024 Employee Stock Purchase Plan in connection with this offering. We intend that our ESPP qualify as an “employee stock purchase plan” under Section 423 of the Code.</w:t>
      </w:r>
    </w:p>
    <w:p>
      <w:pPr>
        <w:spacing w:after="0" w:line="8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i w:val="1"/>
          <w:iCs w:val="1"/>
          <w:color w:val="auto"/>
        </w:rPr>
        <w:t>Administration</w:t>
      </w:r>
      <w:r>
        <w:rPr>
          <w:rFonts w:ascii="Times New Roman" w:cs="Times New Roman" w:eastAsia="Times New Roman" w:hAnsi="Times New Roman"/>
          <w:sz w:val="15"/>
          <w:szCs w:val="15"/>
          <w:color w:val="auto"/>
        </w:rPr>
        <w:t>. Our compensation committee will administer our ESPP and will have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discretionary authority to interpret our ESPP, determine eligibility under our ESPP, prescribe forms, rules and procedures relating to our ESPP and otherwise do all things necessary or desirable to carry out the purposes of our ESPP. Our compensation committee may delegate its authority under the ESPP to a sub-committee comprised of one or more of its members, to member of our board of directors, or to our officers or employees to the extent permitted by applicable law. As used in this summary, the term “Administrator” refers to our compensation committee, or to the persons or groups that our compensation committee delegated its authority to under our ESPP.</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i w:val="1"/>
          <w:iCs w:val="1"/>
          <w:color w:val="auto"/>
        </w:rPr>
        <w:t>Shares Subject to our ESPP</w:t>
      </w:r>
      <w:r>
        <w:rPr>
          <w:rFonts w:ascii="Times New Roman" w:cs="Times New Roman" w:eastAsia="Times New Roman" w:hAnsi="Times New Roman"/>
          <w:sz w:val="15"/>
          <w:szCs w:val="15"/>
          <w:color w:val="auto"/>
        </w:rPr>
        <w:t>. The aggregate number of shares of our common stock available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purchase under our ESPP is            shares, with such number of shares automatically increasing on January 1 of each year beginning in 2025 and continuing through and including 2034, by the lesser of (i) one percent of the number of shares outstanding as of such January 1, and (ii) the number of shares that our board of directors determines on or prior to such January 1, up to a maximum of            shares in the aggregate. The number of shares available for purchase under our ESPP is the “ESPP Pool,” which ESPP Pool is subject to adjustment, as described below. Shares that we may deliver to a participant under our ESPP may be authorized but unissued shares, treasury shares or previously issued shares that we acquired. If any right to purchase shares under our ESPP expires or terminates for any reason, the shares subject to the expired or terminated right will return to and be added to the ESPP Pool.</w:t>
      </w:r>
    </w:p>
    <w:p>
      <w:pPr>
        <w:spacing w:after="0" w:line="9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i w:val="1"/>
          <w:iCs w:val="1"/>
          <w:color w:val="auto"/>
        </w:rPr>
        <w:t>Eligibility</w:t>
      </w:r>
      <w:r>
        <w:rPr>
          <w:rFonts w:ascii="Times New Roman" w:cs="Times New Roman" w:eastAsia="Times New Roman" w:hAnsi="Times New Roman"/>
          <w:sz w:val="15"/>
          <w:szCs w:val="15"/>
          <w:color w:val="auto"/>
        </w:rPr>
        <w:t>. Our ESPP limits participation to our employees (i) whose customary employment with us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 one of our subsidiaries, as applicable, is for more than five months per calendar year, (ii) who customarily</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0" w:name="page181"/>
    <w:bookmarkEnd w:id="18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work 20 hours or more per week and (iii) who satisfy the requirements set forth in our ESPP. Employees of our subsidiaries that are designated as a participating entity and who fulfill the criteria described in the prior sentence may also participate in our ESPP. The Administrator may establish additional or other eligibility requirements, or change the requirements described in this paragraph, to the extent consistent with Section 423 of the Code. Any employee who owns (or under the statutory attribution rules deemed to own) shares possessing five percent or more of the total combined voting power or value of all classes of shares of us or our subsidiaries, if any, will not be eligible to participate in our ESPP. Employees who are citizens or residents of a jurisdiction outside of the U.S. will not be eligible to participate in our ESPP if participation is prohibited under the laws of that jurisdiction or if compliance with the laws of that jurisdiction would cause our ESPP to violate the requirements of Section 423 of the Code.</w:t>
      </w:r>
    </w:p>
    <w:p>
      <w:pPr>
        <w:spacing w:after="0" w:line="9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General Terms of Participation</w:t>
      </w:r>
      <w:r>
        <w:rPr>
          <w:rFonts w:ascii="Times New Roman" w:cs="Times New Roman" w:eastAsia="Times New Roman" w:hAnsi="Times New Roman"/>
          <w:sz w:val="15"/>
          <w:szCs w:val="15"/>
          <w:color w:val="auto"/>
        </w:rPr>
        <w:t>. Our ESPP allows eligible employees to purchase shares during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specified six month offering periods. During each offering period, eligible employees will be able to purchase shares on the last business day of the offering period. A participant may purchase a maximum of            shares with respect to any offering period (or such other number as the Administrator may prescribe). No participant will be permitted to purchase shares under our ESPP that exceeds $25,000 in fair market value for the calendar year, as determined in accordance with Section 423 of the Code.</w:t>
      </w:r>
    </w:p>
    <w:p>
      <w:pPr>
        <w:spacing w:after="0" w:line="99"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purchase price of each share issued under our ESPP at the end of the offering period will be 85% (or such other percentage as specified by the Administrator) of the lesser of: (a) the fair market value of a share on the first day of the offering period, and (b) the fair market value of a share on the last business day of the offering period.</w:t>
      </w:r>
    </w:p>
    <w:p>
      <w:pPr>
        <w:spacing w:after="0" w:line="95"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Administrator may, without shareholder approval, change the commencement and exercise dates of offering periods, the purchase price, the duration of any offering periods and other terms of our ESPP.</w:t>
      </w:r>
    </w:p>
    <w:p>
      <w:pPr>
        <w:spacing w:after="0" w:line="8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Participants in our ESPP will pay for shares purchased under our ESPP through payroll deductions unless otherwise provided by the Administrator under a sub-plan or separate offering for a non-U.S. subsidiary. Participants may elect to authorize payroll deductions between 1% and 15% of the participant’s eligible compensation each payroll period.</w:t>
      </w:r>
    </w:p>
    <w:p>
      <w:pPr>
        <w:spacing w:after="0" w:line="93"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i w:val="1"/>
          <w:iCs w:val="1"/>
          <w:color w:val="auto"/>
        </w:rPr>
        <w:t>Transfer Restrictions</w:t>
      </w:r>
      <w:r>
        <w:rPr>
          <w:rFonts w:ascii="Times New Roman" w:cs="Times New Roman" w:eastAsia="Times New Roman" w:hAnsi="Times New Roman"/>
          <w:sz w:val="15"/>
          <w:szCs w:val="15"/>
          <w:color w:val="auto"/>
        </w:rPr>
        <w:t>. For participants who have purchased shares under our ESPP, the shares may not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 transferred, sold, pledged or alienated, other than by will or by the laws of descent and distribution, for three months following the date on which such shares were purchased, or such other period as the Administrator may decide.</w:t>
      </w:r>
    </w:p>
    <w:p>
      <w:pPr>
        <w:spacing w:after="0" w:line="9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Adjustments</w:t>
      </w:r>
      <w:r>
        <w:rPr>
          <w:rFonts w:ascii="Times New Roman" w:cs="Times New Roman" w:eastAsia="Times New Roman" w:hAnsi="Times New Roman"/>
          <w:sz w:val="15"/>
          <w:szCs w:val="15"/>
          <w:color w:val="auto"/>
        </w:rPr>
        <w:t>. In the event of a stock dividend, stock split or combination of shares (including a reverse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split), recapitalization or other change in our capital structure that constitutes an equity restructuring, the Administrator will make appropriate adjustments to the aggregate number and type of shares available for purchase under our ESPP, the number and type of shares available to purchase, the maximum number and type of shares purchasable and/or the purchase price per share.</w:t>
      </w:r>
    </w:p>
    <w:p>
      <w:pPr>
        <w:spacing w:after="0" w:line="93"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i w:val="1"/>
          <w:iCs w:val="1"/>
          <w:color w:val="auto"/>
        </w:rPr>
        <w:t>Corporate Transactions</w:t>
      </w:r>
      <w:r>
        <w:rPr>
          <w:rFonts w:ascii="Times New Roman" w:cs="Times New Roman" w:eastAsia="Times New Roman" w:hAnsi="Times New Roman"/>
          <w:sz w:val="15"/>
          <w:szCs w:val="15"/>
          <w:color w:val="auto"/>
        </w:rPr>
        <w:t>. In the event of a corporate transaction, which may be a sale of substantially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all of our common stock or assets, a merger, consolidation or similar transaction, or an acquisition of us by another entity, the Administrator may (i) provide that a participant's rights under our ESPP will be assumed or substituted for participation in the acquiror’s or successor corporation’s ESPP, if the Company is merged with or acquired by another corporation, (ii) cancel participants’ rights under our ESPP and have the accumulated payroll deduction of participants returned to the participants, or (iii) terminate the offering period on or before the date of the proposed corporate transaction.</w:t>
      </w:r>
    </w:p>
    <w:p>
      <w:pPr>
        <w:spacing w:after="0" w:line="94"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i w:val="1"/>
          <w:iCs w:val="1"/>
          <w:color w:val="auto"/>
        </w:rPr>
        <w:t>Amendments and Termination</w:t>
      </w:r>
      <w:r>
        <w:rPr>
          <w:rFonts w:ascii="Times New Roman" w:cs="Times New Roman" w:eastAsia="Times New Roman" w:hAnsi="Times New Roman"/>
          <w:sz w:val="15"/>
          <w:szCs w:val="15"/>
          <w:color w:val="auto"/>
        </w:rPr>
        <w:t>. The Administrator has the discretion to amend our ESPP to any extent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in any manner it may deem advisable. However, any amendment that would be treated as the adoption of a new plan for purposes of Section 423 of the Code will require shareholder approval. The Administrator may suspend or terminate our ESPP at any time.</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Clawback Policy</w:t>
      </w:r>
    </w:p>
    <w:p>
      <w:pPr>
        <w:spacing w:after="0" w:line="117"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Prior to the completion of this offering, our board of directors intends to adopt the Company’s Policy for Recoupment of Incentive Compensation (“Clawback Policy”), which is designed to comply with</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1" w:name="page182"/>
    <w:bookmarkEnd w:id="18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Section 10D-1 of the Exchange Act and the applicable Nasdaq Listing Rules. The Clawback Policy is to be effective upon the completion of this offering. The Clawback Policy requires us to recoup incentive-based compensation received by each current or former officer of the Company subject to Section 16 of the Exchange Act (each a “covered officer”), including each named executive officer, if the Company is required to prepare an accounting restatement due to its material noncompliance with any financial reporting requirement under the securities laws. The Clawback Policy generally applies to all cash-based or equity-based incentive compensation, bonus and/or awards that a covered officer receives that is or was based, wholly or in part, upon the attainment of any financial reporting measure during the three completed fiscal years occurring immediately prior to the date that the Company is required to prepare a restatement. However, the Clawback Policy does not apply to compensation, bonus and/or award that was received on or before the date our common stock is first listed.</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Non-Employee Director Compensation</w:t>
      </w:r>
    </w:p>
    <w:p>
      <w:pPr>
        <w:spacing w:after="0" w:line="12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following table presents the compensation awarded to or earned by or paid to all individuals who served as non-employee directors during the year ended December 31, 2023. Mr. Moulder’s compensation for the year ended December 31, 2023 is included in the Summary Compensation Table above and the accompanying narrative description; he did not receive any compensation in connection with his service as a member of our board of directors.</w:t>
      </w:r>
    </w:p>
    <w:p>
      <w:pPr>
        <w:spacing w:after="0" w:line="119"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4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Option</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22"/>
        </w:trPr>
        <w:tc>
          <w:tcPr>
            <w:tcW w:w="3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640" w:type="dxa"/>
            <w:vAlign w:val="bottom"/>
            <w:gridSpan w:val="4"/>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Awards</w:t>
            </w:r>
          </w:p>
        </w:tc>
        <w:tc>
          <w:tcPr>
            <w:tcW w:w="400" w:type="dxa"/>
            <w:vAlign w:val="bottom"/>
            <w:gridSpan w:val="2"/>
          </w:tcPr>
          <w:p>
            <w:pPr>
              <w:jc w:val="right"/>
              <w:ind w:right="67"/>
              <w:spacing w:after="0" w:line="122" w:lineRule="exact"/>
              <w:rPr>
                <w:sz w:val="20"/>
                <w:szCs w:val="20"/>
                <w:color w:val="auto"/>
              </w:rPr>
            </w:pPr>
            <w:r>
              <w:rPr>
                <w:rFonts w:ascii="Times New Roman" w:cs="Times New Roman" w:eastAsia="Times New Roman" w:hAnsi="Times New Roman"/>
                <w:sz w:val="12"/>
                <w:szCs w:val="12"/>
                <w:b w:val="1"/>
                <w:bCs w:val="1"/>
                <w:color w:val="auto"/>
                <w:w w:val="87"/>
              </w:rPr>
              <w:t>Total</w:t>
            </w:r>
          </w:p>
        </w:tc>
      </w:tr>
      <w:tr>
        <w:trPr>
          <w:trHeight w:val="150"/>
        </w:trPr>
        <w:tc>
          <w:tcPr>
            <w:tcW w:w="36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Name</w:t>
            </w:r>
            <w:r>
              <w:rPr>
                <w:rFonts w:ascii="Times New Roman" w:cs="Times New Roman" w:eastAsia="Times New Roman" w:hAnsi="Times New Roman"/>
                <w:sz w:val="14"/>
                <w:szCs w:val="14"/>
                <w:b w:val="1"/>
                <w:bCs w:val="1"/>
                <w:color w:val="auto"/>
                <w:vertAlign w:val="superscript"/>
              </w:rPr>
              <w:t>(1)</w:t>
            </w:r>
          </w:p>
        </w:tc>
        <w:tc>
          <w:tcPr>
            <w:tcW w:w="2120" w:type="dxa"/>
            <w:vAlign w:val="bottom"/>
            <w:gridSpan w:val="2"/>
          </w:tcPr>
          <w:p>
            <w:pPr>
              <w:ind w:left="1920"/>
              <w:spacing w:after="0" w:line="130" w:lineRule="exact"/>
              <w:rPr>
                <w:sz w:val="20"/>
                <w:szCs w:val="20"/>
                <w:color w:val="auto"/>
              </w:rPr>
            </w:pPr>
            <w:r>
              <w:rPr>
                <w:rFonts w:ascii="Times New Roman" w:cs="Times New Roman" w:eastAsia="Times New Roman" w:hAnsi="Times New Roman"/>
                <w:sz w:val="12"/>
                <w:szCs w:val="12"/>
                <w:b w:val="1"/>
                <w:bCs w:val="1"/>
                <w:color w:val="auto"/>
              </w:rPr>
              <w:t>​ ​</w:t>
            </w:r>
          </w:p>
        </w:tc>
        <w:tc>
          <w:tcPr>
            <w:tcW w:w="58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10"/>
                <w:szCs w:val="10"/>
                <w:b w:val="1"/>
                <w:bCs w:val="1"/>
                <w:color w:val="auto"/>
                <w:vertAlign w:val="superscript"/>
              </w:rPr>
              <w:t>(4)</w:t>
            </w:r>
            <w:r>
              <w:rPr>
                <w:rFonts w:ascii="Times New Roman" w:cs="Times New Roman" w:eastAsia="Times New Roman" w:hAnsi="Times New Roman"/>
                <w:sz w:val="9"/>
                <w:szCs w:val="9"/>
                <w:b w:val="1"/>
                <w:bCs w:val="1"/>
                <w:color w:val="auto"/>
              </w:rPr>
              <w:t xml:space="preserve">    </w:t>
            </w:r>
            <w:r>
              <w:rPr>
                <w:rFonts w:ascii="Times New Roman" w:cs="Times New Roman" w:eastAsia="Times New Roman" w:hAnsi="Times New Roman"/>
                <w:sz w:val="15"/>
                <w:szCs w:val="15"/>
                <w:b w:val="1"/>
                <w:bCs w:val="1"/>
                <w:color w:val="auto"/>
                <w:vertAlign w:val="subscript"/>
              </w:rPr>
              <w:t>​ ​</w:t>
            </w:r>
          </w:p>
        </w:tc>
        <w:tc>
          <w:tcPr>
            <w:tcW w:w="40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9"/>
                <w:szCs w:val="9"/>
                <w:b w:val="1"/>
                <w:bCs w:val="1"/>
                <w:color w:val="auto"/>
              </w:rPr>
              <w:t xml:space="preserve">($)  </w:t>
            </w:r>
            <w:r>
              <w:rPr>
                <w:rFonts w:ascii="Times New Roman" w:cs="Times New Roman" w:eastAsia="Times New Roman" w:hAnsi="Times New Roman"/>
                <w:sz w:val="15"/>
                <w:szCs w:val="15"/>
                <w:b w:val="1"/>
                <w:bCs w:val="1"/>
                <w:color w:val="auto"/>
                <w:vertAlign w:val="subscript"/>
              </w:rPr>
              <w:t>​</w:t>
            </w: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36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5"/>
                <w:szCs w:val="15"/>
                <w:color w:val="auto"/>
              </w:rPr>
              <w:t>James Boylan</w:t>
            </w:r>
            <w:r>
              <w:rPr>
                <w:rFonts w:ascii="Times New Roman" w:cs="Times New Roman" w:eastAsia="Times New Roman" w:hAnsi="Times New Roman"/>
                <w:sz w:val="19"/>
                <w:szCs w:val="19"/>
                <w:color w:val="auto"/>
                <w:vertAlign w:val="superscript"/>
              </w:rPr>
              <w:t>(2)</w:t>
            </w:r>
          </w:p>
        </w:tc>
        <w:tc>
          <w:tcPr>
            <w:tcW w:w="212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Patrick Enright</w:t>
            </w:r>
            <w:r>
              <w:rPr>
                <w:rFonts w:ascii="Times New Roman" w:cs="Times New Roman" w:eastAsia="Times New Roman" w:hAnsi="Times New Roman"/>
                <w:sz w:val="19"/>
                <w:szCs w:val="19"/>
                <w:color w:val="auto"/>
                <w:vertAlign w:val="superscript"/>
              </w:rPr>
              <w:t>(2)</w:t>
            </w:r>
          </w:p>
        </w:tc>
        <w:tc>
          <w:tcPr>
            <w:tcW w:w="2120" w:type="dxa"/>
            <w:vAlign w:val="bottom"/>
            <w:gridSpan w:val="2"/>
          </w:tcPr>
          <w:p>
            <w:pPr>
              <w:ind w:left="19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58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Tomas Kiselak</w:t>
            </w:r>
            <w:r>
              <w:rPr>
                <w:rFonts w:ascii="Times New Roman" w:cs="Times New Roman" w:eastAsia="Times New Roman" w:hAnsi="Times New Roman"/>
                <w:sz w:val="19"/>
                <w:szCs w:val="19"/>
                <w:color w:val="auto"/>
                <w:vertAlign w:val="superscript"/>
              </w:rPr>
              <w:t>(2)</w:t>
            </w:r>
          </w:p>
        </w:tc>
        <w:tc>
          <w:tcPr>
            <w:tcW w:w="212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Hongbo Lu, Ph.D.</w:t>
            </w:r>
            <w:r>
              <w:rPr>
                <w:rFonts w:ascii="Times New Roman" w:cs="Times New Roman" w:eastAsia="Times New Roman" w:hAnsi="Times New Roman"/>
                <w:sz w:val="19"/>
                <w:szCs w:val="19"/>
                <w:color w:val="auto"/>
                <w:vertAlign w:val="superscript"/>
              </w:rPr>
              <w:t>(2)</w:t>
            </w:r>
          </w:p>
        </w:tc>
        <w:tc>
          <w:tcPr>
            <w:tcW w:w="2120" w:type="dxa"/>
            <w:vAlign w:val="bottom"/>
            <w:gridSpan w:val="2"/>
          </w:tcPr>
          <w:p>
            <w:pPr>
              <w:ind w:left="19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58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Marietta Wu, M.D., Ph.D.</w:t>
            </w:r>
            <w:r>
              <w:rPr>
                <w:rFonts w:ascii="Times New Roman" w:cs="Times New Roman" w:eastAsia="Times New Roman" w:hAnsi="Times New Roman"/>
                <w:sz w:val="19"/>
                <w:szCs w:val="19"/>
                <w:color w:val="auto"/>
                <w:vertAlign w:val="superscript"/>
              </w:rPr>
              <w:t>(2)</w:t>
            </w:r>
          </w:p>
        </w:tc>
        <w:tc>
          <w:tcPr>
            <w:tcW w:w="212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54"/>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John Orloff, M.D.</w:t>
            </w:r>
            <w:r>
              <w:rPr>
                <w:rFonts w:ascii="Times New Roman" w:cs="Times New Roman" w:eastAsia="Times New Roman" w:hAnsi="Times New Roman"/>
                <w:sz w:val="19"/>
                <w:szCs w:val="19"/>
                <w:color w:val="auto"/>
                <w:vertAlign w:val="superscript"/>
              </w:rPr>
              <w:t>(3)</w:t>
            </w:r>
          </w:p>
        </w:tc>
        <w:tc>
          <w:tcPr>
            <w:tcW w:w="3100" w:type="dxa"/>
            <w:vAlign w:val="bottom"/>
            <w:gridSpan w:val="7"/>
          </w:tcPr>
          <w:p>
            <w:pPr>
              <w:jc w:val="right"/>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80,102​​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80,102​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69215</wp:posOffset>
            </wp:positionV>
            <wp:extent cx="446405"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81" w:lineRule="exact"/>
        <w:rPr>
          <w:sz w:val="20"/>
          <w:szCs w:val="20"/>
          <w:color w:val="auto"/>
        </w:rPr>
      </w:pPr>
    </w:p>
    <w:p>
      <w:pPr>
        <w:ind w:left="1460" w:right="1179" w:hanging="296"/>
        <w:spacing w:after="0" w:line="250" w:lineRule="auto"/>
        <w:tabs>
          <w:tab w:leader="none" w:pos="146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Allen became a director in February 2024 and Messrs. Nunn and Xiao became directors in May 2024 and therefore did not receive any compensation during the year ended December 31, 2023.</w:t>
      </w:r>
    </w:p>
    <w:p>
      <w:pPr>
        <w:spacing w:after="0" w:line="31"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Messrs. Boylan, Enright and Kiselak, and Drs. Lu and Wu, have not received compensation in respect of their service as members of our board of directors. As of May 2024, Dr. Wu ceased to be a member of our board of directors.</w:t>
      </w:r>
    </w:p>
    <w:p>
      <w:pPr>
        <w:spacing w:after="0" w:line="31"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2023, Dr. Orloff has options to purchase 150,000 shares of our common stock. Dr. Orloff received a grant to purchase 50,000 shares of our common stock on March 11, 2022 and a grant to purchase 100,000 shares of our common stock on February 21, 2023.</w:t>
      </w:r>
    </w:p>
    <w:p>
      <w:pPr>
        <w:spacing w:after="0" w:line="36" w:lineRule="exact"/>
        <w:rPr>
          <w:rFonts w:ascii="Times New Roman" w:cs="Times New Roman" w:eastAsia="Times New Roman" w:hAnsi="Times New Roman"/>
          <w:sz w:val="12"/>
          <w:szCs w:val="12"/>
          <w:color w:val="auto"/>
        </w:rPr>
      </w:pPr>
    </w:p>
    <w:p>
      <w:pPr>
        <w:jc w:val="both"/>
        <w:ind w:left="1460" w:right="1179" w:hanging="296"/>
        <w:spacing w:after="0" w:line="237" w:lineRule="auto"/>
        <w:tabs>
          <w:tab w:leader="none" w:pos="146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shown in this column represents the grant date fair value of an option to purchase 100,000 shares of our common stock granted to Dr. Orloff in fiscal year 2023, computed in accordance with FASB ASC Topic 718, excluding the effect of estimated forfeitures. The assumptions used to value the options for this purpose are set forth in Note 12 to our consolidated financial statements included elsewhere in this prospectus.</w:t>
      </w:r>
    </w:p>
    <w:p>
      <w:pPr>
        <w:spacing w:after="0" w:line="10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Outstanding equity awards held by our non-employee directors are subject to the terms of our 2020 Plan, as described in the section titled “Executive Compensation Arrangements—Equity Incentive Plans— 2020 Equity Incentive Plan.”</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Post-IPO Non-Employee Director Compensation Policy</w:t>
      </w:r>
    </w:p>
    <w:p>
      <w:pPr>
        <w:spacing w:after="0" w:line="11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connection with this offering, we expect to adopt a non-employee director compensation policy which will cover non-employee members of our board of directors. The following summary describes the material terms of the non-employee director compensation policy.</w:t>
      </w:r>
    </w:p>
    <w:p>
      <w:pPr>
        <w:spacing w:after="0" w:line="8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 xml:space="preserve">Under the non-employee director compensation policy and following this offering, each covered non-employee director’s compensation will consist of a cash retainer and an equity incentive award. The aggregate value of all compensation payable, the cash retainer and equity award value combined, for our lead independent director and for each non -employee director for his or her first year of service will not exceed $            annually, and to each of our other non-employee directors will not exceed $           </w:t>
      </w:r>
    </w:p>
    <w:p>
      <w:pPr>
        <w:spacing w:after="0" w:line="2"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annually. The non-employee director compensation for Fiscal Year 2024 and for future years until our board of directors modifies the non-employee director compensation policy is described below.</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2" w:name="page183"/>
    <w:bookmarkEnd w:id="18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cash retainer will be as follows:</w:t>
      </w:r>
    </w:p>
    <w:p>
      <w:pPr>
        <w:spacing w:after="0" w:line="102" w:lineRule="exact"/>
        <w:rPr>
          <w:sz w:val="20"/>
          <w:szCs w:val="20"/>
          <w:color w:val="auto"/>
        </w:rPr>
      </w:pPr>
    </w:p>
    <w:p>
      <w:pPr>
        <w:ind w:left="1600" w:right="1179" w:hanging="143"/>
        <w:spacing w:after="0" w:line="269" w:lineRule="auto"/>
        <w:tabs>
          <w:tab w:leader="none" w:pos="160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covered non-employee director will receive an annual cash retainer of $40,000 (and an additional cash retainer of $30,000 for the lead independent director);</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covered non-employee director who is a member of the audit committee will receive an additional annual cash retainer of $7,500 ($15,000 for the audit committee chair);</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covered non-employee director who is a member of the compensation committee will receive an additional annual cash retainer of $5,000 ($10,000 for our compensation committee chair); and</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covered non-employee director who is a member of the nominating and corporate governance committee will receive an additional annual cash retainer of $4,000 ($8,000 for the nominating and corporate governance committee chair).</w:t>
      </w:r>
    </w:p>
    <w:p>
      <w:pPr>
        <w:spacing w:after="0" w:line="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equity incentives will be as follows:</w:t>
      </w:r>
    </w:p>
    <w:p>
      <w:pPr>
        <w:spacing w:after="0" w:line="91" w:lineRule="exact"/>
        <w:rPr>
          <w:sz w:val="20"/>
          <w:szCs w:val="20"/>
          <w:color w:val="auto"/>
        </w:rPr>
      </w:pPr>
    </w:p>
    <w:p>
      <w:pPr>
        <w:jc w:val="both"/>
        <w:ind w:left="1600" w:right="1179" w:hanging="143"/>
        <w:spacing w:after="0" w:line="262" w:lineRule="auto"/>
        <w:tabs>
          <w:tab w:leader="none" w:pos="160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covered non-employee director, who was not first elected or appointed during the applicable fiscal year, will annually be granted a stock option to purchase             shares of our common stock; and</w:t>
      </w:r>
    </w:p>
    <w:p>
      <w:pPr>
        <w:spacing w:after="0" w:line="249"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covered non-employee director who is first elected or appointed to our board of directors after the completion of this offering will be granted a stock option to purchase             shares of our common stock.</w:t>
      </w:r>
    </w:p>
    <w:p>
      <w:pPr>
        <w:spacing w:after="0" w:line="83"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stock options granted to our non-employee directors will have a per share exercise price equal to the closing price of a share of our common stock on the date of grant (or if no closing price is reported on that date, the closing price on the immediately preceding date on which a closing price was reported) and will expire not later than ten years after the date of grant. The annual stock options granted to our covered non-employee directors will vest as to 100% of the shares underlying the stock option on the earlier of the one-year anniversary of the date of grant or the day prior to the next annual meeting for a non-employee director who resigns his or her position as a member of our board of directors, subject to the director’s continued service on our board of directors. The stock option granted to a covered non-employee director upon his or her initial election to our board of directors will vest as to one-third of the shares underlying the stock option on each of the first three anniversaries of the date of grant, subject to such director’s continued service on our board of directors through the applicable vesting dates.</w:t>
      </w:r>
    </w:p>
    <w:p>
      <w:pPr>
        <w:spacing w:after="0" w:line="102"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All cash retainers will be paid quarterly, in arrears, or upon the earlier resignation or removal of the non-employee director. For the calendar quarter during which this offering occurs, all annual cash retainers will be prorated based on the number of calendar days the non-employee director was a member of our board of directors following this offering.</w:t>
      </w:r>
    </w:p>
    <w:p>
      <w:pPr>
        <w:spacing w:after="0" w:line="10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Each director is entitled to reimbursement for reasonable travel and other expenses incurred in connection with attending meetings of our board of directors and any committee on which he or she serves.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Limitations on Liability and Indemnification</w:t>
      </w:r>
    </w:p>
    <w:p>
      <w:pPr>
        <w:spacing w:after="0" w:line="11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Our Restated Charter, which will become effective immediately prior to the completion of this offering, will contain provisions that limit the liability of our current and former directors and officers for monetary damages to the fullest extent permitted by Delaware law. Delaware law provides that directors and officers of a corporation will not be personally liable for monetary damages for any breach of fiduciary duties as directors or officers, except liability for:</w:t>
      </w:r>
    </w:p>
    <w:p>
      <w:pPr>
        <w:spacing w:after="0" w:line="68" w:lineRule="exact"/>
        <w:rPr>
          <w:sz w:val="20"/>
          <w:szCs w:val="20"/>
          <w:color w:val="auto"/>
        </w:rPr>
      </w:pPr>
    </w:p>
    <w:p>
      <w:pPr>
        <w:ind w:left="1600" w:hanging="143"/>
        <w:spacing w:after="0"/>
        <w:tabs>
          <w:tab w:leader="none" w:pos="160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breach of the director’s or officer’s duty of loyalty to the corporation or its stockholders;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 or omission not in good faith or that involves intentional misconduct or a knowing violation of law;</w:t>
      </w:r>
    </w:p>
    <w:p>
      <w:pPr>
        <w:spacing w:after="0" w:line="63"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director, unlawful payments of dividends or unlawful stock repurchases or redemptions;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an officer, derivative claims brought on behalf of the corporation by a stockholder; or</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from which the director or officer derived an improper personal benefit.</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3" w:name="page184"/>
    <w:bookmarkEnd w:id="18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Such limitation of liability does not apply to liabilities arising under federal securities laws and does not affect the availability of equitable remedies such as injunctive relief or rescission.</w:t>
      </w:r>
    </w:p>
    <w:p>
      <w:pPr>
        <w:spacing w:after="0" w:line="8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Our Restated Charter will authorize us to indemnify our directors, officers, employees and other agents to the fullest extent permitted by Delaware law. Our Restated Bylaws will provide that we are required to indemnify our directors and officers to the fullest extent permitted by Delaware law and may indemnify our other employees and agents. Our Restated Bylaws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w:t>
      </w:r>
    </w:p>
    <w:p>
      <w:pPr>
        <w:spacing w:after="0" w:line="109"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We believe that these Restated Charter and Restated Bylaw provisions and indemnification agreements are necessary to attract and retain qualified persons as directors and officers. We also maintain customary directors’ and officers’ liability insurance.</w:t>
      </w:r>
    </w:p>
    <w:p>
      <w:pPr>
        <w:spacing w:after="0" w:line="8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limitation of liability and indemnification provisions in our Restated Charter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02"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Rule 10b5-1 Plans</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Our directors, officers and key employees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4" w:name="page185"/>
    <w:bookmarkEnd w:id="184"/>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CERTAIN RELATIONSHIPS AND RELATED PERSON TRANSACTIONS</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following is a summary of transactions since January 1, 2021, to which we have been a party in which the amount involved exceeded the lesser of (i) $120,000 or (ii) one percent of the average of our total assets at year end for the last two completed fiscal years, and in which any of our executive officers, directors, promoters or beneficial holders of more than 5% of our capital stock had or will have a direct or indirect material interest, other than compensation arrangements which are described under the section of this prospectus captioned “Executive and Director Compensation.” We believe the terms obtained or consideration that we paid or received, as applicable, in connection with the transactions described below were comparable to terms available or the amounts that would be paid or received, as applicable, in arm’s-length transactions with unrelated third parties.</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Private Placements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Warrant to Xencor, Inc.</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May 2021, we entered into the 2021 Xencor Agreement pursuant to which Xencor agreed to grant us a license to develop, manufacture and commercialize obexelimab. In consideration of the license, we agreed to issue to Xencor a certain number of shares of our convertible preferred stock (the “Xencor Equity Consideration”) concurrently with a future equity financing transaction. We also agreed to make certain milestone payments upon the achievement of certain development, regulatory and sales milestones. Xencor holds more than 5% of our capital stock. See the section titled “Business—License Agreements—License Agreements with Xencor, Inc.” for further information on the material terms of our license agreement with Xencor.</w:t>
      </w:r>
    </w:p>
    <w:p>
      <w:pPr>
        <w:spacing w:after="0" w:line="90"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In November 2021, we amended the 2021 Xencor Agreement and, pursuant to such amendment, we issued to Xencor the Xencor Warrant, in lieu of the issuance of the Xencor Equity Consideration. In November 2022, the Xencor Warrant was exercised for 14,441,793 shares of our Series B Preferred Stock. Each share of our Series B Preferred Stock will convert into one share of our common stock immediately prior to the completion of this offering.</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Convertible Promissory Notes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November 2021, we entered into the 2021 Notes, in an aggregate principal amount of $58.0 million. Each 2021 Note had a maturity date of May 19, 2023 and accrued interest at a rate of 8.0% per annum. The terms of the 2021 Notes provided for automatic conversion into shares of our convertible preferred stock upon a qualified financing and optional conversion upon a non-qualified financing. The following table summarizes the 2021 Notes purchased by our directors, executive officers and beneficial holders of more than 5% of our capital stock:</w:t>
      </w:r>
    </w:p>
    <w:p>
      <w:pPr>
        <w:sectPr>
          <w:pgSz w:w="11900" w:h="16838" w:orient="portrait"/>
          <w:cols w:equalWidth="0" w:num="1">
            <w:col w:w="9019"/>
          </w:cols>
          <w:pgMar w:left="1440" w:top="98" w:right="1440" w:bottom="1440" w:gutter="0" w:footer="0" w:header="0"/>
        </w:sectPr>
      </w:pPr>
    </w:p>
    <w:p>
      <w:pPr>
        <w:spacing w:after="0" w:line="3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15240</wp:posOffset>
            </wp:positionV>
            <wp:extent cx="4241800" cy="1536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241800" cy="153670"/>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Tellus BioVentures, LLC</w:t>
      </w:r>
      <w:r>
        <w:rPr>
          <w:rFonts w:ascii="Times New Roman" w:cs="Times New Roman" w:eastAsia="Times New Roman" w:hAnsi="Times New Roman"/>
          <w:sz w:val="19"/>
          <w:szCs w:val="19"/>
          <w:color w:val="auto"/>
          <w:vertAlign w:val="superscript"/>
        </w:rPr>
        <w:t>(1)</w:t>
      </w:r>
    </w:p>
    <w:p>
      <w:pPr>
        <w:spacing w:after="0" w:line="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Entities affiliated with Fairmount Funds Management LLC</w:t>
      </w:r>
      <w:r>
        <w:rPr>
          <w:rFonts w:ascii="Times New Roman" w:cs="Times New Roman" w:eastAsia="Times New Roman" w:hAnsi="Times New Roman"/>
          <w:sz w:val="19"/>
          <w:szCs w:val="1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-7620</wp:posOffset>
            </wp:positionV>
            <wp:extent cx="4241800" cy="132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Xencor, Inc.</w:t>
      </w:r>
    </w:p>
    <w:p>
      <w:pPr>
        <w:spacing w:after="0" w:line="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Quan Venture Fund II, L.P.</w:t>
      </w:r>
      <w:r>
        <w:rPr>
          <w:rFonts w:ascii="Times New Roman" w:cs="Times New Roman" w:eastAsia="Times New Roman" w:hAnsi="Times New Roman"/>
          <w:sz w:val="19"/>
          <w:szCs w:val="1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102870</wp:posOffset>
            </wp:positionV>
            <wp:extent cx="446405"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60" w:type="dxa"/>
            <w:vAlign w:val="bottom"/>
          </w:tcPr>
          <w:p>
            <w:pPr>
              <w:spacing w:after="0"/>
              <w:rPr>
                <w:sz w:val="12"/>
                <w:szCs w:val="12"/>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Aggregate Principal Amount of</w:t>
            </w:r>
          </w:p>
        </w:tc>
        <w:tc>
          <w:tcPr>
            <w:tcW w:w="60" w:type="dxa"/>
            <w:vAlign w:val="bottom"/>
          </w:tcPr>
          <w:p>
            <w:pPr>
              <w:spacing w:after="0"/>
              <w:rPr>
                <w:sz w:val="12"/>
                <w:szCs w:val="12"/>
                <w:color w:val="auto"/>
              </w:rPr>
            </w:pPr>
          </w:p>
        </w:tc>
      </w:tr>
      <w:tr>
        <w:trPr>
          <w:trHeight w:val="132"/>
        </w:trPr>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Convertible Notes</w:t>
            </w:r>
          </w:p>
        </w:tc>
        <w:tc>
          <w:tcPr>
            <w:tcW w:w="60" w:type="dxa"/>
            <w:vAlign w:val="bottom"/>
          </w:tcPr>
          <w:p>
            <w:pPr>
              <w:spacing w:after="0"/>
              <w:rPr>
                <w:sz w:val="11"/>
                <w:szCs w:val="11"/>
                <w:color w:val="auto"/>
              </w:rPr>
            </w:pPr>
          </w:p>
        </w:tc>
      </w:tr>
      <w:tr>
        <w:trPr>
          <w:trHeight w:val="162"/>
        </w:trPr>
        <w:tc>
          <w:tcPr>
            <w:tcW w:w="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85"/>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44"/>
        </w:trPr>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1"/>
                <w:szCs w:val="21"/>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t>
            </w:r>
            <w:r>
              <w:rPr>
                <w:rFonts w:ascii="Times New Roman" w:cs="Times New Roman" w:eastAsia="Times New Roman" w:hAnsi="Times New Roman"/>
                <w:sz w:val="15"/>
                <w:szCs w:val="15"/>
                <w:color w:val="auto"/>
                <w:w w:val="99"/>
              </w:rPr>
              <w:t>5,000,000</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7"/>
        </w:trPr>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t>
            </w:r>
            <w:r>
              <w:rPr>
                <w:rFonts w:ascii="Times New Roman" w:cs="Times New Roman" w:eastAsia="Times New Roman" w:hAnsi="Times New Roman"/>
                <w:sz w:val="15"/>
                <w:szCs w:val="15"/>
                <w:color w:val="auto"/>
                <w:w w:val="99"/>
              </w:rPr>
              <w:t>5,000,000</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2"/>
        </w:trPr>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t>
            </w:r>
            <w:r>
              <w:rPr>
                <w:rFonts w:ascii="Times New Roman" w:cs="Times New Roman" w:eastAsia="Times New Roman" w:hAnsi="Times New Roman"/>
                <w:sz w:val="15"/>
                <w:szCs w:val="15"/>
                <w:color w:val="auto"/>
                <w:w w:val="99"/>
              </w:rPr>
              <w:t>5,000,000</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t>
            </w:r>
            <w:r>
              <w:rPr>
                <w:rFonts w:ascii="Times New Roman" w:cs="Times New Roman" w:eastAsia="Times New Roman" w:hAnsi="Times New Roman"/>
                <w:sz w:val="15"/>
                <w:szCs w:val="15"/>
                <w:color w:val="auto"/>
                <w:w w:val="99"/>
              </w:rPr>
              <w:t>3,000,000</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200" w:lineRule="exact"/>
        <w:rPr>
          <w:sz w:val="20"/>
          <w:szCs w:val="20"/>
          <w:color w:val="auto"/>
        </w:rPr>
      </w:pPr>
    </w:p>
    <w:p>
      <w:pPr>
        <w:sectPr>
          <w:pgSz w:w="11900" w:h="16838" w:orient="portrait"/>
          <w:cols w:equalWidth="0" w:num="2">
            <w:col w:w="5420" w:space="720"/>
            <w:col w:w="2879"/>
          </w:cols>
          <w:pgMar w:left="1440" w:top="98" w:right="1440" w:bottom="1440" w:gutter="0" w:footer="0" w:header="0"/>
          <w:type w:val="continuous"/>
        </w:sectPr>
      </w:pPr>
    </w:p>
    <w:p>
      <w:pPr>
        <w:spacing w:after="0" w:line="35" w:lineRule="exact"/>
        <w:rPr>
          <w:sz w:val="20"/>
          <w:szCs w:val="20"/>
          <w:color w:val="auto"/>
        </w:rPr>
      </w:pPr>
    </w:p>
    <w:p>
      <w:pPr>
        <w:jc w:val="both"/>
        <w:ind w:left="1460" w:right="1179" w:hanging="296"/>
        <w:spacing w:after="0"/>
        <w:tabs>
          <w:tab w:leader="none" w:pos="146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Moulder, our chief executive officer and a member of our board of directors, is the Managing Member of Tellus BioVentures, LLC and as a result may be deemed to share voting and investment power with respect to the shares held by Tellus BioVentures, LLC. Tellus BioVentures, LLC holds more than 5% of our capital stock.</w:t>
      </w:r>
    </w:p>
    <w:p>
      <w:pPr>
        <w:spacing w:after="0" w:line="36" w:lineRule="exact"/>
        <w:rPr>
          <w:rFonts w:ascii="Times New Roman" w:cs="Times New Roman" w:eastAsia="Times New Roman" w:hAnsi="Times New Roman"/>
          <w:sz w:val="12"/>
          <w:szCs w:val="12"/>
          <w:color w:val="auto"/>
        </w:rPr>
      </w:pPr>
    </w:p>
    <w:p>
      <w:pPr>
        <w:jc w:val="both"/>
        <w:ind w:left="1460" w:right="1179" w:hanging="296"/>
        <w:spacing w:after="0" w:line="237" w:lineRule="auto"/>
        <w:tabs>
          <w:tab w:leader="none" w:pos="146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Kiselak, a member of our board of directors, serves as Managing Member and Founder of Fairmount Funds Management LLC and as a result may be deemed to share voting and investment power with respect to the shares held by Fairmount Funds Management LLC and its affiliates. Entities related to Fairmount Funds Management LLC hold an aggregate of more than 5% of our capital stock.</w:t>
      </w:r>
    </w:p>
    <w:p>
      <w:pPr>
        <w:spacing w:after="0" w:line="48"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Wu, a member of our board of directors until May 2024, is Managing Director of Quan Capital, an entity affiliated with Quan Venture Fund II, L.P., and as a result may be deemed to share voting and investment power with respect to the shares held by Quan Venture Fund II, L.P. Quan Venture Fund II, L.P. holds more than 5% of our capital stock.</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85" w:name="page186"/>
    <w:bookmarkEnd w:id="18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In November 2022, all of the 2021 Notes were converted in connection with the issuance and sale of our Series B Preferred Stock into an aggregate of 37,471,107 shares of our Series B Preferred Stock at a conversion price representing a 30% discount to the Series B Preferred Stock purchase price (the “Conversion Discount”). Each share of our Series B Preferred Stock will convert into one share of our common stock immediately prior to the completion of this offering.</w:t>
      </w:r>
    </w:p>
    <w:p>
      <w:pPr>
        <w:spacing w:after="0" w:line="94"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In connection with the issuance of the 2021 Notes, we also entered into a side letter with Xencor (the “Xencor Side Letter”), agreeing that any shares of convertible preferred stock issued in connection with the conversion of Xencor’s 2021 Note would have certain preferred rights substantially similar to those provided to other preferred stockholders of ours. The Xencor Side Letter will terminate upon the completion of this offering.</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Series B Preferred Stock Financing</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November 2022, we entered into a Series B Preferred Stock subscription agreement pursuant to which we issued an aggregate of 77,052,632 shares of our Series B Preferred Stock at a purchase price of $2.38666 per share. Where applicable, the payment of the purchase price consisted of or included the conversion of the 2021 Notes at the Conversion Discount and the exercise of the Xencor Warrant at an exercise price of $0.0001 per share. Each share of our Series B Preferred Stock will convert into one share of our common stock immediately prior to the completion of this offering. The following table summarizes the Series B Preferred Stock issued to our directors, executive officers and beneficial holders of more than 5% of our capital stock:</w:t>
      </w:r>
    </w:p>
    <w:p>
      <w:pPr>
        <w:spacing w:after="0" w:line="276"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Aggregate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Aggregate Price</w:t>
            </w:r>
          </w:p>
        </w:tc>
        <w:tc>
          <w:tcPr>
            <w:tcW w:w="40" w:type="dxa"/>
            <w:vAlign w:val="bottom"/>
          </w:tcPr>
          <w:p>
            <w:pPr>
              <w:spacing w:after="0"/>
              <w:rPr>
                <w:sz w:val="12"/>
                <w:szCs w:val="12"/>
                <w:color w:val="auto"/>
              </w:rPr>
            </w:pPr>
          </w:p>
        </w:tc>
      </w:tr>
      <w:tr>
        <w:trPr>
          <w:trHeight w:val="132"/>
        </w:trPr>
        <w:tc>
          <w:tcPr>
            <w:tcW w:w="5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5"/>
          </w:tcPr>
          <w:p>
            <w:pPr>
              <w:jc w:val="center"/>
              <w:ind w:right="129"/>
              <w:spacing w:after="0" w:line="132" w:lineRule="exact"/>
              <w:rPr>
                <w:sz w:val="20"/>
                <w:szCs w:val="20"/>
                <w:color w:val="auto"/>
              </w:rPr>
            </w:pPr>
            <w:r>
              <w:rPr>
                <w:rFonts w:ascii="Times New Roman" w:cs="Times New Roman" w:eastAsia="Times New Roman" w:hAnsi="Times New Roman"/>
                <w:sz w:val="12"/>
                <w:szCs w:val="12"/>
                <w:b w:val="1"/>
                <w:bCs w:val="1"/>
                <w:color w:val="auto"/>
                <w:w w:val="91"/>
              </w:rPr>
              <w:t>Purchase Price of</w:t>
            </w:r>
          </w:p>
        </w:tc>
        <w:tc>
          <w:tcPr>
            <w:tcW w:w="20" w:type="dxa"/>
            <w:vAlign w:val="bottom"/>
          </w:tcPr>
          <w:p>
            <w:pPr>
              <w:spacing w:after="0"/>
              <w:rPr>
                <w:sz w:val="11"/>
                <w:szCs w:val="11"/>
                <w:color w:val="auto"/>
              </w:rPr>
            </w:pPr>
          </w:p>
        </w:tc>
        <w:tc>
          <w:tcPr>
            <w:tcW w:w="6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6"/>
              </w:rPr>
              <w:t>of Shares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2"/>
        </w:trPr>
        <w:tc>
          <w:tcPr>
            <w:tcW w:w="5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Shares of Series B</w:t>
            </w:r>
          </w:p>
        </w:tc>
        <w:tc>
          <w:tcPr>
            <w:tcW w:w="200" w:type="dxa"/>
            <w:vAlign w:val="bottom"/>
          </w:tcPr>
          <w:p>
            <w:pPr>
              <w:spacing w:after="0"/>
              <w:rPr>
                <w:sz w:val="11"/>
                <w:szCs w:val="11"/>
                <w:color w:val="auto"/>
              </w:rPr>
            </w:pPr>
          </w:p>
        </w:tc>
        <w:tc>
          <w:tcPr>
            <w:tcW w:w="1060" w:type="dxa"/>
            <w:vAlign w:val="bottom"/>
            <w:gridSpan w:val="5"/>
          </w:tcPr>
          <w:p>
            <w:pPr>
              <w:jc w:val="center"/>
              <w:ind w:right="129"/>
              <w:spacing w:after="0" w:line="132" w:lineRule="exact"/>
              <w:rPr>
                <w:sz w:val="20"/>
                <w:szCs w:val="20"/>
                <w:color w:val="auto"/>
              </w:rPr>
            </w:pPr>
            <w:r>
              <w:rPr>
                <w:rFonts w:ascii="Times New Roman" w:cs="Times New Roman" w:eastAsia="Times New Roman" w:hAnsi="Times New Roman"/>
                <w:sz w:val="12"/>
                <w:szCs w:val="12"/>
                <w:b w:val="1"/>
                <w:bCs w:val="1"/>
                <w:color w:val="auto"/>
                <w:w w:val="93"/>
              </w:rPr>
              <w:t>Shares Purchased</w:t>
            </w:r>
          </w:p>
        </w:tc>
        <w:tc>
          <w:tcPr>
            <w:tcW w:w="20" w:type="dxa"/>
            <w:vAlign w:val="bottom"/>
          </w:tcPr>
          <w:p>
            <w:pPr>
              <w:spacing w:after="0"/>
              <w:rPr>
                <w:sz w:val="11"/>
                <w:szCs w:val="11"/>
                <w:color w:val="auto"/>
              </w:rPr>
            </w:pPr>
          </w:p>
        </w:tc>
        <w:tc>
          <w:tcPr>
            <w:tcW w:w="6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Converted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1"/>
              </w:rPr>
              <w:t>Purchaser</w:t>
            </w:r>
          </w:p>
        </w:tc>
        <w:tc>
          <w:tcPr>
            <w:tcW w:w="296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Preferred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85"/>
              </w:rPr>
              <w:t>($)</w:t>
            </w:r>
          </w:p>
        </w:tc>
        <w:tc>
          <w:tcPr>
            <w:tcW w:w="80" w:type="dxa"/>
            <w:vAlign w:val="bottom"/>
            <w:tcBorders>
              <w:bottom w:val="single" w:sz="8" w:color="auto"/>
            </w:tcBorders>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3"/>
                <w:szCs w:val="13"/>
                <w:color w:val="auto"/>
              </w:rPr>
            </w:pPr>
          </w:p>
        </w:tc>
        <w:tc>
          <w:tcPr>
            <w:tcW w:w="68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 w:type="dxa"/>
            <w:vAlign w:val="bottom"/>
            <w:tcBorders>
              <w:bottom w:val="single" w:sz="8" w:color="auto"/>
            </w:tcBorders>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31"/>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Enavate Sciences</w:t>
            </w:r>
            <w:r>
              <w:rPr>
                <w:rFonts w:ascii="Times New Roman" w:cs="Times New Roman" w:eastAsia="Times New Roman" w:hAnsi="Times New Roman"/>
                <w:sz w:val="19"/>
                <w:szCs w:val="19"/>
                <w:color w:val="auto"/>
                <w:vertAlign w:val="superscript"/>
              </w:rPr>
              <w:t>(1)</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10,474,889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24,999,999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3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Longitude Venture Partner IV, L.P.</w:t>
            </w:r>
            <w:r>
              <w:rPr>
                <w:rFonts w:ascii="Times New Roman" w:cs="Times New Roman" w:eastAsia="Times New Roman" w:hAnsi="Times New Roman"/>
                <w:sz w:val="19"/>
                <w:szCs w:val="19"/>
                <w:color w:val="auto"/>
                <w:vertAlign w:val="superscript"/>
              </w:rPr>
              <w:t>(2)</w:t>
            </w:r>
          </w:p>
        </w:tc>
        <w:tc>
          <w:tcPr>
            <w:tcW w:w="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6,284,933</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14,999,999</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69"/>
        </w:trPr>
        <w:tc>
          <w:tcPr>
            <w:tcW w:w="34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Entities affiliated with Fairmount Funds Management</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27"/>
        </w:trPr>
        <w:tc>
          <w:tcPr>
            <w:tcW w:w="3460" w:type="dxa"/>
            <w:vAlign w:val="bottom"/>
            <w:gridSpan w:val="2"/>
            <w:shd w:val="clear" w:color="auto" w:fill="CCEEFF"/>
          </w:tcPr>
          <w:p>
            <w:pPr>
              <w:ind w:left="160"/>
              <w:spacing w:after="0" w:line="226" w:lineRule="exact"/>
              <w:rPr>
                <w:sz w:val="20"/>
                <w:szCs w:val="20"/>
                <w:color w:val="auto"/>
              </w:rPr>
            </w:pPr>
            <w:r>
              <w:rPr>
                <w:rFonts w:ascii="Times New Roman" w:cs="Times New Roman" w:eastAsia="Times New Roman" w:hAnsi="Times New Roman"/>
                <w:sz w:val="26"/>
                <w:szCs w:val="26"/>
                <w:color w:val="auto"/>
                <w:vertAlign w:val="subscript"/>
              </w:rPr>
              <w:t>LLC</w:t>
            </w:r>
            <w:r>
              <w:rPr>
                <w:rFonts w:ascii="Times New Roman" w:cs="Times New Roman" w:eastAsia="Times New Roman" w:hAnsi="Times New Roman"/>
                <w:sz w:val="9"/>
                <w:szCs w:val="9"/>
                <w:color w:val="auto"/>
              </w:rPr>
              <w:t>(3)</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6,163,236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w w:val="93"/>
              </w:rPr>
              <w:t>7,000,000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w w:val="96"/>
              </w:rPr>
              <w:t>​</w:t>
            </w:r>
            <w:r>
              <w:rPr>
                <w:rFonts w:ascii="Times New Roman" w:cs="Times New Roman" w:eastAsia="Times New Roman" w:hAnsi="Times New Roman"/>
                <w:sz w:val="15"/>
                <w:szCs w:val="15"/>
                <w:color w:val="auto"/>
                <w:w w:val="96"/>
              </w:rPr>
              <w:t>5,000,000</w:t>
            </w:r>
          </w:p>
        </w:tc>
        <w:tc>
          <w:tcPr>
            <w:tcW w:w="10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3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Vivo Innovation Funds II Holdings, L.P.</w:t>
            </w:r>
            <w:r>
              <w:rPr>
                <w:rFonts w:ascii="Times New Roman" w:cs="Times New Roman" w:eastAsia="Times New Roman" w:hAnsi="Times New Roman"/>
                <w:sz w:val="19"/>
                <w:szCs w:val="19"/>
                <w:color w:val="auto"/>
                <w:vertAlign w:val="superscript"/>
              </w:rPr>
              <w:t>(4)</w:t>
            </w:r>
          </w:p>
        </w:tc>
        <w:tc>
          <w:tcPr>
            <w:tcW w:w="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4,189,955</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93"/>
              </w:rPr>
              <w:t>9,999,998</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Tellus BioVentures LLC</w:t>
            </w:r>
            <w:r>
              <w:rPr>
                <w:rFonts w:ascii="Times New Roman" w:cs="Times New Roman" w:eastAsia="Times New Roman" w:hAnsi="Times New Roman"/>
                <w:sz w:val="19"/>
                <w:szCs w:val="19"/>
                <w:color w:val="auto"/>
                <w:vertAlign w:val="superscript"/>
              </w:rPr>
              <w:t>(5)</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3,230,268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w w:val="96"/>
              </w:rPr>
              <w:t>​</w:t>
            </w:r>
            <w:r>
              <w:rPr>
                <w:rFonts w:ascii="Times New Roman" w:cs="Times New Roman" w:eastAsia="Times New Roman" w:hAnsi="Times New Roman"/>
                <w:sz w:val="15"/>
                <w:szCs w:val="15"/>
                <w:color w:val="auto"/>
                <w:w w:val="96"/>
              </w:rPr>
              <w:t>5,000,000</w:t>
            </w:r>
          </w:p>
        </w:tc>
        <w:tc>
          <w:tcPr>
            <w:tcW w:w="10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3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Xencor, Inc.</w:t>
            </w:r>
          </w:p>
        </w:tc>
        <w:tc>
          <w:tcPr>
            <w:tcW w:w="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17,672,061</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w w:val="96"/>
              </w:rPr>
              <w:t>​</w:t>
            </w:r>
            <w:r>
              <w:rPr>
                <w:rFonts w:ascii="Times New Roman" w:cs="Times New Roman" w:eastAsia="Times New Roman" w:hAnsi="Times New Roman"/>
                <w:sz w:val="15"/>
                <w:szCs w:val="15"/>
                <w:color w:val="auto"/>
                <w:w w:val="96"/>
              </w:rPr>
              <w:t>5,000,000</w:t>
            </w:r>
          </w:p>
        </w:tc>
        <w:tc>
          <w:tcPr>
            <w:tcW w:w="1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Quan Venture Fund II, L.P.</w:t>
            </w:r>
            <w:r>
              <w:rPr>
                <w:rFonts w:ascii="Times New Roman" w:cs="Times New Roman" w:eastAsia="Times New Roman" w:hAnsi="Times New Roman"/>
                <w:sz w:val="19"/>
                <w:szCs w:val="19"/>
                <w:color w:val="auto"/>
                <w:vertAlign w:val="superscript"/>
              </w:rPr>
              <w:t>(6)</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1,938,160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w w:val="96"/>
              </w:rPr>
              <w:t>​</w:t>
            </w:r>
            <w:r>
              <w:rPr>
                <w:rFonts w:ascii="Times New Roman" w:cs="Times New Roman" w:eastAsia="Times New Roman" w:hAnsi="Times New Roman"/>
                <w:sz w:val="15"/>
                <w:szCs w:val="15"/>
                <w:color w:val="auto"/>
                <w:w w:val="96"/>
              </w:rPr>
              <w:t>3,000,000</w:t>
            </w:r>
          </w:p>
        </w:tc>
        <w:tc>
          <w:tcPr>
            <w:tcW w:w="10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3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Leon O. Moulder, Jr.</w:t>
            </w:r>
          </w:p>
        </w:tc>
        <w:tc>
          <w:tcPr>
            <w:tcW w:w="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418,996</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93"/>
              </w:rPr>
              <w:t>1,000,001</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83820</wp:posOffset>
            </wp:positionV>
            <wp:extent cx="44640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4" w:lineRule="exact"/>
        <w:rPr>
          <w:sz w:val="20"/>
          <w:szCs w:val="20"/>
          <w:color w:val="auto"/>
        </w:rPr>
      </w:pPr>
    </w:p>
    <w:p>
      <w:pPr>
        <w:jc w:val="both"/>
        <w:ind w:left="1460" w:right="1179" w:hanging="296"/>
        <w:spacing w:after="0"/>
        <w:tabs>
          <w:tab w:leader="none" w:pos="146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Boylan, a member of our board of directors, serves as Chief Executive Officer of Enavate Sciences, an entity affiliated with Zebra Aggregator, LP, and as a result may be deemed to share voting and investment power with respect to the shares held by Zebra Aggregator, LP. Zebra Aggregator, LP holds more than 5% of our capital stock.</w:t>
      </w:r>
    </w:p>
    <w:p>
      <w:pPr>
        <w:spacing w:after="0" w:line="36"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Enright, a member of our board of directors, serves as a Managing Director and Founder of Longitude Capital and as a result may be deemed to share voting and investment power with respect to the shares held by Longitude Capital and its affiliates. Entities related to Longitude Capital hold an aggregate of more than 5% of our capital stock.</w:t>
      </w:r>
    </w:p>
    <w:p>
      <w:pPr>
        <w:spacing w:after="0" w:line="36" w:lineRule="exact"/>
        <w:rPr>
          <w:rFonts w:ascii="Times New Roman" w:cs="Times New Roman" w:eastAsia="Times New Roman" w:hAnsi="Times New Roman"/>
          <w:sz w:val="12"/>
          <w:szCs w:val="12"/>
          <w:color w:val="auto"/>
        </w:rPr>
      </w:pPr>
    </w:p>
    <w:p>
      <w:pPr>
        <w:jc w:val="both"/>
        <w:ind w:left="1460" w:right="1179" w:hanging="296"/>
        <w:spacing w:after="0" w:line="237" w:lineRule="auto"/>
        <w:tabs>
          <w:tab w:leader="none" w:pos="146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Kiselak, a member of our board of directors, serves as Managing Member and Co-Founder of Fairmount Funds Management LLC and as a result may be deemed to share voting and investment power with respect to the shares held by Fairmount Funds Management LLC and its affiliates. Entities related to Fairmount Funds Management LLC hold an aggregate of more than 5% of our capital stock.</w:t>
      </w:r>
    </w:p>
    <w:p>
      <w:pPr>
        <w:spacing w:after="0" w:line="37"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Lu, a member of our board of directors, is a former Partner of Vivo Capital, an entity affiliated with Vivo Innovation Fund II Holdings, L.P.</w:t>
      </w:r>
    </w:p>
    <w:p>
      <w:pPr>
        <w:spacing w:after="0" w:line="31"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Moulder, our chief executive officer and a member of our board of directors, is the Managing Member of Tellus BioVentures, LLC and as a result may be deemed to share voting and investment power with respect to the shares held by Tellus BioVentures, LLC. Tellus BioVentures, LLC holds more than 5% of our capital stock.</w:t>
      </w:r>
    </w:p>
    <w:p>
      <w:pPr>
        <w:spacing w:after="0" w:line="36"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Wu, a member of our board of directors until May 2024, is Managing Director of Quan Capital, an entity affiliated with Quan Venture Fund II, L.P., and as a result may be deemed to share voting and investment power with respect to the shares held by Quan Venture Fund II, L.P. Quan Venture Fund II, L.P. holds more than 5% of our capital stock.</w:t>
      </w:r>
    </w:p>
    <w:p>
      <w:pPr>
        <w:spacing w:after="0" w:line="94"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In April 2023, the Company incurred a $10.0 million development milestone pursuant to the 2021 Xencor Agreement. Xencor elected to receive payment in the form of the Company’s Series B Preferred Stock and the Company issued 4,189,955 shares of Series B Preferred Stock as payment for the development milestone in June 2023 at a purchase price of $2.38666 per share.</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6" w:name="page187"/>
    <w:bookmarkEnd w:id="18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Series C Preferred Stock Financing</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May 2024, we entered into a Series C Preferred Stock subscription agreement pursuant to which we issued an aggregate of 116,275,239 shares of our Series C Preferred Stock, including 12,284,686 shares of Series C Preferred Stock issued upon the conversion of the BMS Note, at a purchase price of $1.72131 per share. The payment of the purchase price included the conversion of the BMS Notes at the Conversion Discount. Each share of our Series C Preferred Stock will convert into one share of our common stock immediately prior to the completion of this offering. The following table summarizes the Series C Preferred Stock issued to our directors, executive officers and beneficial holders of more than 5% of our capital stock:</w:t>
      </w:r>
    </w:p>
    <w:p>
      <w:pPr>
        <w:sectPr>
          <w:pgSz w:w="11900" w:h="16838" w:orient="portrait"/>
          <w:cols w:equalWidth="0" w:num="1">
            <w:col w:w="9019"/>
          </w:cols>
          <w:pgMar w:left="1440" w:top="98"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15240</wp:posOffset>
            </wp:positionV>
            <wp:extent cx="4241800" cy="2584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241800" cy="258445"/>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Entities affiliated with SR One Capital Management,</w:t>
      </w:r>
    </w:p>
    <w:p>
      <w:pPr>
        <w:ind w:left="1320"/>
        <w:spacing w:after="0" w:line="183" w:lineRule="auto"/>
        <w:rPr>
          <w:sz w:val="20"/>
          <w:szCs w:val="20"/>
          <w:color w:val="auto"/>
        </w:rPr>
      </w:pPr>
      <w:r>
        <w:rPr>
          <w:rFonts w:ascii="Times New Roman" w:cs="Times New Roman" w:eastAsia="Times New Roman" w:hAnsi="Times New Roman"/>
          <w:sz w:val="22"/>
          <w:szCs w:val="22"/>
          <w:color w:val="auto"/>
          <w:vertAlign w:val="subscript"/>
        </w:rPr>
        <w:t>LP</w:t>
      </w:r>
      <w:r>
        <w:rPr>
          <w:rFonts w:ascii="Times New Roman" w:cs="Times New Roman" w:eastAsia="Times New Roman" w:hAnsi="Times New Roman"/>
          <w:sz w:val="8"/>
          <w:szCs w:val="8"/>
          <w:color w:val="auto"/>
        </w:rPr>
        <w:t>(1)</w:t>
      </w:r>
    </w:p>
    <w:p>
      <w:pPr>
        <w:spacing w:after="0" w:line="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Delos Capital Fund III, LP</w:t>
      </w:r>
      <w:r>
        <w:rPr>
          <w:rFonts w:ascii="Times New Roman" w:cs="Times New Roman" w:eastAsia="Times New Roman" w:hAnsi="Times New Roman"/>
          <w:sz w:val="19"/>
          <w:szCs w:val="1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-1270</wp:posOffset>
            </wp:positionV>
            <wp:extent cx="4241800" cy="132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BMS</w:t>
      </w:r>
    </w:p>
    <w:p>
      <w:pPr>
        <w:spacing w:after="0" w:line="9" w:lineRule="exact"/>
        <w:rPr>
          <w:sz w:val="20"/>
          <w:szCs w:val="20"/>
          <w:color w:val="auto"/>
        </w:rPr>
      </w:pPr>
    </w:p>
    <w:p>
      <w:pPr>
        <w:ind w:left="1320" w:right="240" w:hanging="145"/>
        <w:spacing w:after="0" w:line="269" w:lineRule="auto"/>
        <w:rPr>
          <w:sz w:val="20"/>
          <w:szCs w:val="20"/>
          <w:color w:val="auto"/>
        </w:rPr>
      </w:pPr>
      <w:r>
        <w:rPr>
          <w:rFonts w:ascii="Times New Roman" w:cs="Times New Roman" w:eastAsia="Times New Roman" w:hAnsi="Times New Roman"/>
          <w:sz w:val="15"/>
          <w:szCs w:val="15"/>
          <w:color w:val="auto"/>
        </w:rPr>
        <w:t>Entities affiliated with New Enterprise Associates (NEA)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-5080</wp:posOffset>
            </wp:positionV>
            <wp:extent cx="4241800" cy="132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color w:val="auto"/>
        </w:rPr>
        <w:t>Norwest Venture Partners XVI, LP</w:t>
      </w:r>
    </w:p>
    <w:p>
      <w:pPr>
        <w:spacing w:after="0" w:line="3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Enavate Sciences</w:t>
      </w:r>
      <w:r>
        <w:rPr>
          <w:rFonts w:ascii="Times New Roman" w:cs="Times New Roman" w:eastAsia="Times New Roman" w:hAnsi="Times New Roman"/>
          <w:sz w:val="19"/>
          <w:szCs w:val="1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-1270</wp:posOffset>
            </wp:positionV>
            <wp:extent cx="4241800" cy="1466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Entities affiliated with Longitude Capital</w:t>
      </w:r>
      <w:r>
        <w:rPr>
          <w:rFonts w:ascii="Times New Roman" w:cs="Times New Roman" w:eastAsia="Times New Roman" w:hAnsi="Times New Roman"/>
          <w:sz w:val="19"/>
          <w:szCs w:val="19"/>
          <w:color w:val="auto"/>
          <w:vertAlign w:val="superscript"/>
        </w:rPr>
        <w:t>(4)</w:t>
      </w:r>
    </w:p>
    <w:p>
      <w:pPr>
        <w:spacing w:after="0" w:line="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Entities affiliated with Fairmount Funds Management</w:t>
      </w:r>
    </w:p>
    <w:p>
      <w:pPr>
        <w:ind w:left="1320"/>
        <w:spacing w:after="0" w:line="182" w:lineRule="auto"/>
        <w:rPr>
          <w:sz w:val="20"/>
          <w:szCs w:val="20"/>
          <w:color w:val="auto"/>
        </w:rPr>
      </w:pPr>
      <w:r>
        <w:rPr>
          <w:rFonts w:ascii="Times New Roman" w:cs="Times New Roman" w:eastAsia="Times New Roman" w:hAnsi="Times New Roman"/>
          <w:sz w:val="21"/>
          <w:szCs w:val="21"/>
          <w:color w:val="auto"/>
          <w:vertAlign w:val="subscript"/>
        </w:rPr>
        <w:t>LLC</w:t>
      </w:r>
      <w:r>
        <w:rPr>
          <w:rFonts w:ascii="Times New Roman" w:cs="Times New Roman" w:eastAsia="Times New Roman" w:hAnsi="Times New Roman"/>
          <w:sz w:val="8"/>
          <w:szCs w:val="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125730</wp:posOffset>
            </wp:positionV>
            <wp:extent cx="446405"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Aggregate</w:t>
            </w:r>
          </w:p>
        </w:tc>
        <w:tc>
          <w:tcPr>
            <w:tcW w:w="20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Aggregate Price</w:t>
            </w:r>
          </w:p>
        </w:tc>
        <w:tc>
          <w:tcPr>
            <w:tcW w:w="60" w:type="dxa"/>
            <w:vAlign w:val="bottom"/>
          </w:tcPr>
          <w:p>
            <w:pPr>
              <w:spacing w:after="0"/>
              <w:rPr>
                <w:sz w:val="12"/>
                <w:szCs w:val="12"/>
                <w:color w:val="auto"/>
              </w:rPr>
            </w:pPr>
          </w:p>
        </w:tc>
      </w:tr>
      <w:tr>
        <w:trPr>
          <w:trHeight w:val="132"/>
        </w:trPr>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1"/>
              </w:rPr>
              <w:t>Purchase 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6"/>
              </w:rPr>
              <w:t>of Shares</w:t>
            </w:r>
          </w:p>
        </w:tc>
        <w:tc>
          <w:tcPr>
            <w:tcW w:w="60" w:type="dxa"/>
            <w:vAlign w:val="bottom"/>
          </w:tcPr>
          <w:p>
            <w:pPr>
              <w:spacing w:after="0"/>
              <w:rPr>
                <w:sz w:val="11"/>
                <w:szCs w:val="11"/>
                <w:color w:val="auto"/>
              </w:rPr>
            </w:pPr>
          </w:p>
        </w:tc>
      </w:tr>
      <w:tr>
        <w:trPr>
          <w:trHeight w:val="132"/>
        </w:trPr>
        <w:tc>
          <w:tcPr>
            <w:tcW w:w="1220" w:type="dxa"/>
            <w:vAlign w:val="bottom"/>
            <w:gridSpan w:val="3"/>
          </w:tcPr>
          <w:p>
            <w:pPr>
              <w:ind w:left="140"/>
              <w:spacing w:after="0" w:line="132" w:lineRule="exact"/>
              <w:rPr>
                <w:sz w:val="20"/>
                <w:szCs w:val="20"/>
                <w:color w:val="auto"/>
              </w:rPr>
            </w:pPr>
            <w:r>
              <w:rPr>
                <w:rFonts w:ascii="Times New Roman" w:cs="Times New Roman" w:eastAsia="Times New Roman" w:hAnsi="Times New Roman"/>
                <w:sz w:val="12"/>
                <w:szCs w:val="12"/>
                <w:b w:val="1"/>
                <w:bCs w:val="1"/>
                <w:color w:val="auto"/>
              </w:rPr>
              <w:t>Shares of Series C</w:t>
            </w:r>
          </w:p>
        </w:tc>
        <w:tc>
          <w:tcPr>
            <w:tcW w:w="86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Shares Purchased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Converted</w:t>
            </w:r>
          </w:p>
        </w:tc>
        <w:tc>
          <w:tcPr>
            <w:tcW w:w="60" w:type="dxa"/>
            <w:vAlign w:val="bottom"/>
          </w:tcPr>
          <w:p>
            <w:pPr>
              <w:spacing w:after="0"/>
              <w:rPr>
                <w:sz w:val="11"/>
                <w:szCs w:val="11"/>
                <w:color w:val="auto"/>
              </w:rPr>
            </w:pPr>
          </w:p>
        </w:tc>
      </w:tr>
      <w:tr>
        <w:trPr>
          <w:trHeight w:val="162"/>
        </w:trPr>
        <w:tc>
          <w:tcPr>
            <w:tcW w:w="1220" w:type="dxa"/>
            <w:vAlign w:val="bottom"/>
            <w:gridSpan w:val="3"/>
          </w:tcPr>
          <w:p>
            <w:pPr>
              <w:spacing w:after="0" w:line="163"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Preferred Stock  </w:t>
            </w:r>
            <w:r>
              <w:rPr>
                <w:rFonts w:ascii="Times New Roman" w:cs="Times New Roman" w:eastAsia="Times New Roman" w:hAnsi="Times New Roman"/>
                <w:sz w:val="18"/>
                <w:szCs w:val="18"/>
                <w:b w:val="1"/>
                <w:bCs w:val="1"/>
                <w:color w:val="auto"/>
                <w:vertAlign w:val="subscript"/>
              </w:rPr>
              <w:t>​ ​</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85"/>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 ​</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23,238,113</w:t>
            </w:r>
          </w:p>
        </w:tc>
        <w:tc>
          <w:tcPr>
            <w:tcW w:w="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39,999,996</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5"/>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8,714,293</w:t>
            </w:r>
          </w:p>
        </w:tc>
        <w:tc>
          <w:tcPr>
            <w:tcW w:w="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15,000,000</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95"/>
        </w:trPr>
        <w:tc>
          <w:tcPr>
            <w:tcW w:w="2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12,284,686</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20,000,000</w:t>
            </w:r>
          </w:p>
        </w:tc>
        <w:tc>
          <w:tcPr>
            <w:tcW w:w="12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w w:val="85"/>
              </w:rPr>
              <w:t>(6)</w:t>
            </w:r>
          </w:p>
        </w:tc>
        <w:tc>
          <w:tcPr>
            <w:tcW w:w="0" w:type="dxa"/>
            <w:vAlign w:val="bottom"/>
          </w:tcPr>
          <w:p>
            <w:pPr>
              <w:spacing w:after="0"/>
              <w:rPr>
                <w:sz w:val="1"/>
                <w:szCs w:val="1"/>
                <w:color w:val="auto"/>
              </w:rPr>
            </w:pPr>
          </w:p>
        </w:tc>
      </w:tr>
      <w:tr>
        <w:trPr>
          <w:trHeight w:val="190"/>
        </w:trPr>
        <w:tc>
          <w:tcPr>
            <w:tcW w:w="2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304"/>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12,490,486</w:t>
            </w:r>
          </w:p>
        </w:tc>
        <w:tc>
          <w:tcPr>
            <w:tcW w:w="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21,499,998</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12,490,486</w:t>
            </w:r>
          </w:p>
        </w:tc>
        <w:tc>
          <w:tcPr>
            <w:tcW w:w="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21,499,998</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14,523,821</w:t>
            </w:r>
          </w:p>
        </w:tc>
        <w:tc>
          <w:tcPr>
            <w:tcW w:w="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24,999,998</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11,619,057</w:t>
            </w:r>
          </w:p>
        </w:tc>
        <w:tc>
          <w:tcPr>
            <w:tcW w:w="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19,999,999</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385"/>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2,614,287</w:t>
            </w:r>
          </w:p>
        </w:tc>
        <w:tc>
          <w:tcPr>
            <w:tcW w:w="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4,499,998</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460" w:space="300"/>
            <w:col w:w="4259"/>
          </w:cols>
          <w:pgMar w:left="1440" w:top="98" w:right="1440" w:bottom="1440" w:gutter="0" w:footer="0" w:header="0"/>
          <w:type w:val="continuous"/>
        </w:sectPr>
      </w:pPr>
    </w:p>
    <w:p>
      <w:pPr>
        <w:spacing w:after="0" w:line="68" w:lineRule="exact"/>
        <w:rPr>
          <w:sz w:val="20"/>
          <w:szCs w:val="20"/>
          <w:color w:val="auto"/>
        </w:rPr>
      </w:pPr>
    </w:p>
    <w:p>
      <w:pPr>
        <w:ind w:left="1460" w:right="1179" w:hanging="296"/>
        <w:spacing w:after="0" w:line="250" w:lineRule="auto"/>
        <w:tabs>
          <w:tab w:leader="none" w:pos="146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Nunn, a member of our board of directors, serves as a Partner of SR One. Entities related to SR One hold an aggregate of more than 5% of our capital stock.</w:t>
      </w:r>
    </w:p>
    <w:p>
      <w:pPr>
        <w:spacing w:after="0" w:line="31"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Xiao, a member of our board of directors, serves as a Partner and founding team member of Delos Capital, an entity affiliated with Delos Capital Fund III, LP.</w:t>
      </w:r>
    </w:p>
    <w:p>
      <w:pPr>
        <w:spacing w:after="0" w:line="42"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Boylan, a member of our board of directors, serves as Chief Executive Officer of Enavate Sciences, an entity affiliated with Zebra Aggregator, LP, and as a result may be deemed to share voting and investment power with respect to the shares held by Zebra Aggregator, LP. Zebra Aggregator, LP holds more than 5% of our capital stock.</w:t>
      </w:r>
    </w:p>
    <w:p>
      <w:pPr>
        <w:spacing w:after="0" w:line="47"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Enright, a member of our board of directors, serves as a Managing Director and Founder of Longitude Capital and as a result may be deemed to share voting and investment power with respect to the shares held by Longitude Capital and its affiliates. Entities related to Longitude Capital hold an aggregate of more than 5% of our capital stock.</w:t>
      </w:r>
    </w:p>
    <w:p>
      <w:pPr>
        <w:spacing w:after="0" w:line="36" w:lineRule="exact"/>
        <w:rPr>
          <w:rFonts w:ascii="Times New Roman" w:cs="Times New Roman" w:eastAsia="Times New Roman" w:hAnsi="Times New Roman"/>
          <w:sz w:val="12"/>
          <w:szCs w:val="12"/>
          <w:color w:val="auto"/>
        </w:rPr>
      </w:pPr>
    </w:p>
    <w:p>
      <w:pPr>
        <w:jc w:val="both"/>
        <w:ind w:left="1460" w:right="1179" w:hanging="296"/>
        <w:spacing w:after="0" w:line="237" w:lineRule="auto"/>
        <w:tabs>
          <w:tab w:leader="none" w:pos="146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Kiselak, a member of our board of directors, serves as Managing Member and Co-Founder of Fairmount Funds Management LLC and as a result may be deemed to share voting and investment power with respect to the shares held by Fairmount Funds Management LLC and its affiliates. Entities related to Fairmount Funds Management LLC hold an aggregate of more than 5% of our capital stock.</w:t>
      </w:r>
    </w:p>
    <w:p>
      <w:pPr>
        <w:spacing w:after="0" w:line="48"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$1,145,753 of accrued interest on the BMS Note that, together with $20.0 million of principal amount of the BMS Note, was converted into shares of Series C Preferred Stock.</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Shareholders Agreement</w:t>
      </w:r>
    </w:p>
    <w:p>
      <w:pPr>
        <w:spacing w:after="0" w:line="11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are party to the Shareholders Agreement with our stockholders. Pursuant to the terms of the Shareholders Agreement, we granted these stockholders certain information rights and the right to participate in future stock issuances, which rights terminate upon this offering. The Shareholders Agreement also grants these stockholders certain registration rights. See the section titled “Description of Capital Stock —Registration​ Rights” for additional information regarding these registration rights. Other provisions of the Shareholders Agreement will terminate upon completion of this offering.</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Director Affiliations</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Some of our directors are affiliated with and, prior to the completion of this offering, have served on our board of directors as representatives of entities which beneficially own or owned 5% or more of our voting securities, as indicated in the table below:</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87" w:name="page188"/>
    <w:bookmarkEnd w:id="187"/>
    <w:p>
      <w:pPr>
        <w:ind w:left="14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15240</wp:posOffset>
            </wp:positionV>
            <wp:extent cx="264795"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4795" cy="6985"/>
                    </a:xfrm>
                    <a:prstGeom prst="rect">
                      <a:avLst/>
                    </a:prstGeom>
                    <a:noFill/>
                  </pic:spPr>
                </pic:pic>
              </a:graphicData>
            </a:graphic>
          </wp:anchor>
        </w:drawing>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Leon O. Moulder, Jr.</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James Boylan</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Patrick Enright</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Tomas Kiselak</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Hongbo Lu, Ph.D.</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Jake Nunn</w:t>
      </w:r>
    </w:p>
    <w:p>
      <w:pPr>
        <w:spacing w:after="0" w:line="1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Agreement with Dianthus Therapeutics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230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Affiliated Stockholder</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5"/>
        </w:trPr>
        <w:tc>
          <w:tcPr>
            <w:tcW w:w="2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 ​</w:t>
            </w:r>
          </w:p>
        </w:tc>
        <w:tc>
          <w:tcPr>
            <w:tcW w:w="3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Tellus BioVentures LLC</w:t>
            </w:r>
          </w:p>
        </w:tc>
        <w:tc>
          <w:tcPr>
            <w:tcW w:w="60" w:type="dxa"/>
            <w:vAlign w:val="bottom"/>
          </w:tcPr>
          <w:p>
            <w:pPr>
              <w:ind w:left="20"/>
              <w:spacing w:after="0" w:line="171" w:lineRule="exact"/>
              <w:rPr>
                <w:sz w:val="20"/>
                <w:szCs w:val="20"/>
                <w:color w:val="auto"/>
              </w:rPr>
            </w:pPr>
            <w:r>
              <w:rPr>
                <w:rFonts w:ascii="Times New Roman" w:cs="Times New Roman" w:eastAsia="Times New Roman" w:hAnsi="Times New Roman"/>
                <w:sz w:val="15"/>
                <w:szCs w:val="15"/>
                <w:color w:val="auto"/>
              </w:rPr>
              <w:t>​</w:t>
            </w:r>
          </w:p>
        </w:tc>
      </w:tr>
      <w:tr>
        <w:trPr>
          <w:trHeight w:val="209"/>
        </w:trPr>
        <w:tc>
          <w:tcPr>
            <w:tcW w:w="3400" w:type="dxa"/>
            <w:vAlign w:val="bottom"/>
            <w:gridSpan w:val="3"/>
          </w:tcPr>
          <w:p>
            <w:pPr>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Enavate Sciences LP</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400" w:type="dxa"/>
            <w:vAlign w:val="bottom"/>
            <w:gridSpan w:val="3"/>
          </w:tcPr>
          <w:p>
            <w:pPr>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Longitude Venture Partners IV, L.P.</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3400" w:type="dxa"/>
            <w:vAlign w:val="bottom"/>
            <w:gridSpan w:val="3"/>
          </w:tcPr>
          <w:p>
            <w:pPr>
              <w:spacing w:after="0" w:line="220"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Fairmount Funds Management LLC</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1100" w:type="dxa"/>
            <w:vAlign w:val="bottom"/>
            <w:gridSpan w:val="2"/>
          </w:tcPr>
          <w:p>
            <w:pPr>
              <w:spacing w:after="0" w:line="220"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Vivo Capital</w:t>
            </w:r>
          </w:p>
        </w:tc>
        <w:tc>
          <w:tcPr>
            <w:tcW w:w="2300" w:type="dxa"/>
            <w:vAlign w:val="bottom"/>
          </w:tcPr>
          <w:p>
            <w:pPr>
              <w:spacing w:after="0"/>
              <w:rPr>
                <w:sz w:val="19"/>
                <w:szCs w:val="19"/>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386"/>
        </w:trPr>
        <w:tc>
          <w:tcPr>
            <w:tcW w:w="3400" w:type="dxa"/>
            <w:vAlign w:val="bottom"/>
            <w:gridSpan w:val="3"/>
          </w:tcPr>
          <w:p>
            <w:pPr>
              <w:spacing w:after="0"/>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SR One Capital Management, LP</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r>
    </w:tbl>
    <w:p>
      <w:pPr>
        <w:spacing w:after="0" w:line="316" w:lineRule="exact"/>
        <w:rPr>
          <w:sz w:val="20"/>
          <w:szCs w:val="20"/>
          <w:color w:val="auto"/>
        </w:rPr>
      </w:pPr>
    </w:p>
    <w:p>
      <w:pPr>
        <w:sectPr>
          <w:pgSz w:w="11900" w:h="16838" w:orient="portrait"/>
          <w:cols w:equalWidth="0" w:num="2">
            <w:col w:w="3840" w:space="580"/>
            <w:col w:w="4599"/>
          </w:cols>
          <w:pgMar w:left="1440" w:top="106" w:right="1440" w:bottom="1440" w:gutter="0" w:footer="0" w:header="0"/>
          <w:type w:val="continuous"/>
        </w:sect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In September 2020, we entered into an option agreement (the “Dianthus Option Agreement”) with Dianthus pursuant to which we obtained an exclusive option to negotiate and enter into exclusive license agreements with Dianthus for the rights to research, develop, manufacture, market and sell products related to either or both of two antibody product candidates based on Dianthus’ proprietary technology. Upon execution of the Dianthus Option Agreement, we issued 156,848 shares of our common stock to Dianthus at par as initial consideration.</w:t>
      </w:r>
    </w:p>
    <w:p>
      <w:pPr>
        <w:spacing w:after="0" w:line="99"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 October 2021, we notified Dianthus of our intention to exercise our option to ZB005 pursuant to the Dianthus Option Agreement, which resulted in a $1.0 million milestone payment to Dianthus.</w:t>
      </w:r>
    </w:p>
    <w:p>
      <w:pPr>
        <w:spacing w:after="0" w:line="7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Pursuant to the Dianthus Option Agreement, we were required to reimburse Dianthus for a specified percentage of certain third- party costs which Dianthus incurred in its initial discovery and development activities related to each of the two options, and were incurred from the date we notified Dianthus of our exercise of an option through the earlier of: (i) execution of a license agreement between Dianthus and us or (ii) our written notice to Dianthus that we are terminating license negotiations regarding an option. To date, we have only exercised our option with respect to the ZB005 program, and as a result we have only reimbursed Dianthus with respect to costs associated with the ZB005 program. During the six months ended June 30, 2024 and 2023, we recognized $2.8 million and $2.0 million of research and development expense related to the Dianthus Option Agreement, respectively. Additionally, during the years ended December 31, 2023 and 2022, we recognized $3.0 million and $6.9 million of research and development expense related to the Dianthus Option Agreement, respectively.</w:t>
      </w:r>
    </w:p>
    <w:p>
      <w:pPr>
        <w:spacing w:after="0" w:line="101"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Dianthus Option Agreement may be considered a related party transactions because Tellus beneficially owns more than 5% of our capital stock, has a seat on our board of directors and is also a 10% or greater stockholder of Dianthus and has a seat on the board of directors of Dianthus. The Dianthus Option Agreement was negotiated on an arm’s-length basis and on terms that we believe are no less favorable than would have been reached with an unrelated third party.</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Agreements with Viridian Therapeutics Inc.</w:t>
      </w:r>
    </w:p>
    <w:p>
      <w:pPr>
        <w:spacing w:after="0" w:line="11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October 2020, we entered into a license agreement (the “Viridian License Agreement”) with Viridian pursuant to which we licensed technology comprising certain materials, patent rights and know-how from Viridian. Upon execution of the Viridian License Agreement, we issued Viridian 336,103 shares of our common stock.</w:t>
      </w:r>
    </w:p>
    <w:p>
      <w:pPr>
        <w:spacing w:after="0" w:line="100"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Since February 2021, we have entered into several letter agreements with Viridian pursuant to which Viridian agreed to assist us with certain development activities, including manufacturing (the “2021 Viridian Letter Agreements”). In May 2022, we entered into a Manufacturing Development and Supply Agreement with Viridian (the “Viridian Manufacturing Agreement”) pursuant to which Viridian will manufacture and supply, or Viridian will have manufactured and supplied, clinical drug product for developmental purposes. In January 2024, we entered into a letter agreement with Viridian (the “2024 Viridian Letter Agreement” and, together with the Viridian License Agreement, the 2021 Viridian Letter Agreements and the Viridian Manufacturing Agreement, the “Viridian Agreements”), pursuant to which we agreed to support Viridian with its Phase 3 Thrive-2 and Global Safety trials in China by initiating and managing the studies. In July 2024, the parties agreed to cease further activities under the 2024 Viridian Letter Agreement. The Viridian Agreements provide for reimbursement of certain CMC and development expenses, development milestones,</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188" w:name="page189"/>
    <w:bookmarkEnd w:id="18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and royalties on net sales. Under the terms of the Viridian Agreements, Viridian granted us an exclusive license to develop, manufacture, and commercialize certain IGF-1R directed antibody products for non-oncology indications in the area of greater China. During each of the six months ended June 30, 2024 and 2023, we recognized $0.1 million of research and development expense related to the Viridian Agreements, respectively. Additionally, during the years ended December 31, 2023 and 2022, we recognized an immaterial amount and $1.3 million of research and development expense related to the Viridian Agreements, respectively. Pursuant to the 2024 Viridian Letter Agreement, Viridian has agreed to reimburse our costs incurred, including a full-time equivalent rate for services rendered, with reimbursements being recorded as a reduction of research and development expenses. Such amounts have been and are expected to be immaterial.</w:t>
      </w:r>
    </w:p>
    <w:p>
      <w:pPr>
        <w:spacing w:after="0" w:line="281"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Viridian Agreements may be considered related party transactions because Fairmount beneficially owns more than 5% of our capital stock, has a seat on our board of directors and is also a 10% or greater stockholder of Viridian and has two seats on the board of directors of Viridian. The Viridian Agreements were negotiated on an arm’s-length basis and on terms that we believe are no less favorable than would have been reached with an unrelated third party.</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Director and Officer Indemnification and Insurance</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have agreed to indemnify each of our directors and executive officers against certain liabilities, costs and expenses, and have purchased directors’ and officers’ liability insurance. We also maintain a general liability insurance policy which covers certain liabilities of directors and officers arising out of claims based on acts or omissions in their capacities as directors or officers.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Related Person Transactions Policy</w:t>
      </w:r>
    </w:p>
    <w:p>
      <w:pPr>
        <w:spacing w:after="0" w:line="11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Our board of directors intends to adopt a written related person transaction policy, to be effective upon the effectiveness of the registration statement of which this prospectus forms a part,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in any fiscal year the lesser of (i) $120,000 or (ii) one percent of the average of our total assets at year end for the last two completed fiscal years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with considering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9" w:name="page190"/>
    <w:bookmarkEnd w:id="189"/>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PRINCIPAL STOCKHOLDERS</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sets forth certain information with respect to the beneficial ownership of our common stock as of June 30, 2024, as adjusted to reflect the conversion of all preferred stock into common stock prior to the completion of this offering and the sale of common stock offered by us in this offering, for:</w:t>
      </w:r>
    </w:p>
    <w:p>
      <w:pPr>
        <w:spacing w:after="0" w:line="243" w:lineRule="exact"/>
        <w:rPr>
          <w:sz w:val="20"/>
          <w:szCs w:val="20"/>
          <w:color w:val="auto"/>
        </w:rPr>
      </w:pPr>
    </w:p>
    <w:p>
      <w:pPr>
        <w:ind w:left="1600" w:hanging="143"/>
        <w:spacing w:after="0"/>
        <w:tabs>
          <w:tab w:leader="none" w:pos="160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who we know beneficially owns more than 5% of our common stock;</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directors;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named executive officers;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directors and executive officers as a group.</w:t>
      </w:r>
    </w:p>
    <w:p>
      <w:pPr>
        <w:spacing w:after="0" w:line="12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w:t>
      </w:r>
    </w:p>
    <w:p>
      <w:pPr>
        <w:spacing w:after="0" w:line="27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Percentage ownership of our common stock before this offering is based on 230,598,212 shares of our common stock outstanding as of June 30, 2024, prior to the completion of this offering, and after giving effect to the automatic conversion of all outstanding shares of our convertible preferred stock as of June 30, 2024 into an aggregate of 216,892,920 shares of our common stock immediately prior to the completion of this offering. Percentage ownership of our common stock after this offering is based on shares of our common stock outstanding as of June 30, 2024, after giving effect to the transactions as described above and our issuance of shares of our common stock in this offering. The table below excludes any purchases that may be made in this offering. In computing the number of shares beneficially owned by an individual or entity and the percentage ownership of that person, shares of common stock subject to options or other rights held by such person that are currently exercisable or that will become exercisable within 60 days of June 30, 2024 are considered outstanding, although these shares are not considered outstanding for purposes of computing the percentage ownership of any other person. Unless noted otherwise, the address of all listed stockholders is 1000 Winter Street, North Building, Suite 1200, Waltham, MA 02451.</w:t>
      </w:r>
    </w:p>
    <w:p>
      <w:pPr>
        <w:spacing w:after="0" w:line="23" w:lineRule="exact"/>
        <w:rPr>
          <w:sz w:val="20"/>
          <w:szCs w:val="20"/>
          <w:color w:val="auto"/>
        </w:rPr>
      </w:pPr>
    </w:p>
    <w:tbl>
      <w:tblPr>
        <w:tblLayout w:type="fixed"/>
        <w:tblInd w:w="1160" w:type="dxa"/>
        <w:tblCellMar>
          <w:top w:w="0" w:type="dxa"/>
          <w:left w:w="0" w:type="dxa"/>
          <w:bottom w:w="0" w:type="dxa"/>
          <w:right w:w="0" w:type="dxa"/>
        </w:tblCellMar>
      </w:tblPr>
      <w:tr>
        <w:trPr>
          <w:trHeight w:val="264"/>
        </w:trPr>
        <w:tc>
          <w:tcPr>
            <w:tcW w:w="1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740" w:type="dxa"/>
            <w:vAlign w:val="bottom"/>
          </w:tcPr>
          <w:p>
            <w:pPr>
              <w:ind w:left="268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jc w:val="center"/>
              <w:ind w:right="5"/>
              <w:spacing w:after="0"/>
              <w:rPr>
                <w:sz w:val="20"/>
                <w:szCs w:val="20"/>
                <w:color w:val="auto"/>
              </w:rPr>
            </w:pPr>
            <w:r>
              <w:rPr>
                <w:rFonts w:ascii="Times New Roman" w:cs="Times New Roman" w:eastAsia="Times New Roman" w:hAnsi="Times New Roman"/>
                <w:sz w:val="12"/>
                <w:szCs w:val="12"/>
                <w:b w:val="1"/>
                <w:bCs w:val="1"/>
                <w:color w:val="auto"/>
                <w:w w:val="93"/>
              </w:rPr>
              <w:t>Number of</w:t>
            </w:r>
          </w:p>
        </w:tc>
        <w:tc>
          <w:tcPr>
            <w:tcW w:w="2120" w:type="dxa"/>
            <w:vAlign w:val="bottom"/>
            <w:gridSpan w:val="8"/>
          </w:tcPr>
          <w:p>
            <w:pPr>
              <w:jc w:val="right"/>
              <w:spacing w:after="0"/>
              <w:rPr>
                <w:sz w:val="20"/>
                <w:szCs w:val="20"/>
                <w:color w:val="auto"/>
              </w:rPr>
            </w:pPr>
            <w:r>
              <w:rPr>
                <w:rFonts w:ascii="Times New Roman" w:cs="Times New Roman" w:eastAsia="Times New Roman" w:hAnsi="Times New Roman"/>
                <w:sz w:val="23"/>
                <w:szCs w:val="23"/>
                <w:b w:val="1"/>
                <w:bCs w:val="1"/>
                <w:color w:val="auto"/>
                <w:w w:val="97"/>
                <w:vertAlign w:val="subscript"/>
              </w:rPr>
              <w:t>​</w:t>
            </w:r>
            <w:r>
              <w:rPr>
                <w:rFonts w:ascii="Times New Roman" w:cs="Times New Roman" w:eastAsia="Times New Roman" w:hAnsi="Times New Roman"/>
                <w:sz w:val="12"/>
                <w:szCs w:val="12"/>
                <w:b w:val="1"/>
                <w:bCs w:val="1"/>
                <w:color w:val="auto"/>
                <w:w w:val="97"/>
              </w:rPr>
              <w:t xml:space="preserve"> Percentage of Shares Beneficially Owned </w:t>
            </w:r>
            <w:r>
              <w:rPr>
                <w:rFonts w:ascii="Times New Roman" w:cs="Times New Roman" w:eastAsia="Times New Roman" w:hAnsi="Times New Roman"/>
                <w:sz w:val="23"/>
                <w:szCs w:val="23"/>
                <w:b w:val="1"/>
                <w:bCs w:val="1"/>
                <w:color w:val="auto"/>
                <w:w w:val="97"/>
                <w:vertAlign w:val="subscript"/>
              </w:rPr>
              <w:t>​</w:t>
            </w:r>
          </w:p>
        </w:tc>
      </w:tr>
      <w:tr>
        <w:trPr>
          <w:trHeight w:val="81"/>
        </w:trPr>
        <w:tc>
          <w:tcPr>
            <w:tcW w:w="12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580" w:type="dxa"/>
            <w:vAlign w:val="bottom"/>
          </w:tcPr>
          <w:p>
            <w:pPr>
              <w:jc w:val="center"/>
              <w:ind w:right="5"/>
              <w:spacing w:after="0" w:line="82" w:lineRule="exact"/>
              <w:rPr>
                <w:sz w:val="20"/>
                <w:szCs w:val="20"/>
                <w:color w:val="auto"/>
              </w:rPr>
            </w:pPr>
            <w:r>
              <w:rPr>
                <w:rFonts w:ascii="Times New Roman" w:cs="Times New Roman" w:eastAsia="Times New Roman" w:hAnsi="Times New Roman"/>
                <w:sz w:val="9"/>
                <w:szCs w:val="9"/>
                <w:b w:val="1"/>
                <w:bCs w:val="1"/>
                <w:color w:val="auto"/>
              </w:rPr>
              <w:t>Shares</w:t>
            </w:r>
          </w:p>
        </w:tc>
        <w:tc>
          <w:tcPr>
            <w:tcW w:w="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132"/>
        </w:trPr>
        <w:tc>
          <w:tcPr>
            <w:tcW w:w="1280" w:type="dxa"/>
            <w:vAlign w:val="bottom"/>
          </w:tcPr>
          <w:p>
            <w:pPr>
              <w:spacing w:after="0"/>
              <w:rPr>
                <w:sz w:val="11"/>
                <w:szCs w:val="11"/>
                <w:color w:val="auto"/>
              </w:rPr>
            </w:pPr>
          </w:p>
        </w:tc>
        <w:tc>
          <w:tcPr>
            <w:tcW w:w="3320" w:type="dxa"/>
            <w:vAlign w:val="bottom"/>
            <w:gridSpan w:val="2"/>
          </w:tcPr>
          <w:p>
            <w:pPr>
              <w:jc w:val="center"/>
              <w:ind w:left="2621"/>
              <w:spacing w:after="0" w:line="132" w:lineRule="exact"/>
              <w:rPr>
                <w:sz w:val="20"/>
                <w:szCs w:val="20"/>
                <w:color w:val="auto"/>
              </w:rPr>
            </w:pPr>
            <w:r>
              <w:rPr>
                <w:rFonts w:ascii="Times New Roman" w:cs="Times New Roman" w:eastAsia="Times New Roman" w:hAnsi="Times New Roman"/>
                <w:sz w:val="12"/>
                <w:szCs w:val="12"/>
                <w:b w:val="1"/>
                <w:bCs w:val="1"/>
                <w:color w:val="auto"/>
                <w:w w:val="93"/>
              </w:rPr>
              <w:t>Beneficially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101"/>
              <w:spacing w:after="0" w:line="132" w:lineRule="exact"/>
              <w:rPr>
                <w:sz w:val="20"/>
                <w:szCs w:val="20"/>
                <w:color w:val="auto"/>
              </w:rPr>
            </w:pPr>
            <w:r>
              <w:rPr>
                <w:rFonts w:ascii="Times New Roman" w:cs="Times New Roman" w:eastAsia="Times New Roman" w:hAnsi="Times New Roman"/>
                <w:sz w:val="12"/>
                <w:szCs w:val="12"/>
                <w:b w:val="1"/>
                <w:bCs w:val="1"/>
                <w:color w:val="auto"/>
                <w:w w:val="94"/>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101"/>
              <w:spacing w:after="0" w:line="132" w:lineRule="exact"/>
              <w:rPr>
                <w:sz w:val="20"/>
                <w:szCs w:val="20"/>
                <w:color w:val="auto"/>
              </w:rPr>
            </w:pPr>
            <w:r>
              <w:rPr>
                <w:rFonts w:ascii="Times New Roman" w:cs="Times New Roman" w:eastAsia="Times New Roman" w:hAnsi="Times New Roman"/>
                <w:sz w:val="12"/>
                <w:szCs w:val="12"/>
                <w:b w:val="1"/>
                <w:bCs w:val="1"/>
                <w:color w:val="auto"/>
                <w:w w:val="95"/>
              </w:rPr>
              <w:t>After</w:t>
            </w:r>
          </w:p>
        </w:tc>
        <w:tc>
          <w:tcPr>
            <w:tcW w:w="40" w:type="dxa"/>
            <w:vAlign w:val="bottom"/>
          </w:tcPr>
          <w:p>
            <w:pPr>
              <w:spacing w:after="0"/>
              <w:rPr>
                <w:sz w:val="11"/>
                <w:szCs w:val="11"/>
                <w:color w:val="auto"/>
              </w:rPr>
            </w:pPr>
          </w:p>
        </w:tc>
      </w:tr>
      <w:tr>
        <w:trPr>
          <w:trHeight w:val="162"/>
        </w:trPr>
        <w:tc>
          <w:tcPr>
            <w:tcW w:w="1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3"/>
              </w:rPr>
              <w:t>Name of Beneficial Owner</w:t>
            </w:r>
          </w:p>
        </w:tc>
        <w:tc>
          <w:tcPr>
            <w:tcW w:w="2740" w:type="dxa"/>
            <w:vAlign w:val="bottom"/>
          </w:tcPr>
          <w:p>
            <w:pPr>
              <w:ind w:left="268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Owned</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jc w:val="center"/>
              <w:ind w:right="81"/>
              <w:spacing w:after="0"/>
              <w:rPr>
                <w:sz w:val="20"/>
                <w:szCs w:val="20"/>
                <w:color w:val="auto"/>
              </w:rPr>
            </w:pPr>
            <w:r>
              <w:rPr>
                <w:rFonts w:ascii="Times New Roman" w:cs="Times New Roman" w:eastAsia="Times New Roman" w:hAnsi="Times New Roman"/>
                <w:sz w:val="12"/>
                <w:szCs w:val="12"/>
                <w:b w:val="1"/>
                <w:bCs w:val="1"/>
                <w:color w:val="auto"/>
                <w:w w:val="95"/>
              </w:rPr>
              <w:t>Offering</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Pr>
          <w:p>
            <w:pPr>
              <w:jc w:val="center"/>
              <w:ind w:right="81"/>
              <w:spacing w:after="0"/>
              <w:rPr>
                <w:sz w:val="20"/>
                <w:szCs w:val="20"/>
                <w:color w:val="auto"/>
              </w:rPr>
            </w:pPr>
            <w:r>
              <w:rPr>
                <w:rFonts w:ascii="Times New Roman" w:cs="Times New Roman" w:eastAsia="Times New Roman" w:hAnsi="Times New Roman"/>
                <w:sz w:val="12"/>
                <w:szCs w:val="12"/>
                <w:b w:val="1"/>
                <w:bCs w:val="1"/>
                <w:color w:val="auto"/>
                <w:w w:val="90"/>
              </w:rPr>
              <w:t>Offering</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128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-6350</wp:posOffset>
            </wp:positionV>
            <wp:extent cx="4241800" cy="132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5% or Greater Stockholders:</w:t>
      </w: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Xencor, Inc.</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4241800" cy="1466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Enavate Sciences</w:t>
      </w:r>
      <w:r>
        <w:rPr>
          <w:rFonts w:ascii="Times New Roman" w:cs="Times New Roman" w:eastAsia="Times New Roman" w:hAnsi="Times New Roman"/>
          <w:sz w:val="19"/>
          <w:szCs w:val="19"/>
          <w:color w:val="auto"/>
          <w:vertAlign w:val="superscript"/>
        </w:rPr>
        <w:t>(2)</w:t>
      </w:r>
    </w:p>
    <w:p>
      <w:pPr>
        <w:spacing w:after="0" w:line="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Entities affiliated with SR One</w:t>
      </w:r>
      <w:r>
        <w:rPr>
          <w:rFonts w:ascii="Times New Roman" w:cs="Times New Roman" w:eastAsia="Times New Roman" w:hAnsi="Times New Roman"/>
          <w:sz w:val="19"/>
          <w:szCs w:val="1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-14605</wp:posOffset>
            </wp:positionV>
            <wp:extent cx="4241800" cy="1466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5"/>
          <w:szCs w:val="15"/>
          <w:color w:val="auto"/>
        </w:rPr>
        <w:t>Entities affiliated with Longitude Capital</w:t>
      </w:r>
      <w:r>
        <w:rPr>
          <w:rFonts w:ascii="Times New Roman" w:cs="Times New Roman" w:eastAsia="Times New Roman" w:hAnsi="Times New Roman"/>
          <w:sz w:val="19"/>
          <w:szCs w:val="19"/>
          <w:color w:val="auto"/>
          <w:vertAlign w:val="superscript"/>
        </w:rPr>
        <w:t>(4)</w:t>
      </w:r>
    </w:p>
    <w:p>
      <w:pPr>
        <w:spacing w:after="0" w:line="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Tellus BioVentures LLC</w:t>
      </w:r>
      <w:r>
        <w:rPr>
          <w:rFonts w:ascii="Times New Roman" w:cs="Times New Roman" w:eastAsia="Times New Roman" w:hAnsi="Times New Roman"/>
          <w:sz w:val="19"/>
          <w:szCs w:val="19"/>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-14605</wp:posOffset>
            </wp:positionV>
            <wp:extent cx="4241800" cy="1466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5"/>
          <w:szCs w:val="15"/>
          <w:color w:val="auto"/>
        </w:rPr>
        <w:t>Entities affiliated with Fairmount Funds Management LLC</w:t>
      </w:r>
      <w:r>
        <w:rPr>
          <w:rFonts w:ascii="Times New Roman" w:cs="Times New Roman" w:eastAsia="Times New Roman" w:hAnsi="Times New Roman"/>
          <w:sz w:val="19"/>
          <w:szCs w:val="19"/>
          <w:color w:val="auto"/>
          <w:vertAlign w:val="superscript"/>
        </w:rPr>
        <w:t>(6)</w:t>
      </w:r>
    </w:p>
    <w:p>
      <w:pPr>
        <w:spacing w:after="0" w:line="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Entities affiliated with New Enterprise Associates</w:t>
      </w:r>
      <w:r>
        <w:rPr>
          <w:rFonts w:ascii="Times New Roman" w:cs="Times New Roman" w:eastAsia="Times New Roman" w:hAnsi="Times New Roman"/>
          <w:sz w:val="19"/>
          <w:szCs w:val="19"/>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-13335</wp:posOffset>
            </wp:positionV>
            <wp:extent cx="4241800" cy="1466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5"/>
          <w:szCs w:val="15"/>
          <w:color w:val="auto"/>
        </w:rPr>
        <w:t>Norwest Venture Partners XVI, LP</w:t>
      </w:r>
      <w:r>
        <w:rPr>
          <w:rFonts w:ascii="Times New Roman" w:cs="Times New Roman" w:eastAsia="Times New Roman" w:hAnsi="Times New Roman"/>
          <w:sz w:val="19"/>
          <w:szCs w:val="19"/>
          <w:color w:val="auto"/>
          <w:vertAlign w:val="superscript"/>
        </w:rPr>
        <w:t>(8)</w:t>
      </w:r>
    </w:p>
    <w:p>
      <w:pPr>
        <w:spacing w:after="0" w:line="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Bristol-Myers Squibb Company</w:t>
      </w:r>
      <w:r>
        <w:rPr>
          <w:rFonts w:ascii="Times New Roman" w:cs="Times New Roman" w:eastAsia="Times New Roman" w:hAnsi="Times New Roman"/>
          <w:sz w:val="19"/>
          <w:szCs w:val="19"/>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-14605</wp:posOffset>
            </wp:positionV>
            <wp:extent cx="4241800" cy="132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Directors and Named Executive Officers</w:t>
      </w:r>
      <w:r>
        <w:rPr>
          <w:rFonts w:ascii="Times New Roman" w:cs="Times New Roman" w:eastAsia="Times New Roman" w:hAnsi="Times New Roman"/>
          <w:sz w:val="15"/>
          <w:szCs w:val="15"/>
          <w:color w:val="auto"/>
        </w:rPr>
        <w:t>:</w:t>
      </w:r>
    </w:p>
    <w:p>
      <w:pPr>
        <w:spacing w:after="0" w:line="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Leon O. Moulder, Jr</w:t>
      </w:r>
      <w:r>
        <w:rPr>
          <w:rFonts w:ascii="Times New Roman" w:cs="Times New Roman" w:eastAsia="Times New Roman" w:hAnsi="Times New Roman"/>
          <w:sz w:val="19"/>
          <w:szCs w:val="19"/>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4241800" cy="1536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241800" cy="153670"/>
                    </a:xfrm>
                    <a:prstGeom prst="rect">
                      <a:avLst/>
                    </a:prstGeom>
                    <a:noFill/>
                  </pic:spPr>
                </pic:pic>
              </a:graphicData>
            </a:graphic>
          </wp:anchor>
        </w:drawing>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Hua Mu, M.D., Ph.D</w:t>
      </w:r>
      <w:r>
        <w:rPr>
          <w:rFonts w:ascii="Times New Roman" w:cs="Times New Roman" w:eastAsia="Times New Roman" w:hAnsi="Times New Roman"/>
          <w:sz w:val="19"/>
          <w:szCs w:val="19"/>
          <w:color w:val="auto"/>
          <w:vertAlign w:val="superscript"/>
        </w:rPr>
        <w:t>(11)</w:t>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Jennifer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-1905</wp:posOffset>
            </wp:positionV>
            <wp:extent cx="4241800" cy="1536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241800" cy="153670"/>
                    </a:xfrm>
                    <a:prstGeom prst="rect">
                      <a:avLst/>
                    </a:prstGeom>
                    <a:noFill/>
                  </pic:spPr>
                </pic:pic>
              </a:graphicData>
            </a:graphic>
          </wp:anchor>
        </w:drawing>
      </w:r>
    </w:p>
    <w:p>
      <w:pPr>
        <w:spacing w:after="0" w:line="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Tanya Z. Fischer, M.D., Ph.D</w:t>
      </w:r>
      <w:r>
        <w:rPr>
          <w:rFonts w:ascii="Times New Roman" w:cs="Times New Roman" w:eastAsia="Times New Roman" w:hAnsi="Times New Roman"/>
          <w:sz w:val="19"/>
          <w:szCs w:val="19"/>
          <w:color w:val="auto"/>
          <w:vertAlign w:val="superscript"/>
        </w:rPr>
        <w:t>(12)</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spacing w:after="0"/>
              <w:rPr>
                <w:sz w:val="17"/>
                <w:szCs w:val="17"/>
                <w:color w:val="auto"/>
              </w:rPr>
            </w:pPr>
          </w:p>
        </w:tc>
        <w:tc>
          <w:tcPr>
            <w:tcW w:w="320" w:type="dxa"/>
            <w:vAlign w:val="bottom"/>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1"/>
        </w:trPr>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53"/>
        </w:trPr>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1"/>
        </w:trPr>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42"/>
        </w:trPr>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0"/>
        </w:trPr>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42"/>
        </w:trPr>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200" w:lineRule="exact"/>
        <w:rPr>
          <w:sz w:val="20"/>
          <w:szCs w:val="20"/>
          <w:color w:val="auto"/>
        </w:rPr>
      </w:pPr>
    </w:p>
    <w:p>
      <w:pPr>
        <w:sectPr>
          <w:pgSz w:w="11900" w:h="16838" w:orient="portrait"/>
          <w:cols w:equalWidth="0" w:num="2">
            <w:col w:w="5040" w:space="60"/>
            <w:col w:w="3919"/>
          </w:cols>
          <w:pgMar w:left="1440" w:top="98" w:right="1440" w:bottom="1440" w:gutter="0" w:footer="0" w:header="0"/>
          <w:type w:val="continuous"/>
        </w:sectPr>
      </w:pP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90" w:name="page191"/>
    <w:bookmarkEnd w:id="19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192" w:lineRule="exact"/>
        <w:rPr>
          <w:sz w:val="20"/>
          <w:szCs w:val="20"/>
          <w:color w:val="auto"/>
        </w:rPr>
      </w:pPr>
    </w:p>
    <w:p>
      <w:pPr>
        <w:jc w:val="right"/>
        <w:ind w:right="1980"/>
        <w:spacing w:after="0"/>
        <w:rPr>
          <w:sz w:val="20"/>
          <w:szCs w:val="20"/>
          <w:color w:val="auto"/>
        </w:rPr>
      </w:pPr>
      <w:r>
        <w:rPr>
          <w:rFonts w:ascii="Times New Roman" w:cs="Times New Roman" w:eastAsia="Times New Roman" w:hAnsi="Times New Roman"/>
          <w:sz w:val="12"/>
          <w:szCs w:val="12"/>
          <w:b w:val="1"/>
          <w:bCs w:val="1"/>
          <w:color w:val="auto"/>
        </w:rPr>
        <w:t>Name of Beneficial Owner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jc w:val="center"/>
              <w:ind w:right="5"/>
              <w:spacing w:after="0"/>
              <w:rPr>
                <w:sz w:val="20"/>
                <w:szCs w:val="20"/>
                <w:color w:val="auto"/>
              </w:rPr>
            </w:pPr>
            <w:r>
              <w:rPr>
                <w:rFonts w:ascii="Times New Roman" w:cs="Times New Roman" w:eastAsia="Times New Roman" w:hAnsi="Times New Roman"/>
                <w:sz w:val="12"/>
                <w:szCs w:val="12"/>
                <w:b w:val="1"/>
                <w:bCs w:val="1"/>
                <w:color w:val="auto"/>
                <w:w w:val="93"/>
              </w:rPr>
              <w:t>Number of</w:t>
            </w:r>
          </w:p>
        </w:tc>
        <w:tc>
          <w:tcPr>
            <w:tcW w:w="2120" w:type="dxa"/>
            <w:vAlign w:val="bottom"/>
            <w:gridSpan w:val="8"/>
          </w:tcPr>
          <w:p>
            <w:pPr>
              <w:jc w:val="right"/>
              <w:spacing w:after="0"/>
              <w:rPr>
                <w:sz w:val="20"/>
                <w:szCs w:val="20"/>
                <w:color w:val="auto"/>
              </w:rPr>
            </w:pPr>
            <w:r>
              <w:rPr>
                <w:rFonts w:ascii="Times New Roman" w:cs="Times New Roman" w:eastAsia="Times New Roman" w:hAnsi="Times New Roman"/>
                <w:sz w:val="23"/>
                <w:szCs w:val="23"/>
                <w:b w:val="1"/>
                <w:bCs w:val="1"/>
                <w:color w:val="auto"/>
                <w:w w:val="97"/>
                <w:vertAlign w:val="subscript"/>
              </w:rPr>
              <w:t>​</w:t>
            </w:r>
            <w:r>
              <w:rPr>
                <w:rFonts w:ascii="Times New Roman" w:cs="Times New Roman" w:eastAsia="Times New Roman" w:hAnsi="Times New Roman"/>
                <w:sz w:val="12"/>
                <w:szCs w:val="12"/>
                <w:b w:val="1"/>
                <w:bCs w:val="1"/>
                <w:color w:val="auto"/>
                <w:w w:val="97"/>
              </w:rPr>
              <w:t xml:space="preserve"> Percentage of Shares Beneficially Owned </w:t>
            </w:r>
            <w:r>
              <w:rPr>
                <w:rFonts w:ascii="Times New Roman" w:cs="Times New Roman" w:eastAsia="Times New Roman" w:hAnsi="Times New Roman"/>
                <w:sz w:val="23"/>
                <w:szCs w:val="23"/>
                <w:b w:val="1"/>
                <w:bCs w:val="1"/>
                <w:color w:val="auto"/>
                <w:w w:val="97"/>
                <w:vertAlign w:val="subscript"/>
              </w:rPr>
              <w:t>​</w:t>
            </w:r>
          </w:p>
        </w:tc>
      </w:tr>
      <w:tr>
        <w:trPr>
          <w:trHeight w:val="81"/>
        </w:trPr>
        <w:tc>
          <w:tcPr>
            <w:tcW w:w="60" w:type="dxa"/>
            <w:vAlign w:val="bottom"/>
          </w:tcPr>
          <w:p>
            <w:pPr>
              <w:spacing w:after="0"/>
              <w:rPr>
                <w:sz w:val="7"/>
                <w:szCs w:val="7"/>
                <w:color w:val="auto"/>
              </w:rPr>
            </w:pPr>
          </w:p>
        </w:tc>
        <w:tc>
          <w:tcPr>
            <w:tcW w:w="580" w:type="dxa"/>
            <w:vAlign w:val="bottom"/>
          </w:tcPr>
          <w:p>
            <w:pPr>
              <w:jc w:val="center"/>
              <w:ind w:right="5"/>
              <w:spacing w:after="0" w:line="82" w:lineRule="exact"/>
              <w:rPr>
                <w:sz w:val="20"/>
                <w:szCs w:val="20"/>
                <w:color w:val="auto"/>
              </w:rPr>
            </w:pPr>
            <w:r>
              <w:rPr>
                <w:rFonts w:ascii="Times New Roman" w:cs="Times New Roman" w:eastAsia="Times New Roman" w:hAnsi="Times New Roman"/>
                <w:sz w:val="9"/>
                <w:szCs w:val="9"/>
                <w:b w:val="1"/>
                <w:bCs w:val="1"/>
                <w:color w:val="auto"/>
              </w:rPr>
              <w:t>Shares</w:t>
            </w:r>
          </w:p>
        </w:tc>
        <w:tc>
          <w:tcPr>
            <w:tcW w:w="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132"/>
        </w:trPr>
        <w:tc>
          <w:tcPr>
            <w:tcW w:w="64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Beneficially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101"/>
              <w:spacing w:after="0" w:line="132" w:lineRule="exact"/>
              <w:rPr>
                <w:sz w:val="20"/>
                <w:szCs w:val="20"/>
                <w:color w:val="auto"/>
              </w:rPr>
            </w:pPr>
            <w:r>
              <w:rPr>
                <w:rFonts w:ascii="Times New Roman" w:cs="Times New Roman" w:eastAsia="Times New Roman" w:hAnsi="Times New Roman"/>
                <w:sz w:val="12"/>
                <w:szCs w:val="12"/>
                <w:b w:val="1"/>
                <w:bCs w:val="1"/>
                <w:color w:val="auto"/>
                <w:w w:val="94"/>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101"/>
              <w:spacing w:after="0" w:line="132" w:lineRule="exact"/>
              <w:rPr>
                <w:sz w:val="20"/>
                <w:szCs w:val="20"/>
                <w:color w:val="auto"/>
              </w:rPr>
            </w:pPr>
            <w:r>
              <w:rPr>
                <w:rFonts w:ascii="Times New Roman" w:cs="Times New Roman" w:eastAsia="Times New Roman" w:hAnsi="Times New Roman"/>
                <w:sz w:val="12"/>
                <w:szCs w:val="12"/>
                <w:b w:val="1"/>
                <w:bCs w:val="1"/>
                <w:color w:val="auto"/>
                <w:w w:val="95"/>
              </w:rPr>
              <w:t>After</w:t>
            </w:r>
          </w:p>
        </w:tc>
        <w:tc>
          <w:tcPr>
            <w:tcW w:w="40" w:type="dxa"/>
            <w:vAlign w:val="bottom"/>
          </w:tcPr>
          <w:p>
            <w:pPr>
              <w:spacing w:after="0"/>
              <w:rPr>
                <w:sz w:val="11"/>
                <w:szCs w:val="11"/>
                <w:color w:val="auto"/>
              </w:rPr>
            </w:pPr>
          </w:p>
        </w:tc>
      </w:tr>
      <w:tr>
        <w:trPr>
          <w:trHeight w:val="175"/>
        </w:trPr>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Owned</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2"/>
                <w:szCs w:val="12"/>
                <w:b w:val="1"/>
                <w:bCs w:val="1"/>
                <w:color w:val="auto"/>
                <w:w w:val="95"/>
              </w:rPr>
              <w:t>Offering</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2"/>
                <w:szCs w:val="12"/>
                <w:b w:val="1"/>
                <w:bCs w:val="1"/>
                <w:color w:val="auto"/>
                <w:w w:val="90"/>
              </w:rPr>
              <w:t>Offering</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-6350</wp:posOffset>
            </wp:positionV>
            <wp:extent cx="20955"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-6350</wp:posOffset>
            </wp:positionV>
            <wp:extent cx="20955"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0955" cy="69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400" w:space="720"/>
            <w:col w:w="3899"/>
          </w:cols>
          <w:pgMar w:left="1440" w:top="98" w:right="1440" w:bottom="1440" w:gutter="0" w:footer="0" w:header="0"/>
        </w:sectPr>
      </w:pPr>
    </w:p>
    <w:tbl>
      <w:tblPr>
        <w:tblLayout w:type="fixed"/>
        <w:tblInd w:w="1160" w:type="dxa"/>
        <w:tblCellMar>
          <w:top w:w="0" w:type="dxa"/>
          <w:left w:w="0" w:type="dxa"/>
          <w:bottom w:w="0" w:type="dxa"/>
          <w:right w:w="0" w:type="dxa"/>
        </w:tblCellMar>
      </w:tblPr>
      <w:tr>
        <w:trPr>
          <w:trHeight w:val="178"/>
        </w:trPr>
        <w:tc>
          <w:tcPr>
            <w:tcW w:w="12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Patricia Allen</w:t>
            </w:r>
          </w:p>
        </w:tc>
        <w:tc>
          <w:tcPr>
            <w:tcW w:w="260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38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James Boylan</w:t>
            </w:r>
            <w:r>
              <w:rPr>
                <w:rFonts w:ascii="Times New Roman" w:cs="Times New Roman" w:eastAsia="Times New Roman" w:hAnsi="Times New Roman"/>
                <w:sz w:val="19"/>
                <w:szCs w:val="19"/>
                <w:color w:val="auto"/>
                <w:vertAlign w:val="superscript"/>
              </w:rPr>
              <w:t>(2)</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Patrick Enright</w:t>
            </w:r>
            <w:r>
              <w:rPr>
                <w:rFonts w:ascii="Times New Roman" w:cs="Times New Roman" w:eastAsia="Times New Roman" w:hAnsi="Times New Roman"/>
                <w:sz w:val="19"/>
                <w:szCs w:val="19"/>
                <w:color w:val="auto"/>
                <w:vertAlign w:val="superscript"/>
              </w:rPr>
              <w:t>(4)</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38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Tomas Kiselak</w:t>
            </w:r>
            <w:r>
              <w:rPr>
                <w:rFonts w:ascii="Times New Roman" w:cs="Times New Roman" w:eastAsia="Times New Roman" w:hAnsi="Times New Roman"/>
                <w:sz w:val="19"/>
                <w:szCs w:val="19"/>
                <w:color w:val="auto"/>
                <w:vertAlign w:val="superscript"/>
              </w:rPr>
              <w:t>(6)</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Hongbo Lu, Ph.D</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38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Jake Nunn</w:t>
            </w:r>
            <w:r>
              <w:rPr>
                <w:rFonts w:ascii="Times New Roman" w:cs="Times New Roman" w:eastAsia="Times New Roman" w:hAnsi="Times New Roman"/>
                <w:sz w:val="19"/>
                <w:szCs w:val="19"/>
                <w:color w:val="auto"/>
                <w:vertAlign w:val="superscript"/>
              </w:rPr>
              <w:t>(3)</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John Orloff, M.D</w:t>
            </w:r>
            <w:r>
              <w:rPr>
                <w:rFonts w:ascii="Times New Roman" w:cs="Times New Roman" w:eastAsia="Times New Roman" w:hAnsi="Times New Roman"/>
                <w:sz w:val="19"/>
                <w:szCs w:val="19"/>
                <w:color w:val="auto"/>
                <w:vertAlign w:val="superscript"/>
              </w:rPr>
              <w:t>(13)</w:t>
            </w:r>
            <w:r>
              <w:rPr>
                <w:rFonts w:ascii="Times New Roman" w:cs="Times New Roman" w:eastAsia="Times New Roman" w:hAnsi="Times New Roman"/>
                <w:sz w:val="15"/>
                <w:szCs w:val="15"/>
                <w:color w:val="auto"/>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8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Ting (Tim) Xiao</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All executive officers and directors as a group (12 persons)</w:t>
            </w:r>
            <w:r>
              <w:rPr>
                <w:rFonts w:ascii="Times New Roman" w:cs="Times New Roman" w:eastAsia="Times New Roman" w:hAnsi="Times New Roman"/>
                <w:sz w:val="19"/>
                <w:szCs w:val="19"/>
                <w:color w:val="auto"/>
                <w:vertAlign w:val="superscript"/>
              </w:rPr>
              <w:t>(14)</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104775</wp:posOffset>
            </wp:positionV>
            <wp:extent cx="446405"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37" w:lineRule="exact"/>
        <w:rPr>
          <w:sz w:val="20"/>
          <w:szCs w:val="20"/>
          <w:color w:val="auto"/>
        </w:rPr>
      </w:pPr>
    </w:p>
    <w:p>
      <w:pPr>
        <w:jc w:val="both"/>
        <w:ind w:left="1460" w:right="1179" w:hanging="296"/>
        <w:spacing w:after="0"/>
        <w:tabs>
          <w:tab w:leader="none" w:pos="146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shares of common stock held by Xencor. Xencor has sole voting and dispositive power over the shares, and no individual or other entity is deemed to hold any beneficial ownership in the shares. The principal business address of Xencor is 465 North Halstead Street, Suite 200 Pasadena, California 91107.</w:t>
      </w:r>
    </w:p>
    <w:p>
      <w:pPr>
        <w:spacing w:after="0" w:line="36" w:lineRule="exact"/>
        <w:rPr>
          <w:rFonts w:ascii="Times New Roman" w:cs="Times New Roman" w:eastAsia="Times New Roman" w:hAnsi="Times New Roman"/>
          <w:sz w:val="12"/>
          <w:szCs w:val="12"/>
          <w:color w:val="auto"/>
        </w:rPr>
      </w:pPr>
    </w:p>
    <w:p>
      <w:pPr>
        <w:jc w:val="both"/>
        <w:ind w:left="1460" w:right="1179" w:hanging="296"/>
        <w:spacing w:after="0" w:line="235" w:lineRule="auto"/>
        <w:tabs>
          <w:tab w:leader="none" w:pos="146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shares of common stock held by Zebra Aggregator, LP (“Zebra”), a limited partnership affiliated with Enavate Sciences. Enavate Sciences GP, LLC (“Enavate GP”) is the general partner of Zebra. Voting, investment and dispositive power with respect to the shares held by Zebra are made collectively by the managers of Enavate GP: Jim Momtazee, Laura Furmanski, Neel Varshney and James P. Boylan, a member of our Board. Mr. Boylan disclaims beneficial ownership of such securities. The address is 1209 Orange Street, Wilmington, New Castle, Delaware 19801.</w:t>
      </w:r>
    </w:p>
    <w:p>
      <w:pPr>
        <w:spacing w:after="0" w:line="50" w:lineRule="exact"/>
        <w:rPr>
          <w:sz w:val="20"/>
          <w:szCs w:val="20"/>
          <w:color w:val="auto"/>
        </w:rPr>
      </w:pPr>
    </w:p>
    <w:p>
      <w:pPr>
        <w:jc w:val="both"/>
        <w:ind w:left="1460" w:right="1179" w:hanging="299"/>
        <w:spacing w:after="0" w:line="239" w:lineRule="auto"/>
        <w:tabs>
          <w:tab w:leader="none" w:pos="1440" w:val="left"/>
        </w:tabs>
        <w:rPr>
          <w:sz w:val="20"/>
          <w:szCs w:val="20"/>
          <w:color w:val="auto"/>
        </w:rPr>
      </w:pPr>
      <w:r>
        <w:rPr>
          <w:rFonts w:ascii="Times New Roman" w:cs="Times New Roman" w:eastAsia="Times New Roman" w:hAnsi="Times New Roman"/>
          <w:sz w:val="12"/>
          <w:szCs w:val="12"/>
          <w:color w:val="auto"/>
        </w:rPr>
        <w:t>(3)</w:t>
        <w:tab/>
        <w:t>Consists of (i)                     shares of common stock held by SR One Capital Fund II Aggregator, L.P. (“SR One Fund”), (ii)                                shares  of  common  stock  held  by  SR  One  Capital  Opportunities  Fund  I,  LP  (“SR  One  Capital</w:t>
      </w:r>
    </w:p>
    <w:p>
      <w:pPr>
        <w:spacing w:after="0" w:line="1" w:lineRule="exact"/>
        <w:rPr>
          <w:sz w:val="20"/>
          <w:szCs w:val="20"/>
          <w:color w:val="auto"/>
        </w:rPr>
      </w:pPr>
    </w:p>
    <w:p>
      <w:pPr>
        <w:jc w:val="both"/>
        <w:ind w:left="1460" w:right="1179"/>
        <w:spacing w:after="0" w:line="230" w:lineRule="auto"/>
        <w:rPr>
          <w:sz w:val="20"/>
          <w:szCs w:val="20"/>
          <w:color w:val="auto"/>
        </w:rPr>
      </w:pPr>
      <w:r>
        <w:rPr>
          <w:rFonts w:ascii="Times New Roman" w:cs="Times New Roman" w:eastAsia="Times New Roman" w:hAnsi="Times New Roman"/>
          <w:sz w:val="12"/>
          <w:szCs w:val="12"/>
          <w:color w:val="auto"/>
        </w:rPr>
        <w:t>Opportunities”), and (iii)                               shares of common stock held by AMZL, LP (“AMZL”). SR One Capital Partners II, LP, is the general partner of SR One Fund. SR One Capital Opportunities Partners I, LP, is the general partner of SR One Capital Opportunities. SR One Capital SMA Partners, LP is the general partner of AMZL. SR One Capital Management, LLC, or SR One Capital Management, is the general partner of SR One Capital Partners II, LP, SR One Capital Opportunities Partners I, LP, and SR One Capital SMA Partners, LP. Simeon George, MD, is the Manager of SR One Capital Management, LP. SR One Capital Partners II, LP, SR One Capital Management, LP, and Simeon George, MD share voting and dispositive power with respect to the shares directly held by SR One Fund. SR One Capital Opportunities Partners I, LP, SR One Capital Management, LP, and Simeon George, MD share voting and dispositive power with respect to the shares directly held by SR One Capital Opportunities. SR One Capital SMA Partners, LP, SR One Capital Management, LP, and Simeon George, MD share voting and dispositive power with respect to the shares directly held by AMZL. Jake Nunn is a Partner at SR One Capital Management, LP, an entity affiliated with SR One Fund, SR One Capital Opportunities, and AMZL, and a member of our board of directors, and has no voting or dispositive power with respect to any of the above referenced shares and disclaims beneficial ownership of such shares except to the extent of her pecuniary interest therein. All indirect holders of the above referenced shares disclaim beneficial ownership of all applicable shares except to the extent of their pecuniary interest therein. The address for these entities is 985 Old Eagle School Road, Suite 511, Wayne, PA 19087.</w:t>
      </w:r>
    </w:p>
    <w:p>
      <w:pPr>
        <w:spacing w:after="0" w:line="37" w:lineRule="exact"/>
        <w:rPr>
          <w:sz w:val="20"/>
          <w:szCs w:val="20"/>
          <w:color w:val="auto"/>
        </w:rPr>
      </w:pPr>
    </w:p>
    <w:p>
      <w:pPr>
        <w:jc w:val="center"/>
        <w:ind w:right="59"/>
        <w:spacing w:after="0"/>
        <w:tabs>
          <w:tab w:leader="none" w:pos="140" w:val="left"/>
        </w:tabs>
        <w:rPr>
          <w:sz w:val="20"/>
          <w:szCs w:val="20"/>
          <w:color w:val="auto"/>
        </w:rPr>
      </w:pPr>
      <w:r>
        <w:rPr>
          <w:rFonts w:ascii="Times New Roman" w:cs="Times New Roman" w:eastAsia="Times New Roman" w:hAnsi="Times New Roman"/>
          <w:sz w:val="12"/>
          <w:szCs w:val="12"/>
          <w:color w:val="auto"/>
        </w:rPr>
        <w:t>(4)</w:t>
        <w:tab/>
        <w:t xml:space="preserve">Consists of (i)                     shares of common stock held by Longitude Venture Partners IV, L.P. (“LVPIV”) and (ii)               </w:t>
      </w:r>
    </w:p>
    <w:p>
      <w:pPr>
        <w:spacing w:after="0" w:line="6" w:lineRule="exact"/>
        <w:rPr>
          <w:sz w:val="20"/>
          <w:szCs w:val="20"/>
          <w:color w:val="auto"/>
        </w:rPr>
      </w:pPr>
    </w:p>
    <w:p>
      <w:pPr>
        <w:jc w:val="both"/>
        <w:ind w:left="1460" w:right="1179"/>
        <w:spacing w:after="0" w:line="230" w:lineRule="auto"/>
        <w:rPr>
          <w:sz w:val="20"/>
          <w:szCs w:val="20"/>
          <w:color w:val="auto"/>
        </w:rPr>
      </w:pPr>
      <w:r>
        <w:rPr>
          <w:rFonts w:ascii="Times New Roman" w:cs="Times New Roman" w:eastAsia="Times New Roman" w:hAnsi="Times New Roman"/>
          <w:sz w:val="12"/>
          <w:szCs w:val="12"/>
          <w:color w:val="auto"/>
        </w:rPr>
        <w:t>    shares of common stock held by Longitude Prime Fund, L.P. (“LPF”). Longitude Capital Partners IV, LLC (“LCPIV”) is the general partner of LVPIV and may be deemed to have voting, investment and dispositive power with respect to these securities. Longitude Prime Partners, LLC (“LPP”) is the general partner of LPF and may be deemed to have voting, investment and dispositive power with respect to the securities held by LPF. Juliet Tammenoms Bakker and Patrick G. Enright, a member of our Board, are the managing members of LCPIV and LPP and may each be deemed to share voting, investment and dispositive power with respect to these securities. Each of LCPIV, LPP, Ms. Bakker and Mr. Enright disclaims beneficial ownership of such securities except to the extent of their respective pecuniary interests therein. The address for these individuals and entities is 2740 Sand Hill Road, 2nd Floor, Menlo Park, California 94025.</w:t>
      </w:r>
    </w:p>
    <w:p>
      <w:pPr>
        <w:spacing w:after="0" w:line="39" w:lineRule="exact"/>
        <w:rPr>
          <w:sz w:val="20"/>
          <w:szCs w:val="20"/>
          <w:color w:val="auto"/>
        </w:rPr>
      </w:pPr>
    </w:p>
    <w:p>
      <w:pPr>
        <w:jc w:val="both"/>
        <w:ind w:left="1460" w:right="1179" w:hanging="296"/>
        <w:spacing w:after="0" w:line="237" w:lineRule="auto"/>
        <w:tabs>
          <w:tab w:leader="none" w:pos="146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shares of common stock held by Tellus. Leon O. Moulder, Jr. is the Managing Member of Tellus and may be deemed to have sole voting and dispositive power over the shares held by Tellus. Mr. Moulder is our chief executive officer and Chairman of our board of directors. Mr. Moulder disclaims beneficial ownership of such securities except to the extent of his pecuniary interest therein. The principal business address of Tellus is 10520 Trevi Isle Way, Miromar Lakes, FL 33913.</w:t>
      </w:r>
    </w:p>
    <w:p>
      <w:pPr>
        <w:spacing w:after="0" w:line="48" w:lineRule="exact"/>
        <w:rPr>
          <w:rFonts w:ascii="Times New Roman" w:cs="Times New Roman" w:eastAsia="Times New Roman" w:hAnsi="Times New Roman"/>
          <w:sz w:val="12"/>
          <w:szCs w:val="12"/>
          <w:color w:val="auto"/>
        </w:rPr>
      </w:pPr>
    </w:p>
    <w:p>
      <w:pPr>
        <w:jc w:val="both"/>
        <w:ind w:left="1460" w:right="1179" w:hanging="296"/>
        <w:spacing w:after="0" w:line="232" w:lineRule="auto"/>
        <w:tabs>
          <w:tab w:leader="none" w:pos="146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shares of common stock held by Fairmount Healthcare Fund II LP (“Fund II”). Fairmount Funds Management LLC (“Fairmount”) serves as investment manager for Fund II. Fund II has delegated to Fairmount the sole power to vote and the sole power to dispose of all securities held in Fund II’s portfolio. Because Fund II has divested itself of voting and investment power over the securities it holds and may not revoke that delegation on less than 61 days’ notice, Fund II disclaims beneficial ownership of the securities it holds. The general partner of Fairmount is Fairmount Funds Management GP LLC (“Fairmount GP”). As managing members of Fairmount GP, Peter Harwin and Tomas Kiselak may be deemed to have voting and investment power over the shares held by Fund II. Fairmount, Fairmount GP, Peter Harwin and Tomas Kiselak disclaim beneficial ownership of such shares, except to the extent of any pecuniary interest therein. The address of the entities listed is 200 Barr Harbor Drive, Suite 400, West Conshohocken, PA 19428.</w:t>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91" w:name="page192"/>
    <w:bookmarkEnd w:id="19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460" w:right="1179" w:hanging="299"/>
        <w:spacing w:after="0" w:line="225" w:lineRule="auto"/>
        <w:tabs>
          <w:tab w:leader="none" w:pos="1440" w:val="left"/>
        </w:tabs>
        <w:rPr>
          <w:sz w:val="20"/>
          <w:szCs w:val="20"/>
          <w:color w:val="auto"/>
        </w:rPr>
      </w:pPr>
      <w:r>
        <w:rPr>
          <w:rFonts w:ascii="Times New Roman" w:cs="Times New Roman" w:eastAsia="Times New Roman" w:hAnsi="Times New Roman"/>
          <w:sz w:val="12"/>
          <w:szCs w:val="12"/>
          <w:color w:val="auto"/>
        </w:rPr>
        <w:t>(7)</w:t>
        <w:tab/>
        <w:t>Consists of (i)                    shares of common stock held by NEA 18 Venture Growth Equity, L.P (“NEA 18 VGE”) and (ii)                     shares of common stock held of record by NEA Ventures 2024, L.P. (“Ven 2024”). NEA Partners 18 VGE, L.P. (“NEA Partners 18 VGE”) is the sole general partner of NEA 18 VGE. NEA 18 GP VGE, LLC (“NEA 18 VGE LLC”) is the sole general partner of NEA Partners 18 VGE. Ali Behbahani, Carmen Chang, Anthony A. Florence, Jr., Mohamad Makhzoumi, Edward T. Mathers, Scott D. Sandell, Paul E. Walker and Rick Yang are the managers of NEA 18 VGE LLC. The shares held directly by Ven 2024 are indirectly held by Karen Welsh, the general partner of Ven 2024. The address for these entities and Sandell is 1954 Greenspring Drive, Suite 600, Timonium, MD 21093. The address for Behbahani, Chang, Makhzoumi, Walker and Yang is 2855 Sand Hill Road, Menlo Park, CA 94025. The address for Florence and Mathers is 104 5</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Avenue, New York, NY 10011.All indirect holders of the above referenced shares disclaim beneficial ownership of all applicable shares except to the extent of their pecuniary interest therein.</w:t>
      </w:r>
    </w:p>
    <w:p>
      <w:pPr>
        <w:spacing w:after="0" w:line="48" w:lineRule="exact"/>
        <w:rPr>
          <w:sz w:val="20"/>
          <w:szCs w:val="20"/>
          <w:color w:val="auto"/>
        </w:rPr>
      </w:pPr>
    </w:p>
    <w:p>
      <w:pPr>
        <w:jc w:val="both"/>
        <w:ind w:left="1460" w:right="1179" w:hanging="296"/>
        <w:spacing w:after="0"/>
        <w:tabs>
          <w:tab w:leader="none" w:pos="146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shares held of record by Norwest Venture Partners XVI, LP (“NVP XVI”). Genesis VC Partners XVI, LLC (“Genesis XVI”) is the general partner of NVP XVI, and NVP Associates, LLC (“NVP Associates”) is the managing member of Genesis XVI. Each of Jeffrey Crowe and Jon E. Kossow, who are co-chief executive officers of NVP Associates, may be deemed to share voting and dispositive power over the shares held by NVP XVI. Each of Genesis XVI, NVP Associates and Messrs. Crowe and Kossow disclaims beneficial ownership of the securities held by NVP XVI, except to the extent of its or his pecuniary interest therein. The address for each of these entities and individuals is c/o 1300 El Camino Real, Suite 200, Menlo Park CA 94025.</w:t>
      </w:r>
    </w:p>
    <w:p>
      <w:pPr>
        <w:spacing w:after="0" w:line="149" w:lineRule="exact"/>
        <w:rPr>
          <w:rFonts w:ascii="Times New Roman" w:cs="Times New Roman" w:eastAsia="Times New Roman" w:hAnsi="Times New Roman"/>
          <w:sz w:val="12"/>
          <w:szCs w:val="12"/>
          <w:color w:val="auto"/>
        </w:rPr>
      </w:pPr>
    </w:p>
    <w:p>
      <w:pPr>
        <w:jc w:val="both"/>
        <w:ind w:left="1460" w:right="1179" w:hanging="296"/>
        <w:spacing w:after="0"/>
        <w:tabs>
          <w:tab w:leader="none" w:pos="146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shares of common stock held by BMS. BMS has sole voting and dispositive power over the shares, and no individual or other entity is deemed to hold any beneficial ownership in the shares. The principal business address of BMS is Route 206 &amp; Province Line Road, Princeton, New Jersey 08543.</w:t>
      </w:r>
    </w:p>
    <w:p>
      <w:pPr>
        <w:spacing w:after="0" w:line="36" w:lineRule="exact"/>
        <w:rPr>
          <w:rFonts w:ascii="Times New Roman" w:cs="Times New Roman" w:eastAsia="Times New Roman" w:hAnsi="Times New Roman"/>
          <w:sz w:val="12"/>
          <w:szCs w:val="12"/>
          <w:color w:val="auto"/>
        </w:rPr>
      </w:pPr>
    </w:p>
    <w:p>
      <w:pPr>
        <w:ind w:left="1460" w:hanging="296"/>
        <w:spacing w:after="0"/>
        <w:tabs>
          <w:tab w:leader="none" w:pos="146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Consists of (i)             shares of common stock held directly, (ii)             shares of common stock held by Tellus and (iii)            </w:t>
      </w:r>
    </w:p>
    <w:p>
      <w:pPr>
        <w:spacing w:after="0" w:line="5" w:lineRule="exact"/>
        <w:rPr>
          <w:rFonts w:ascii="Times New Roman" w:cs="Times New Roman" w:eastAsia="Times New Roman" w:hAnsi="Times New Roman"/>
          <w:sz w:val="12"/>
          <w:szCs w:val="12"/>
          <w:color w:val="auto"/>
        </w:rPr>
      </w:pPr>
    </w:p>
    <w:p>
      <w:pPr>
        <w:jc w:val="both"/>
        <w:ind w:left="1460" w:right="1179"/>
        <w:spacing w:after="0" w:line="23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common stock underlying outstanding stock options exercisable within 60 days of June 30, 2024. Mr. Moulder is the Managing Member of Tellus and may be deemed to have sole voting and dispositive power over the shares held by Tellus. Mr. Moulder disclaims beneficial ownership of such securities except to the extent of his pecuniary interest therein.</w:t>
      </w:r>
    </w:p>
    <w:p>
      <w:pPr>
        <w:spacing w:after="0" w:line="47"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shares of common stock held directly and (ii)           shares of common stock underlying outstanding stock options exercisable within 60 days of June 30, 2024. Effective December 31, 2023, Dr. Mu separated from the Company.</w:t>
      </w:r>
    </w:p>
    <w:p>
      <w:pPr>
        <w:spacing w:after="0" w:line="31"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August 20, 2024, Dr. Fischer decided to transition from the Company effective December 31, 2024, and in the interim serve as the Executive Research &amp; Development Advisor to the Chief Executive Officer.</w:t>
      </w:r>
    </w:p>
    <w:p>
      <w:pPr>
        <w:spacing w:after="0" w:line="31" w:lineRule="exact"/>
        <w:rPr>
          <w:rFonts w:ascii="Times New Roman" w:cs="Times New Roman" w:eastAsia="Times New Roman" w:hAnsi="Times New Roman"/>
          <w:sz w:val="12"/>
          <w:szCs w:val="12"/>
          <w:color w:val="auto"/>
        </w:rPr>
      </w:pPr>
    </w:p>
    <w:p>
      <w:pPr>
        <w:ind w:left="1460" w:hanging="296"/>
        <w:spacing w:after="0"/>
        <w:tabs>
          <w:tab w:leader="none" w:pos="146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shares of common stock underlying outstanding stock options exercisable within 60 days of June 30, 2024.</w:t>
      </w:r>
    </w:p>
    <w:p>
      <w:pPr>
        <w:spacing w:after="0" w:line="59" w:lineRule="exact"/>
        <w:rPr>
          <w:rFonts w:ascii="Times New Roman" w:cs="Times New Roman" w:eastAsia="Times New Roman" w:hAnsi="Times New Roman"/>
          <w:sz w:val="12"/>
          <w:szCs w:val="12"/>
          <w:color w:val="auto"/>
        </w:rPr>
      </w:pPr>
    </w:p>
    <w:p>
      <w:pPr>
        <w:ind w:left="1460" w:right="1179" w:hanging="296"/>
        <w:spacing w:after="0" w:line="250" w:lineRule="auto"/>
        <w:tabs>
          <w:tab w:leader="none" w:pos="146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shares of common stock held directly, (ii)             shares of common stock underlying outstanding stock options exercisable within 60 days of June 30, 2024 and (iii)             shares of common stock held by Tellus.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2" w:name="page193"/>
    <w:bookmarkEnd w:id="192"/>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CAPITAL STOCK</w:t>
      </w:r>
    </w:p>
    <w:p>
      <w:pPr>
        <w:spacing w:after="0" w:line="124"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i w:val="1"/>
          <w:iCs w:val="1"/>
          <w:color w:val="auto"/>
        </w:rPr>
        <w:t>The following description of our capital stock and provisions of our Restated Charter and Restated Bylaws as they will be in effect prior to the consummation of this offering are summaries and are qualified in their entirety by reference to our Restated Charter and Restated Bylaws that will be in effect prior to the consummation of this offering. Copies of these documents are filed as exhibits to the registration statement of which this prospectus is a part.</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Following the completion of this offering, our authorized capital stock will consist of           shares of common stock, with a par value of $0.0001 per share, and             shares of preferred stock, with a par value of $0.0001 per share, all of which preferred stock will be undesignated.</w:t>
      </w:r>
    </w:p>
    <w:p>
      <w:pPr>
        <w:spacing w:after="0" w:line="83"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As of June 30, 2024, after giving effect to the automatic conversion of all outstanding shares of our convertible preferred stock as of June 30, 2024 into an aggregate of 216,892,920 shares of our common stock immediately prior to the completion of this offering, there were 230,598,212 shares of our common stock outstanding (including 13,086 shares of unvested restricted common stock), held by             stockholders of record, and no shares of preferred stock outstanding.</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Holders of our common stock are entitled to one vote for each share held on all matters submitted to a vote of stockholders and do not have cumulative voting rights. An election of directors by our stockholders shall be determined by a majority of the votes cast by the stockholders entitled to vote on the election, except in the case of a contested election, in which case the election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0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1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Under the terms of our Restated Charter that will be in effect prior to the consummation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0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Upon the completion of this offering, there will be no shares of preferred stock outstanding, and we have no present plans to issue any shares of preferred stock.</w:t>
      </w: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3" w:name="page194"/>
    <w:bookmarkEnd w:id="19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Options</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As of June 30, 2024, options to purchase 37,077,687 shares of our common stock were outstanding, 7,768,884 of which were vested and exercisable as of that date. For additional information regarding the terms of our 2020 Plan, see the sections titled “Executive and Director Compensation—Equity Incentive Plan—2020​ Equity Incentive Plan.”</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Our Shareholders Agreement grants the parties thereto certain registration rights in respect of the “registrable securities” held by them, which securities include (i) the shares of our common stock issuable or issued upon conversion of shares of our convertible preferred stock; and (ii) any common stock issued as (or issuable upon the conversion or exercise of any warrant, right, or other security that is issued as) a dividend or other distribution with respect to, or in exchange for or in replacement of, the shares referenced in clause (i) above. The registration of shares of our common stock pursuant to the exercise of these registration rights would enable the holders thereof to sell such shares without restriction under the Securities Act when the applicable registration statement is declared effective. Under the Shareholders Agreement, we will pay all expenses relating to such registrations, including the fees of one counsel for the participating holders, and the holders will pay all underwriting discounts and commissions relating to the sale of their shares. The Shareholders Agreement includes customary indemnification and procedural terms.</w:t>
      </w:r>
    </w:p>
    <w:p>
      <w:pPr>
        <w:spacing w:after="0" w:line="9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Holders of 230,598,212 shares of our common stock, after giving effect to the automatic conversion of all outstanding shares of our convertible preferred stock as of June 30, 2024 into an aggregate of 216,892,920 shares of our common stock immediately prior to the completion of this offering, will be entitled to such registration rights pursuant to the Shareholders Agreement. These registration rights will expire on the earlier of (i) such time after this offering as Rule 144, or another similar exemption under the Securities Act, is available for the sale of all of such holder’s shares without limitation during a three-month period without registration and (ii) the third anniversary of the consummation of this offering.</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Demand Registration Rights</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At any time beginning six months after the effectiveness of the registration statement of which this prospectus forms a part, the holders of at least 25% of the registrable securities then outstanding may request that we file a registration statement on Form S-1, if the aggregate offering price of the registrable securities requested to be registered would exceed $20 million.</w:t>
      </w:r>
    </w:p>
    <w:p>
      <w:pPr>
        <w:spacing w:after="0" w:line="100"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Once we are eligible to use a registration statement on Form S-3 for a period of at least twelve months, any holder of the registrable shares then outstanding may request that we file a registration statement on Form S-3 with respect to such holders’ registrable securities then outstanding.</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Piggyback Registration Rights</w:t>
      </w:r>
    </w:p>
    <w:p>
      <w:pPr>
        <w:spacing w:after="0" w:line="11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the event that we propose to register any of our securities under the Securities Act, either for our own account or for the account of other security holders, the stockholders party to the Shareholders Agreement will be entitled to certain “piggyback” registration rights allowing them to include their registrable securities in such registration, subject to certain marketing and other limitations. As a result, whenever we propose to file a registration statement under the Securities Act other than with respect to a demand registration or a registration statement on Form S-4 or S-8, these holders will be entitled to notice of the registration and will have fifteen days to request the inclusion of their registrable securities in the registration subject to certain limitations. If a holder decides not to include all or any of their registrable securities in the registration, such holder shall nonetheless have the right to include any registrable securities in any subsequent registration, on the same terms and conditions.</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Anti-takeover Effects of Our Restated Charter and Our Restated Bylaws</w:t>
      </w:r>
    </w:p>
    <w:p>
      <w:pPr>
        <w:spacing w:after="0" w:line="126"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Our Restated Charter and Restated Bylaws, which will be in effect prior to the consummation of this offering, will contain certain provisions that are intended to enhance the likelihood of continuity and stability</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4" w:name="page195"/>
    <w:bookmarkEnd w:id="19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in the composition of our board of directors but which may have the effect of delaying, deferring or preventing a future takeover or change in control of us unless such takeover or change in control is approved by our board of directors.</w:t>
      </w:r>
    </w:p>
    <w:p>
      <w:pPr>
        <w:spacing w:after="0" w:line="8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These provisions include:</w:t>
      </w:r>
    </w:p>
    <w:p>
      <w:pPr>
        <w:spacing w:after="0" w:line="122"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i w:val="1"/>
          <w:iCs w:val="1"/>
          <w:color w:val="auto"/>
        </w:rPr>
        <w:t xml:space="preserve">Classified board. </w:t>
      </w:r>
      <w:r>
        <w:rPr>
          <w:rFonts w:ascii="Times New Roman" w:cs="Times New Roman" w:eastAsia="Times New Roman" w:hAnsi="Times New Roman"/>
          <w:sz w:val="15"/>
          <w:szCs w:val="15"/>
          <w:color w:val="auto"/>
        </w:rPr>
        <w:t>Our Restated Charter will provide that our board of directors will be divided into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three classes of directors, with the classes as nearly equal in number as possible. As a result, approximately one-third of our board of directors will be elected each year. The classification of directors will have the effect of making it more difficult for stockholders to change the composition of our board of directors. Our Restated Charter will also provide that, subject to any rights of holders of preferred stock to elect additional directors under specified circumstances, the number of directors will be fixed exclusively pursuant to a resolution adopted by our board of directors. Upon completion of this offering, we expect that our board of directors will have nine directors.</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 xml:space="preserve">Action by written consent; special meetings of stockholders. </w:t>
      </w:r>
      <w:r>
        <w:rPr>
          <w:rFonts w:ascii="Times New Roman" w:cs="Times New Roman" w:eastAsia="Times New Roman" w:hAnsi="Times New Roman"/>
          <w:sz w:val="15"/>
          <w:szCs w:val="15"/>
          <w:color w:val="auto"/>
        </w:rPr>
        <w:t>Our Restated Charter will provide that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stockholder action can be taken only at an annual or special meeting of stockholders and cannot be taken by written consent in lieu of a meeting. Our Restated Charter and the Restated Bylaws will also provide that, except as otherwise required by law, special meetings of the stockholders can only be called pursuant to a resolution adopted by a majority of our board of directors. Except as described above, stockholders will not be permitted to call a special meeting or to require our board of directors to call a special meeting.</w:t>
      </w:r>
    </w:p>
    <w:p>
      <w:pPr>
        <w:spacing w:after="0" w:line="97"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i w:val="1"/>
          <w:iCs w:val="1"/>
          <w:color w:val="auto"/>
        </w:rPr>
        <w:t xml:space="preserve">Removal of directors. </w:t>
      </w:r>
      <w:r>
        <w:rPr>
          <w:rFonts w:ascii="Times New Roman" w:cs="Times New Roman" w:eastAsia="Times New Roman" w:hAnsi="Times New Roman"/>
          <w:sz w:val="15"/>
          <w:szCs w:val="15"/>
          <w:color w:val="auto"/>
        </w:rPr>
        <w:t>Our Restated Charter will provide that our directors may be removed only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cause by the affirmative vote of at least a majority of the voting power of our outstanding shares of capital stock, voting together as a single class. This requirement of a supermajority vote to remove directors could enable a minority of our stockholders to prevent a change in the composition of our board of directors.</w:t>
      </w:r>
    </w:p>
    <w:p>
      <w:pPr>
        <w:spacing w:after="0" w:line="81"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 xml:space="preserve">Advance notice procedures. </w:t>
      </w:r>
      <w:r>
        <w:rPr>
          <w:rFonts w:ascii="Times New Roman" w:cs="Times New Roman" w:eastAsia="Times New Roman" w:hAnsi="Times New Roman"/>
          <w:sz w:val="15"/>
          <w:szCs w:val="15"/>
          <w:color w:val="auto"/>
        </w:rPr>
        <w:t>Our Restated Bylaws will establish an advance notice procedure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stockholder proposals to be brought before an annual meeting of our stockholders, including proposed nominations of persons for election to our board of directors. Stockholders at an annual meeting will only be able to consider proposals or nominations specified in the notice of meeting or brought before the meeting by or at the direction of our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Restated Bylaws will not give our board of directors the power to approve or disapprove stockholder nominations of candidates or proposals regarding other business to be conducted at a special or annual meeting, the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237"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i w:val="1"/>
          <w:iCs w:val="1"/>
          <w:color w:val="auto"/>
        </w:rPr>
        <w:t xml:space="preserve">Supermajority approval requirements. </w:t>
      </w:r>
      <w:r>
        <w:rPr>
          <w:rFonts w:ascii="Times New Roman" w:cs="Times New Roman" w:eastAsia="Times New Roman" w:hAnsi="Times New Roman"/>
          <w:sz w:val="15"/>
          <w:szCs w:val="15"/>
          <w:color w:val="auto"/>
        </w:rPr>
        <w:t>The DGCL generally provides that the affirmative vote of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majority of the shares entitled to vote on any matter is required to amend a corporation’s certificate of incorporation or bylaws, unless either a corporation’s certificate of incorporation or bylaws requires a greater percentage. Our Restated Charter and bylaws will provide that the affirmative vote of holders of at least 75% of the total votes eligible to be cast in the election of directors will be required to amend, alter, change or repeal specified provisions. This requirement of a supermajority vote to approve amendments to our Restated Charter and Restated Bylaws could enable a minority of our stockholders to exercise veto power over any such amendments.</w:t>
      </w:r>
    </w:p>
    <w:p>
      <w:pPr>
        <w:spacing w:after="0" w:line="9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i w:val="1"/>
          <w:iCs w:val="1"/>
          <w:color w:val="auto"/>
        </w:rPr>
        <w:t xml:space="preserve">Authorized but unissued shares. </w:t>
      </w:r>
      <w:r>
        <w:rPr>
          <w:rFonts w:ascii="Times New Roman" w:cs="Times New Roman" w:eastAsia="Times New Roman" w:hAnsi="Times New Roman"/>
          <w:sz w:val="15"/>
          <w:szCs w:val="15"/>
          <w:color w:val="auto"/>
        </w:rPr>
        <w:t>Our authorized but unissued shares of common stock and preferred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will be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94"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i w:val="1"/>
          <w:iCs w:val="1"/>
          <w:color w:val="auto"/>
        </w:rPr>
        <w:t xml:space="preserve">Exclusive forum. </w:t>
      </w:r>
      <w:r>
        <w:rPr>
          <w:rFonts w:ascii="Times New Roman" w:cs="Times New Roman" w:eastAsia="Times New Roman" w:hAnsi="Times New Roman"/>
          <w:sz w:val="15"/>
          <w:szCs w:val="15"/>
          <w:color w:val="auto"/>
        </w:rPr>
        <w:t>Our Restated Charter will provide that, subject to limited exceptions, the Court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Chancery of the State of Delaware (or, if, and only if, the Court of Chancery of the State of Delaware dismisses</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5" w:name="page196"/>
    <w:bookmarkEnd w:id="19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a Covered Claim (as defined above) for lack of subject matter jurisdiction, any other state or federal court in the State of Delaware that does have subject matter jurisdiction) will, to the fullest extent permitted by applicable law, be the sole and exclusive forum for Covered Claims. This provision would not apply to claims brought to enforce a duty or liability created by the Exchange Act.</w:t>
      </w:r>
    </w:p>
    <w:p>
      <w:pPr>
        <w:spacing w:after="0" w:line="9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Restated Charter will further provide that the federal district courts of the United States of America will be the exclusive forum for resolving any complaint asserting a cause of action arising under the Securities Act. In addition, our Restated Charter will provide that any person or entity purchasing or otherwise acquiring any interest in the shares of capital stock of the Company will be deemed to have notice of and consented to these choice-of-forum provisions and waived any argument relating to the inconvenience of the forums in connection with any Covered Claim.</w:t>
      </w:r>
    </w:p>
    <w:p>
      <w:pPr>
        <w:spacing w:after="0" w:line="9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choice of forum provisions to be contained in our Restated Charter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While the Delaware courts have determined that such choice of forum provisions are facially valid, it is possible that a court of law in another jurisdiction could rule that the choice of forum provisions to be contained in our Restated Charter are inapplicable or unenforceable if they are challenged in a proceeding or otherwise, which could cause us to incur additional costs associated with resolving such action in other jurisdictions. See the section titled “Risk Factors—Risks Related to This Offering and Our Common Stock—Our Restated Charter will designate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Section 203 of the DGCL</w:t>
      </w:r>
    </w:p>
    <w:p>
      <w:pPr>
        <w:spacing w:after="0" w:line="12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99"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Under Section 203, a business combination between a corporation and an interested stockholder is prohibited unless it satisfies one of the following conditions: before the stockholder became interested, the corporation’s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01"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transfer agent and registrar for our common stock is               . The transfer agent and registrar’s address is           .</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6" w:name="page197"/>
    <w:bookmarkEnd w:id="19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The Nasdaq Global Market Listing</w:t>
      </w:r>
    </w:p>
    <w:p>
      <w:pPr>
        <w:spacing w:after="0" w:line="126"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have applied to have our common stock approved for listing on the Nasdaq Global Market under the symbol “ZBIO,” and this offering is contingent upon obtaining such approval.</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Limitations of Liability and Indemnification Matters</w:t>
      </w:r>
    </w:p>
    <w:p>
      <w:pPr>
        <w:spacing w:after="0" w:line="126"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For a discussion of liability and indemnification, see the section titled “Executive and Director Compensation—Limitations on Liability and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7" w:name="page198"/>
    <w:bookmarkEnd w:id="197"/>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SHARES ELIGIBLE FOR FUTURE SALE</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Immediately prior to this offering, there was no public market for our common stock, and no predictions can be made about the effect, if any, that market sales of our common stock or the availability of such shares for sale will have on the market price prevailing from time to time. Nevertheless, future sales of our common stock in the public market, or the perception that such sales may occur, could adversely affect the market price of our common stock and could impair our ability to raise capital through future sales of our securities. See the section titled “Risk Factors—Risks Related to This Offering and Our Common Stock —A significant portion of our total outstanding shares is restricted from immediate resale but may be sold into the market in the near future, which could cause the market price of our common stock to decline significantly, even if our business is doing well.” Furthermore, although we have applied to have our common stock approved for listing on Nasdaq, we cannot assure you that there will be an active public trading market for our common stock.</w:t>
      </w:r>
    </w:p>
    <w:p>
      <w:pPr>
        <w:spacing w:after="0" w:line="279"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Upon the completion of this offering, based on the number of shares of our common stock outstanding as of June 30, 2024 (including 13,086 shares of unvested restricted common stock), after giving effect to the automatic conversion of all outstanding shares of our convertible preferred stock as of June 30, 2024 into an aggregate of 216,892,920 shares of our common stock immediately prior to the completion of this offering, we will have an aggregate of 230,598,212 shares of our common stock outstanding (or         shares of our common stock if the underwriters exercise in full their over-allotment option). Of these shares of our common stock, all of the             shares sold in this offering (or           shares if the underwriters exercise in full their over-allotment option)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9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All remaining shares of common stock held by existing stockholders immediately prior to the completion of this offering will be “restricted securities” as such term is defined in Rule 144. These restricted securities are eligible for public sale only if they are registered under the Securities Act or if they qualify for an exemption from registration under Rules 144 or 701 under the Securities Act, which are summarized below. We expect that substantially all of these shares will be subject to the 180-day lock-up period under the lock-up agreements described below. Upon expiration of the lock-up period, we estimate that approximately               shares of our common stock will be available for sale in the public market, subject in some cases to applicable volume limitations under Rule 144.</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Lock-Up Agreements</w:t>
      </w:r>
    </w:p>
    <w:p>
      <w:pPr>
        <w:spacing w:after="0" w:line="12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and each of our directors and executive officers and holders of substantially all of our outstanding capital stock, have agreed, among other things and subject to certain exceptions, not to sell or transfer any common stock or securities convertible into, exchangeable for, exercisable for, or repayable with common stock, for 180 days after the date of this prospectus without first obtaining the written consent of Morgan Stanley &amp; Co. LLC and Jefferies LLC.</w:t>
      </w:r>
    </w:p>
    <w:p>
      <w:pPr>
        <w:spacing w:after="0" w:line="101"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Upon the expiration of the lock-up period, substantially all of the shares subject to such lock-up restrictions will become eligible for sale, subject to the limitations discussed above. For a further description of these lock-up agreements, please see the section titled “Underwriters.”</w:t>
      </w:r>
    </w:p>
    <w:p>
      <w:pPr>
        <w:spacing w:after="0" w:line="83"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After the date of the initial public filing of the prospectus,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8" w:name="page199"/>
    <w:bookmarkEnd w:id="19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Rule 144</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Affiliate Resales of Restricted Securities</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(subject to the lock -up agreement referred to above, if applicable) in “broker’s transactions” or certain “riskless principal transactions” or to market makers, a number of shares within any three-month period that does not exceed the greater of:</w:t>
      </w:r>
    </w:p>
    <w:p>
      <w:pPr>
        <w:spacing w:after="0" w:line="64" w:lineRule="exact"/>
        <w:rPr>
          <w:sz w:val="20"/>
          <w:szCs w:val="20"/>
          <w:color w:val="auto"/>
        </w:rPr>
      </w:pPr>
    </w:p>
    <w:p>
      <w:pPr>
        <w:ind w:left="1600" w:hanging="143"/>
        <w:spacing w:after="0"/>
        <w:tabs>
          <w:tab w:leader="none" w:pos="160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 of the number of shares of our common stock then outstanding, which will equal approximately</w:t>
      </w:r>
    </w:p>
    <w:p>
      <w:pPr>
        <w:spacing w:after="0" w:line="17" w:lineRule="exact"/>
        <w:rPr>
          <w:rFonts w:ascii="Times New Roman" w:cs="Times New Roman" w:eastAsia="Times New Roman" w:hAnsi="Times New Roman"/>
          <w:sz w:val="15"/>
          <w:szCs w:val="15"/>
          <w:color w:val="auto"/>
        </w:rPr>
      </w:pPr>
    </w:p>
    <w:p>
      <w:pPr>
        <w:ind w:left="1600" w:right="1179"/>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shares (or               shares if the underwriters exercise their over-allotment option in full) of our common stock immediately after this offering; or</w:t>
      </w:r>
    </w:p>
    <w:p>
      <w:pPr>
        <w:spacing w:after="0" w:line="6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average weekly trading volume in shares of our common stock on Nasdaq during the four calendar weeks preceding the filing of a notice on Form 144 with respect to such sale.</w:t>
      </w:r>
    </w:p>
    <w:p>
      <w:pPr>
        <w:spacing w:after="0" w:line="7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An “affiliate” is a person that directly, or indirectly through one or more intermediaries, controls or is controlled by, or is under common control with an issuer. 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concurrently with either the placing of a sale order with the broker or the execution directly with a market maker.</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Non-affiliate Resales of Restricted Securities</w:t>
      </w:r>
    </w:p>
    <w:p>
      <w:pPr>
        <w:spacing w:after="0" w:line="12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(as well as the lock-up agreement referred to above, if applicable). If such person has held our shares for at least one year, such person can resell under Rule 144(b)(1) without regard to any Rule 144 restrictions, including the 90-day public company requirement and the current public information requirement.</w:t>
      </w:r>
    </w:p>
    <w:p>
      <w:pPr>
        <w:spacing w:after="0" w:line="99"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Non-affiliate resales are not subject to the manner of sale, volume limitation or notice filing provisions of Rule 144.</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Rule 701</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93"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Equity Plans</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intend to file one or more registration statements on Form S-8 under the Securities Act to register all shares of our common stock subject to outstanding options and shares of our common stock issued or issuable under our incentive plans. We expect to file the registration statement covering shares offered pursuant to our</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9" w:name="page200"/>
    <w:bookmarkEnd w:id="19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incentive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Upon the completion of this offering, the holders of             shares of our common stock or their transferees, after giving effect to the automatic conversion of all outstanding shares of our convertible preferred stock as of June 30, 2024 into an aggregate of 216,892,920 shares of our common stock immediately prior to the completion of this offering,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the section titled “Description of Capital Stock—Registration Rights” for additional information. Shares covered by a registration statement will be eligible for sale in the public market upon the expiration or release from the terms of the lock-up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0" w:name="page201"/>
    <w:bookmarkEnd w:id="200"/>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MATERIAL U.S. FEDERAL INCOME TAX CONSEQUENCES TO NON-U.S. HOLDERS OF OUR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following is a summary of the material U.S. federal income tax considerations relating to the purchase, ownership and disposition of our common stock by Non-U.S. Holders (defined below). This summary does not purport to be a complete analysis of all the potential tax considerations relevant to Non-U.S. Holders of our common stock. This summary is based upon the Code, the Treasury regulations promulgated or proposed thereunder and administrative and judicial interpretations thereof, all as of the date hereof and all of which are subject to change at any time, possibly on a retroactive basis.</w:t>
      </w:r>
    </w:p>
    <w:p>
      <w:pPr>
        <w:spacing w:after="0" w:line="99"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This discussion is limited to Non-U.S. Holders that hold our common stock as a “capital asset” within the meaning of Section 1221 of the Code (generally, property held for investment). For purposes of this summary, a “Non-U.S. Holder” means a beneficial owner of common stock that for U.S. federal income tax purposes is not classified as a partnership and is not:</w:t>
      </w:r>
    </w:p>
    <w:p>
      <w:pPr>
        <w:spacing w:after="0" w:line="73" w:lineRule="exact"/>
        <w:rPr>
          <w:sz w:val="20"/>
          <w:szCs w:val="20"/>
          <w:color w:val="auto"/>
        </w:rPr>
      </w:pPr>
    </w:p>
    <w:p>
      <w:pPr>
        <w:ind w:left="1600" w:hanging="143"/>
        <w:spacing w:after="0"/>
        <w:tabs>
          <w:tab w:leader="none" w:pos="16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who is a citizen or resident of the United States;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or any other organization taxable as a corporation for U.S. federal income tax purposes, created or organized in or under the laws of the United States, any state thereof or the District of Columbia;</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the income of which is included in gross income for U.S. federal income tax purposes regardless of its source; or</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4" w:lineRule="auto"/>
        <w:tabs>
          <w:tab w:leader="none" w:pos="16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if (1) a U.S. court is able to exercise primary supervision over the trust’s administration and one or more U.S. persons have the authority to control all of the trust’s substantial decisions or</w:t>
      </w:r>
    </w:p>
    <w:p>
      <w:pPr>
        <w:spacing w:after="0" w:line="1" w:lineRule="exact"/>
        <w:rPr>
          <w:rFonts w:ascii="Times New Roman" w:cs="Times New Roman" w:eastAsia="Times New Roman" w:hAnsi="Times New Roman"/>
          <w:sz w:val="15"/>
          <w:szCs w:val="15"/>
          <w:color w:val="auto"/>
        </w:rPr>
      </w:pPr>
    </w:p>
    <w:p>
      <w:pPr>
        <w:ind w:left="1600" w:right="1179"/>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 the trust has a valid election in effect under applicable U.S. Treasury regulations to be treated as a U.S. person.</w:t>
      </w:r>
    </w:p>
    <w:p>
      <w:pPr>
        <w:spacing w:after="0" w:line="89"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This discussion does not address all U.S. federal income tax consequences relevant to a Non-U.S. Holder’s particular circumstances, including the impact of the alternative minimum tax or the Medicare contribution tax on net investment income. In addition, it does not address consequences relevant to Non-U.S. Holders subject to special rules, including, without limitation:</w:t>
      </w:r>
    </w:p>
    <w:p>
      <w:pPr>
        <w:spacing w:after="0" w:line="67" w:lineRule="exact"/>
        <w:rPr>
          <w:sz w:val="20"/>
          <w:szCs w:val="20"/>
          <w:color w:val="auto"/>
        </w:rPr>
      </w:pPr>
    </w:p>
    <w:p>
      <w:pPr>
        <w:ind w:left="1600" w:hanging="143"/>
        <w:spacing w:after="0"/>
        <w:tabs>
          <w:tab w:leader="none" w:pos="16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expatriates and former citizens or long term residents of the United States;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holding our common stock as part of a hedge, straddle or other risk reduction strategy or as part of a conversion transaction or other integrated investment;</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banks, insurance companies and other financial institutions;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brokers, dealers or traders in securities;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“controlled foreign corporations,” “passive foreign investment companies,” and corporations that accumulate earnings to avoid U.S. federal income tax;</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partnerships or other entities or arrangements treated as partnerships or other pass-through entities for U.S. federal income tax purposes (and investors therein);</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tax-exempt organizations or governmental organizations;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deemed to sell our common stock under the constructive sale provisions of the Code;</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hold or receive our common stock pursuant to the exercise of any employee stock option or otherwise as compensation;</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tax-qualified retirement plans;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hold common stock that constitutes “qualified small business stock” under Section 1202 of the Code, or “Section 1244 stock” under Section 1244 of the Code;</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acquired our common stock in a transaction subject to the gain rollover provisions of the Code (including Section 1045 of the Code);</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acquired our common stock pursuant to the exercise of warrants or conversion rights under convertible instruments;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1" w:name="page202"/>
    <w:bookmarkEnd w:id="20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hanging="143"/>
        <w:spacing w:after="0"/>
        <w:tabs>
          <w:tab w:leader="none" w:pos="160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have elected to mark securities to market;</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own, or have owned, actually or constructively, more than 5% of our common stock;</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“qualified foreign pension funds” as defined in Section 897(l)(2) of the Code and entities all of the interests of which are held by qualified foreign pension funds; and</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subject to special tax accounting rules as a result of any item of gross income with respect to our common stock being taken into account in an applicable financial statement.</w:t>
      </w:r>
    </w:p>
    <w:p>
      <w:pPr>
        <w:spacing w:after="0" w:line="8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If an entity that is classified as a partnership for U.S. federal income tax purposes holds our common stock, the tax treatment of persons treated as its partners for U.S. federal income tax purposes will generally depend upon the status of the partner and the activities of the partnership. Partnerships and other entities that are classified as partnerships for U.S. federal income tax purposes and persons holding our common stock through a partnership or other entity classified as a partnership for U.S. federal income tax purposes are urged to consult their own tax advisors.</w:t>
      </w:r>
    </w:p>
    <w:p>
      <w:pPr>
        <w:spacing w:after="0" w:line="97"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There can be no assurance that the IRS will not challenge one or more of the tax consequences described herein, and we have not obtained, nor do we intend to obtain a ruling from the IRS with respect to the U.S. federal income tax consequences to a Non-U.S. Holder of the purchase, ownership or disposition of our common stock.</w:t>
      </w:r>
    </w:p>
    <w:p>
      <w:pPr>
        <w:spacing w:after="0" w:line="9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b w:val="1"/>
          <w:bCs w:val="1"/>
          <w:color w:val="auto"/>
        </w:rPr>
        <w:t>THIS SUMMARY IS FOR GENERAL INFORMATION ONLY AND IS NOT INTENDED TO BE TAX ADVICE. NON-U.S. HOLDERS ARE URGED TO CONSULT THEIR TAX ADVISORS CONCERNING THE U.S. FEDERAL INCOME TAXATION, STATE, LOCAL AND NON-U.S. TAXATION AND OTHER TAX CONSEQUENCES TO THEM OF THE PURCHASE, OWNERSHIP AND DISPOSITION OF OUR COMMON STOCK.</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Distributions of Our Common Stock</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do not currently expect to make distributions with respect to our common stock. If we make a distribution of cash or property with respect to our common stock, any such distributions generally will constitute dividends for U.S. federal income tax purposes to the extent of our current and accumulated earnings and profits, if any, as determined under U.S. federal income tax principles. If a distribution exceeds our current and accumulated earnings and profits, the excess will constitute a return of capital and will first reduce the holder’s adjusted tax basis in our common stock, but not below zero. Any remaining excess will be treated as capital gain, subject to the tax treatment described below in “—Gain on Sale, Exchange or Other Taxable Disposition of Our Common Stock.” Any such distribution would also be subject to the discussion below under the section titled “—Additional Withholding and Reporting Requirements.”</w:t>
      </w:r>
    </w:p>
    <w:p>
      <w:pPr>
        <w:spacing w:after="0" w:line="98"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Dividends paid to a Non -U.S. Holder generally will be subject to a 30% U.S. federal withholding tax unless such Non-U.S. Holder provides us or our agent, as the case may be, with the appropriate IRS Form W-8, such as:</w:t>
      </w:r>
    </w:p>
    <w:p>
      <w:pPr>
        <w:spacing w:after="0" w:line="63" w:lineRule="exact"/>
        <w:rPr>
          <w:sz w:val="20"/>
          <w:szCs w:val="20"/>
          <w:color w:val="auto"/>
        </w:rPr>
      </w:pPr>
    </w:p>
    <w:p>
      <w:pPr>
        <w:ind w:left="1600" w:right="1179" w:hanging="143"/>
        <w:spacing w:after="0" w:line="269" w:lineRule="auto"/>
        <w:tabs>
          <w:tab w:leader="none" w:pos="160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IRS Form W-8BEN or W-8BEN-E (or successor form) certifying, under penalties of perjury, a reduction in withholding under an applicable income tax treaty, or</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IRS Form W-8ECI (or successor form) certifying that a dividend paid on our common stock is not subject to withholding tax because it is effectively connected with a trade or business in the United States of the Non-U.S. Holder (in which case such dividend generally will be subject to regular graduated U.S. tax rates as described below).</w:t>
      </w:r>
    </w:p>
    <w:p>
      <w:pPr>
        <w:spacing w:after="0" w:line="10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certification requirement described above must be provided to us or our agent prior to the payment of dividends and must be updated periodically. The certification also may require a Non-U.S. Holder that provides an IRS form or that claims treaty benefits to provide its U.S. taxpayer identification number. Special certification and other requirements apply in the case of certain Non -U.S. Holders that hold shares of our common stock through intermediaries or are pass-through entities for U.S. federal income tax purposes.</w:t>
      </w:r>
    </w:p>
    <w:p>
      <w:pPr>
        <w:spacing w:after="0" w:line="25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Each Non-U.S. Holder is urged to consult its own tax advisor about the specific methods for satisfying these requirements. A claim for exemption will not be valid if the person receiving the applicable form has actual knowledge or reason to know that the statements on the form are false.</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2" w:name="page203"/>
    <w:bookmarkEnd w:id="20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If dividends are effectively connected with a trade or business in the United States of a Non-U.S. Holder (and, if required by an applicable income tax treaty, are attributable to a permanent establishment maintained by such Non-U.S. Holder in the United States), the Non-U.S. Holder, although exempt from the withholding tax described above (provided that the certifications described above are satisfied), generally will be subject to U.S. federal income tax on such dividends on a net income basis in the same manner as if it were a resident of the United States. In addition, if a Non-U.S. Holder is treated as a corporation for U.S. federal income tax purposes, the Non-U.S. Holder may be subject to an additional “branch profits tax” equal to 30% (unless reduced by an applicable income treaty) of its earnings and profits in respect of such effectively connected dividend income.</w:t>
      </w:r>
    </w:p>
    <w:p>
      <w:pPr>
        <w:spacing w:after="0" w:line="98"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Non-U.S. Holders that do not timely provide us or our agent with the required certification, but which are eligible for a reduced rate of U.S. federal withholding tax pursuant to an income tax treaty, may obtain a refund or credit of any excess amount withheld by timely filing an appropriate claim for refund with the IRS.</w:t>
      </w:r>
    </w:p>
    <w:p>
      <w:pPr>
        <w:spacing w:after="0" w:line="3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Gain on Sale, Exchange or Other Taxable Disposition of Our Common Stock</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Subject to the discussion below under the section titled “—Additional Withholding and Reporting Requirements,” in general, a Non-U.S. Holder will not be subject to U.S. federal income tax or withholding tax on gain realized upon such holder’s sale, exchange or other taxable disposition of shares of our common stock, unless (1) such Non-U.S. Holder is an individual who is present in the United States for 183 days or more in the taxable year of disposition, and certain other conditions are met, (2) we are or have been a “United States real property holding corporation,” as defined in the Code (a “USRPHC”), at any time within the shorter of the five-year period preceding the disposition and the Non-U.S. Holder’s holding period in the shares of our common stock, and certain other requirements are met, or (3) such gain is effectively connected with the conduct by such Non-U.S. Holder of a trade or business in the United States (and, if required by an applicable income tax treaty, is attributable to a permanent establishment maintained by such Non-U.S. Holder in the United States).</w:t>
      </w:r>
    </w:p>
    <w:p>
      <w:pPr>
        <w:spacing w:after="0" w:line="101"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If the first exception applies, the Non-U.S. Holder generally will be subject to U.S. federal income tax at a rate of 30% (or at a reduced rate under an applicable income tax treaty) on the amount by which such Non-U.S. Holder’s capital gains allocable to U.S. sources exceed capital losses allocable to U.S. sources during the taxable year of the disposition. If the third exception applies, the Non-U.S. Holder generally will be subject to U.S. federal income tax with respect to such gain on a net income basis in the same manner as if it were a resident of the United States and a Non-U.S. Holder that is a corporation for U.S. federal income tax purposes may also be subject to a branch profits tax with respect to any earnings and profits attributable to such gain at a rate of 30% (or at a reduced rate under an applicable income tax treaty).</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With respect to the second exception, generally, a corporation is a USRPHC only if the fair market value of its U.S. real property interests (as defined in the Code) equals or exceeds 50% of the sum of the fair market value of its worldwide real property interests plus its other assets used or held for use in a trade or business. We believe that we are not, and do not anticipate becoming, a USRPHC. Even if we became a USRPHC, a Non-U.S. Holder would not be subject to U.S. federal income tax on a sale, exchange or other taxable disposition of our common stock by reason of our status as USRPHC so long as our common stock is regularly traded on an established securities market at any time during the calendar year in which the disposition occurs and such Non- U.S. Holder does not own and is not deemed to own (directly, indirectly or constructively) more than 5% of our common stock at any time during the shorter of the five year period ending on the date of disposition and the holder’s holding period.</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Additional Withholding and Reporting Requirements</w:t>
      </w:r>
    </w:p>
    <w:p>
      <w:pPr>
        <w:spacing w:after="0" w:line="115"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Foreign Account Tax Compliance Act, Sections 1471 through 1474 of the Code, and related Treasury Regulations, together with other Treasury Department and IRS guidance issued thereunder, and intergovernmental agreements, legislation, rules and other official guidance adopted pursuant to such intergovernmental agreements (commonly referred to as “FATCA”) impose a U.S. federal withholding tax of 30% on certain payments, including dividends paid on our common stock, paid to (1) a “foreign financial institution” (as​ defined under FATCA) unless such institution furnishes proper documentation (typically on IRS Form W-8BEN-E) evidencing either (i) an exemption from FATCA withholding, (ii) its compliance (or deemed compliance) with specified due diligence, reporting, withholding and certification obligations under</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3" w:name="page204"/>
    <w:bookmarkEnd w:id="20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60" w:right="1179"/>
        <w:spacing w:after="0" w:line="248" w:lineRule="auto"/>
        <w:rPr>
          <w:sz w:val="20"/>
          <w:szCs w:val="20"/>
          <w:color w:val="auto"/>
        </w:rPr>
      </w:pPr>
      <w:r>
        <w:rPr>
          <w:rFonts w:ascii="Times New Roman" w:cs="Times New Roman" w:eastAsia="Times New Roman" w:hAnsi="Times New Roman"/>
          <w:sz w:val="15"/>
          <w:szCs w:val="15"/>
          <w:color w:val="auto"/>
        </w:rPr>
        <w:t>FATCA or (iii) residence in a jurisdiction that has entered into an intergovernmental agreement with the United States relating to FATCA and compliance with the diligence and reporting requirements of the intergovernmental agreement and local implementing rules; or (2) a “non-financial foreign entity” (as​ defined under FATCA) that does not furnish proper documentation, typically on IRS Form W-8BEN-E, evidencing either (i) an exemption from FATCA or (ii) adequate information regarding substantial United States beneficial owners of such entity (if any). An intergovernmental agreement between the United States and an applicable foreign country may modify these requirements.</w:t>
      </w:r>
    </w:p>
    <w:p>
      <w:pPr>
        <w:spacing w:after="0" w:line="10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IRS and the Department of Treasury have issued proposed regulations on which taxpayers may rely providing that these withholding rules will not apply to the gross proceeds of a sale or other disposition of shares of our common stock. Prospective investors should consult their own tax advisors regarding the effect of FATCA on their ownership and disposition of our common stock.</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Backup Withholding and Information Reporting</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must report annually to the IRS and to each Non-U.S. Holder the gross amount of the distributions on our common stock paid to the holder and the tax withheld, if any, with respect to the distributions. Non-U.S. Holders may have to comply with specific certification procedures (such as the provision of a properly completed W-8BEN or W-8BEN-E) to establish that the holder is not a United States person (as defined in the Code) in order to avoid backup withholding at the applicable rate, currently 24%, with respect to dividends on our common stock. Dividends paid to Non-U.S. Holders subject to the U.S. withholding tax, as described above under the section titled “—Distributions on Our Common Stock,” generally will be exempt from U.S. backup withholding.</w:t>
      </w:r>
    </w:p>
    <w:p>
      <w:pPr>
        <w:spacing w:after="0" w:line="90"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Prospective investors should consult their own tax advisors regarding the application of the information reporting and backup withholding rules to them, including the availability of and procedure for obtaining an exemption from backup withholding.</w:t>
      </w:r>
    </w:p>
    <w:p>
      <w:pPr>
        <w:spacing w:after="0" w:line="102"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Copies of information returns may be made available to the tax authorities of the country in which the Non-U.S. Holder resides or, in which the Non-U.S. Holder is incorporated, under the provisions of a specific treaty or agreement.</w:t>
      </w:r>
    </w:p>
    <w:p>
      <w:pPr>
        <w:spacing w:after="0" w:line="9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4" w:name="page205"/>
    <w:bookmarkEnd w:id="204"/>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UNDERWRITERS</w:t>
      </w:r>
    </w:p>
    <w:p>
      <w:pPr>
        <w:spacing w:after="0" w:line="12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Under the terms and subject to the conditions in an underwriting agreement dated the date of this prospectus, the underwriters named below, for whom Morgan Stanley &amp; Co. LLC and Jefferies LLC are acting as representatives, have severally agreed to purchase, and we have agreed to sell to them, severally, the number of shares of our common stock indicated below:</w:t>
      </w:r>
    </w:p>
    <w:tbl>
      <w:tblPr>
        <w:tblLayout w:type="fixed"/>
        <w:tblInd w:w="1160" w:type="dxa"/>
        <w:tblCellMar>
          <w:top w:w="0" w:type="dxa"/>
          <w:left w:w="0" w:type="dxa"/>
          <w:bottom w:w="0" w:type="dxa"/>
          <w:right w:w="0" w:type="dxa"/>
        </w:tblCellMar>
      </w:tblPr>
      <w:tr>
        <w:trPr>
          <w:trHeight w:val="264"/>
        </w:trPr>
        <w:tc>
          <w:tcPr>
            <w:tcW w:w="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3"/>
              </w:rPr>
              <w:t>Name</w:t>
            </w:r>
          </w:p>
        </w:tc>
        <w:tc>
          <w:tcPr>
            <w:tcW w:w="3440" w:type="dxa"/>
            <w:vAlign w:val="bottom"/>
          </w:tcPr>
          <w:p>
            <w:pPr>
              <w:spacing w:after="0"/>
              <w:rPr>
                <w:sz w:val="22"/>
                <w:szCs w:val="22"/>
                <w:color w:val="auto"/>
              </w:rPr>
            </w:pPr>
          </w:p>
        </w:tc>
        <w:tc>
          <w:tcPr>
            <w:tcW w:w="2060" w:type="dxa"/>
            <w:vAlign w:val="bottom"/>
          </w:tcPr>
          <w:p>
            <w:pPr>
              <w:ind w:left="1880"/>
              <w:spacing w:after="0"/>
              <w:rPr>
                <w:sz w:val="20"/>
                <w:szCs w:val="20"/>
                <w:color w:val="auto"/>
              </w:rPr>
            </w:pPr>
            <w:r>
              <w:rPr>
                <w:rFonts w:ascii="Times New Roman" w:cs="Times New Roman" w:eastAsia="Times New Roman" w:hAnsi="Times New Roman"/>
                <w:sz w:val="12"/>
                <w:szCs w:val="12"/>
                <w:b w:val="1"/>
                <w:bCs w:val="1"/>
                <w:color w:val="auto"/>
              </w:rPr>
              <w:t>​ ​</w:t>
            </w:r>
          </w:p>
        </w:tc>
        <w:tc>
          <w:tcPr>
            <w:tcW w:w="920" w:type="dxa"/>
            <w:vAlign w:val="bottom"/>
            <w:gridSpan w:val="4"/>
          </w:tcPr>
          <w:p>
            <w:pPr>
              <w:jc w:val="right"/>
              <w:spacing w:after="0" w:line="244" w:lineRule="exact"/>
              <w:rPr>
                <w:sz w:val="20"/>
                <w:szCs w:val="20"/>
                <w:color w:val="auto"/>
              </w:rPr>
            </w:pPr>
            <w:r>
              <w:rPr>
                <w:rFonts w:ascii="Times New Roman" w:cs="Times New Roman" w:eastAsia="Times New Roman" w:hAnsi="Times New Roman"/>
                <w:sz w:val="12"/>
                <w:szCs w:val="12"/>
                <w:b w:val="1"/>
                <w:bCs w:val="1"/>
                <w:color w:val="auto"/>
                <w:w w:val="96"/>
              </w:rPr>
              <w:t>Number of Shares</w:t>
            </w:r>
            <w:r>
              <w:rPr>
                <w:rFonts w:ascii="Times New Roman" w:cs="Times New Roman" w:eastAsia="Times New Roman" w:hAnsi="Times New Roman"/>
                <w:sz w:val="23"/>
                <w:szCs w:val="23"/>
                <w:b w:val="1"/>
                <w:bCs w:val="1"/>
                <w:color w:val="auto"/>
                <w:w w:val="96"/>
                <w:vertAlign w:val="subscript"/>
              </w:rPr>
              <w:t>​</w:t>
            </w:r>
          </w:p>
        </w:tc>
      </w:tr>
      <w:tr>
        <w:trPr>
          <w:trHeight w:val="26"/>
        </w:trPr>
        <w:tc>
          <w:tcPr>
            <w:tcW w:w="300" w:type="dxa"/>
            <w:vAlign w:val="bottom"/>
            <w:shd w:val="clear" w:color="auto" w:fill="000000"/>
          </w:tcPr>
          <w:p>
            <w:pPr>
              <w:spacing w:after="0"/>
              <w:rPr>
                <w:sz w:val="2"/>
                <w:szCs w:val="2"/>
                <w:color w:val="auto"/>
              </w:rPr>
            </w:pPr>
          </w:p>
        </w:tc>
        <w:tc>
          <w:tcPr>
            <w:tcW w:w="3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5"/>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Morgan Stanley &amp; Co. LLC</w:t>
            </w:r>
          </w:p>
        </w:tc>
        <w:tc>
          <w:tcPr>
            <w:tcW w:w="206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Jefferies LLC</w:t>
            </w:r>
          </w:p>
        </w:tc>
        <w:tc>
          <w:tcPr>
            <w:tcW w:w="2060" w:type="dxa"/>
            <w:vAlign w:val="bottom"/>
          </w:tcPr>
          <w:p>
            <w:pPr>
              <w:ind w:left="19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9"/>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Citigroup Global Markets Inc.</w:t>
            </w:r>
          </w:p>
        </w:tc>
        <w:tc>
          <w:tcPr>
            <w:tcW w:w="206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3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Guggenheim Securities, LLC</w:t>
            </w:r>
          </w:p>
        </w:tc>
        <w:tc>
          <w:tcPr>
            <w:tcW w:w="2060" w:type="dxa"/>
            <w:vAlign w:val="bottom"/>
            <w:tcBorders>
              <w:bottom w:val="single" w:sz="8" w:color="CCEEFF"/>
            </w:tcBorders>
          </w:tcPr>
          <w:p>
            <w:pPr>
              <w:ind w:left="19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 xml:space="preserve">​                   </w:t>
            </w:r>
          </w:p>
        </w:tc>
        <w:tc>
          <w:tcPr>
            <w:tcW w:w="80" w:type="dxa"/>
            <w:vAlign w:val="bottom"/>
            <w:tcBorders>
              <w:bottom w:val="single" w:sz="8" w:color="CCEEFF"/>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6"/>
        </w:trPr>
        <w:tc>
          <w:tcPr>
            <w:tcW w:w="37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w:t>
            </w:r>
          </w:p>
        </w:tc>
        <w:tc>
          <w:tcPr>
            <w:tcW w:w="2060" w:type="dxa"/>
            <w:vAlign w:val="bottom"/>
            <w:tcBorders>
              <w:bottom w:val="single" w:sz="8" w:color="CCEEFF"/>
            </w:tcBorders>
            <w:shd w:val="clear" w:color="auto" w:fill="CCEEFF"/>
          </w:tcPr>
          <w:p>
            <w:pPr>
              <w:ind w:left="19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​                   </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141"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 allotment option described below. The offering of the shares of common stock by the underwriters is subject to receipt and acceptance and subject to the underwriters’ right to reject any order in whole or in part.</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 In addition, we have requested that the underwriters make issuer directed allocations in the aggregate of             shares of our common stock to certain investors.</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257"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shares of our common stock.</w:t>
      </w:r>
    </w:p>
    <w:p>
      <w:pPr>
        <w:spacing w:after="0" w:line="273"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3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72"/>
              </w:rPr>
              <w:t>Total</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3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Per Share</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No Exercise</w:t>
            </w:r>
          </w:p>
        </w:tc>
        <w:tc>
          <w:tcPr>
            <w:tcW w:w="8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Full Exercise</w:t>
            </w:r>
            <w:r>
              <w:rPr>
                <w:rFonts w:ascii="Times New Roman" w:cs="Times New Roman" w:eastAsia="Times New Roman" w:hAnsi="Times New Roman"/>
                <w:sz w:val="21"/>
                <w:szCs w:val="21"/>
                <w:b w:val="1"/>
                <w:bCs w:val="1"/>
                <w:color w:val="auto"/>
                <w:vertAlign w:val="subscript"/>
              </w:rPr>
              <w:t>​</w:t>
            </w:r>
          </w:p>
        </w:tc>
      </w:tr>
      <w:tr>
        <w:trPr>
          <w:trHeight w:val="20"/>
        </w:trPr>
        <w:tc>
          <w:tcPr>
            <w:tcW w:w="3980" w:type="dxa"/>
            <w:vAlign w:val="bottom"/>
            <w:shd w:val="clear" w:color="auto" w:fill="CCEEFF"/>
          </w:tcPr>
          <w:p>
            <w:pPr>
              <w:spacing w:after="0" w:line="20" w:lineRule="exact"/>
              <w:rPr>
                <w:sz w:val="1"/>
                <w:szCs w:val="1"/>
                <w:color w:val="auto"/>
              </w:rPr>
            </w:pPr>
          </w:p>
        </w:tc>
        <w:tc>
          <w:tcPr>
            <w:tcW w:w="580" w:type="dxa"/>
            <w:vAlign w:val="bottom"/>
            <w:gridSpan w:val="2"/>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Public offering price</w:t>
            </w:r>
          </w:p>
        </w:tc>
        <w:tc>
          <w:tcPr>
            <w:tcW w:w="11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 xml:space="preserve">​ ​​$           </w:t>
            </w:r>
          </w:p>
        </w:tc>
        <w:tc>
          <w:tcPr>
            <w:tcW w:w="7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 ​ ​$           </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           </w:t>
            </w:r>
          </w:p>
        </w:tc>
        <w:tc>
          <w:tcPr>
            <w:tcW w:w="8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Underwriting discounts and commissions to be paid by us</w:t>
            </w:r>
          </w:p>
        </w:tc>
        <w:tc>
          <w:tcPr>
            <w:tcW w:w="1100" w:type="dxa"/>
            <w:vAlign w:val="bottom"/>
            <w:gridSpan w:val="3"/>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 ​$</w:t>
            </w:r>
          </w:p>
        </w:tc>
        <w:tc>
          <w:tcPr>
            <w:tcW w:w="2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before expenses, to us</w:t>
            </w:r>
          </w:p>
        </w:tc>
        <w:tc>
          <w:tcPr>
            <w:tcW w:w="11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 ​ ​$</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-403860</wp:posOffset>
            </wp:positionV>
            <wp:extent cx="3830320"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30320" cy="6985"/>
                    </a:xfrm>
                    <a:prstGeom prst="rect">
                      <a:avLst/>
                    </a:prstGeom>
                    <a:noFill/>
                  </pic:spPr>
                </pic:pic>
              </a:graphicData>
            </a:graphic>
          </wp:anchor>
        </w:drawing>
      </w:r>
    </w:p>
    <w:p>
      <w:pPr>
        <w:spacing w:after="0" w:line="7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estimated offering expenses payable by us, exclusive of the underwriting discounts and commissions, are approximately $            . We have also agreed to reimburse the underwriters for expenses relating to clearance of this offering with the Financial Industry Regulatory Authority up to $            .</w:t>
      </w:r>
    </w:p>
    <w:p>
      <w:pPr>
        <w:spacing w:after="0" w:line="89"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underwriters have informed us that they do not intend sales to discretionary accounts to exceed 5% of the total number of shares of common stock offered by them.</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5" w:name="page206"/>
    <w:bookmarkEnd w:id="20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have applied to list our common stock on the Nasdaq Global Market under the trading symbol “ZBIO,” and this offering is contingent upon obtaining such approval.</w:t>
      </w:r>
    </w:p>
    <w:p>
      <w:pPr>
        <w:spacing w:after="0" w:line="75"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We and all of our directors and officers and the holders of substantially all of our outstanding shares of common stock or securities convertible into our common stock have agreed that without the prior written consent of Morgan Stanley &amp; Co. LLC and Jefferies LLC on behalf of the underwriters, we and they will not, and will not publicly disclose an intention to, during the period ending 180 days after the date of this prospectus (the “restricted period”):</w:t>
      </w:r>
    </w:p>
    <w:p>
      <w:pPr>
        <w:spacing w:after="0" w:line="64" w:lineRule="exact"/>
        <w:rPr>
          <w:sz w:val="20"/>
          <w:szCs w:val="20"/>
          <w:color w:val="auto"/>
        </w:rPr>
      </w:pPr>
    </w:p>
    <w:p>
      <w:pPr>
        <w:jc w:val="both"/>
        <w:ind w:left="1600" w:right="1179" w:hanging="143"/>
        <w:spacing w:after="0" w:line="252" w:lineRule="auto"/>
        <w:tabs>
          <w:tab w:leader="none" w:pos="16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66" w:lineRule="exact"/>
        <w:rPr>
          <w:rFonts w:ascii="Times New Roman" w:cs="Times New Roman" w:eastAsia="Times New Roman" w:hAnsi="Times New Roman"/>
          <w:sz w:val="15"/>
          <w:szCs w:val="15"/>
          <w:color w:val="auto"/>
        </w:rPr>
      </w:pPr>
    </w:p>
    <w:p>
      <w:pPr>
        <w:jc w:val="both"/>
        <w:ind w:left="1600" w:right="1179" w:hanging="143"/>
        <w:spacing w:after="0" w:line="262" w:lineRule="auto"/>
        <w:tabs>
          <w:tab w:leader="none" w:pos="16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submit or file any registration statement with the SEC relating to the offering of any shares of common stock or any securities convertible into or exercisable or exchangeable for common stock; or</w:t>
      </w:r>
    </w:p>
    <w:p>
      <w:pPr>
        <w:spacing w:after="0" w:line="238"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swap or other arrangement that transfers to another, in whole or in part, any of the economic consequences of ownership of the common stock;</w:t>
      </w:r>
    </w:p>
    <w:p>
      <w:pPr>
        <w:spacing w:after="0" w:line="8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whether any such transaction described above is to be settled by delivery of common stock or such other securities, in cash or otherwise. In addition, we and each such person have agreed that, without the prior written consent of Morgan Stanley &amp; Co. LLC and Jefferies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The restrictions described in the immediately preceding paragraph do not apply to us with respect to:</w:t>
      </w:r>
    </w:p>
    <w:p>
      <w:pPr>
        <w:spacing w:after="0" w:line="91" w:lineRule="exact"/>
        <w:rPr>
          <w:sz w:val="20"/>
          <w:szCs w:val="20"/>
          <w:color w:val="auto"/>
        </w:rPr>
      </w:pPr>
    </w:p>
    <w:p>
      <w:pPr>
        <w:ind w:left="1600" w:hanging="143"/>
        <w:spacing w:after="0"/>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shares of common stock to be sold to the underwriters;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by us of shares of common stock upon the exercise of an option or warrant or the conversion or settlement of a security outstanding on the date of this prospectus that is described herein;</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49" w:lineRule="auto"/>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grants of options, restricted stock or other equity awards and the issuance of shares of common stock or securities convertible into or exercisable for shares of common stock (whether upon the exercise of stock options or otherwise) to employees, officers, directors, advisors, or consultants of us pursuant to the terms of a plan as described in this prospectus, provided that we shall cause each recipient of such grant to execute and deliver to the representatives a lock-up agreement if such recipient has not already delivered one;</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filing of a registration statement on Form S-8 to register shares of common stock issuable pursuant to any employee benefit plans, qualified stock option plans or other employee compensation plans, described in this prospectus;</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46" w:lineRule="auto"/>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common stock or any securities convertible into, or exercisable or exchangeable for, shares of common stock, or the entrance into an agreement to issue shares of common stock or any securities convertible into, or exercisable or exchangeable for, shares of common stock, in connection with (i) the acquisition by us or any of our subsidiaries of the securities, business, property or other assets of another person or entity, including pursuant to an employee benefit or equity-based compensation plan or agreement assumed by us or any of our subsidiaries in connection with such acquisition or (ii) joint ventures, licensing arrangements, commercial relationships or other strategic transactions; provided that the aggregate number of shares of common stock issued or issuable pursuant to this clause shall not exceed ten percent of the total number of shares of common stock issued and outstanding immediately following this offering; and provided further, that the recipients of any such shares of common stock issued pursuant to this clause during the restricted period described above shall enter into a lock-up agreement on or prior to such issuance; or</w:t>
      </w:r>
    </w:p>
    <w:p>
      <w:pPr>
        <w:spacing w:after="0" w:line="75" w:lineRule="exact"/>
        <w:rPr>
          <w:rFonts w:ascii="Times New Roman" w:cs="Times New Roman" w:eastAsia="Times New Roman" w:hAnsi="Times New Roman"/>
          <w:sz w:val="15"/>
          <w:szCs w:val="15"/>
          <w:color w:val="auto"/>
        </w:rPr>
      </w:pPr>
    </w:p>
    <w:p>
      <w:pPr>
        <w:jc w:val="both"/>
        <w:ind w:left="1600" w:right="1179" w:hanging="143"/>
        <w:spacing w:after="0" w:line="262" w:lineRule="auto"/>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facilitating the establishment of a trading plan on behalf of a stockholder, officer or director of our pursuant to Rule 10b5-1 under the Exchange Act for the transfer of shares of common stock, </w:t>
      </w:r>
      <w:r>
        <w:rPr>
          <w:rFonts w:ascii="Times New Roman" w:cs="Times New Roman" w:eastAsia="Times New Roman" w:hAnsi="Times New Roman"/>
          <w:sz w:val="15"/>
          <w:szCs w:val="15"/>
          <w:i w:val="1"/>
          <w:iCs w:val="1"/>
          <w:color w:val="auto"/>
        </w:rPr>
        <w:t>provided</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6" w:name="page207"/>
    <w:bookmarkEnd w:id="20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that (i) such plan does not provide for the transfer of common stock during the restricted period and</w:t>
      </w:r>
    </w:p>
    <w:p>
      <w:pPr>
        <w:spacing w:after="0" w:line="18" w:lineRule="exact"/>
        <w:rPr>
          <w:sz w:val="20"/>
          <w:szCs w:val="20"/>
          <w:color w:val="auto"/>
        </w:rPr>
      </w:pPr>
    </w:p>
    <w:p>
      <w:pPr>
        <w:jc w:val="both"/>
        <w:ind w:left="1600" w:right="1179" w:firstLine="4"/>
        <w:spacing w:after="0" w:line="236" w:lineRule="auto"/>
        <w:tabs>
          <w:tab w:leader="none" w:pos="1843"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w:t>
      </w:r>
    </w:p>
    <w:p>
      <w:pPr>
        <w:spacing w:after="0" w:line="98"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restrictions on transfers or other dispositions by our directors, officers and securityholders described above do not apply to:</w:t>
      </w:r>
    </w:p>
    <w:p>
      <w:pPr>
        <w:spacing w:after="0" w:line="52" w:lineRule="exact"/>
        <w:rPr>
          <w:sz w:val="20"/>
          <w:szCs w:val="20"/>
          <w:color w:val="auto"/>
        </w:rPr>
      </w:pPr>
    </w:p>
    <w:p>
      <w:pPr>
        <w:jc w:val="both"/>
        <w:ind w:left="1600" w:right="1179" w:hanging="143"/>
        <w:spacing w:after="0" w:line="250" w:lineRule="auto"/>
        <w:tabs>
          <w:tab w:leader="none" w:pos="160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transactions relating to shares of common stock or other securities acquired in this offering or in open market transactions after the pricing of this offering;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filing under Section 16(a) of the Exchange Act or other public announcement shall be required or shall be voluntarily made in connection with subsequent sales of common stock or other securities acquired in this offering or in such open market transactions;</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47" w:lineRule="auto"/>
        <w:tabs>
          <w:tab w:leader="none" w:pos="160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transfers of shares of common stock or any other securities (i) as a bona fide gift or for bona fide estate planning purposes, (ii) to an immediate family member of the holder or to any trust for the direct or indirect benefit of the holder or an immediate family member of the holder, (iii) to any corporation, partnership, limited liability company, investment fund, trust or other entity of which the holder and the immediate family of the holder are the legal and beneficial owner of all of the outstanding equity securities or similar interests, or (iv) by will, other testamentary document or intestate succession to the legal representative, heir, beneficiary or an immediate family member of the holder;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the case of any transfer or distribution pursuant to this provision,</w:t>
      </w:r>
    </w:p>
    <w:p>
      <w:pPr>
        <w:jc w:val="both"/>
        <w:ind w:left="1600" w:right="1179" w:firstLine="4"/>
        <w:spacing w:after="0" w:line="245" w:lineRule="auto"/>
        <w:tabs>
          <w:tab w:leader="none" w:pos="1869" w:val="left"/>
        </w:tabs>
        <w:numPr>
          <w:ilvl w:val="1"/>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donee, distributee or transferee shall sign and deliver a lock-up agreement, (B) no filing under Section 16(a) of the Exchange Act or other public announcement, reporting a reduction in beneficial ownership of shares of common stock, shall be voluntarily made during the restricted period, (C) other than in the case of preceding clauses (i) and (iv), no filing under Section 16(a) of the Exchange Act or other public announcement, reporting a reduction in beneficial ownership of shares of common stock, shall be required during the restricted period (other than a required filing on Schedule 13D, 13F or 13G) and, to the extent a filing under Section 16(a) of the Exchange Act is required during the restricted period as a result of transfers pursuant to clauses (i) and (iv) of this paragraph, such filing shall clearly indicate in the footnotes thereto that the filing relates to the circumstances described in clause (i) or clause (iv) hereof, respectively, and (D) such transfer shall not involve a disposition for value;</w:t>
      </w:r>
    </w:p>
    <w:p>
      <w:pPr>
        <w:spacing w:after="0" w:line="69" w:lineRule="exact"/>
        <w:rPr>
          <w:rFonts w:ascii="Times New Roman" w:cs="Times New Roman" w:eastAsia="Times New Roman" w:hAnsi="Times New Roman"/>
          <w:sz w:val="15"/>
          <w:szCs w:val="15"/>
          <w:color w:val="auto"/>
        </w:rPr>
      </w:pPr>
    </w:p>
    <w:p>
      <w:pPr>
        <w:jc w:val="both"/>
        <w:ind w:left="1600" w:right="1179" w:hanging="143"/>
        <w:spacing w:after="0" w:line="247" w:lineRule="auto"/>
        <w:tabs>
          <w:tab w:leader="none" w:pos="160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transfers of shares of common stock or any other securities to a charitable organization or educational institution in a transaction not involving a disposition for value;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the case of any transfer or distribution pursuant to this provision, (A) each transferee shall sign and deliver a lock-up agreement and (B) no filing under Section 16(a) of the Exchange Act or other public announcement, reporting a reduction in beneficial ownership of shares of common stock, shall be voluntarily made during the restricted period and, to the extent a Form 4 or Form 5 filing under Section 16(a) of the Exchange Act is required during the restricted period as a result of transfers made pursuant to this provision, such filing shall clearly indicate in the footnotes thereto that the filing relates to the circumstances described in this provision;</w:t>
      </w:r>
    </w:p>
    <w:p>
      <w:pPr>
        <w:spacing w:after="0" w:line="7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holder is a corporation, partnership, limited liability company, trust or other business entity,</w:t>
      </w:r>
    </w:p>
    <w:p>
      <w:pPr>
        <w:spacing w:after="0" w:line="17" w:lineRule="exact"/>
        <w:rPr>
          <w:rFonts w:ascii="Times New Roman" w:cs="Times New Roman" w:eastAsia="Times New Roman" w:hAnsi="Times New Roman"/>
          <w:sz w:val="15"/>
          <w:szCs w:val="15"/>
          <w:color w:val="auto"/>
        </w:rPr>
      </w:pPr>
    </w:p>
    <w:p>
      <w:pPr>
        <w:jc w:val="both"/>
        <w:ind w:left="1600" w:right="1179"/>
        <w:spacing w:after="0" w:line="24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 transfers or distributions of shares of common stock or any other securities to current or former general or limited partners, managers or members, stockholders, other equityholders or direct or indirect affiliates (within the meaning of Rule 405 under the Securities Act) of the undersigned, or to the estates of any of the foregoing or (ii) transfers or distributions to any investment fund or other entity controlling, controlled by, managing or managed by or under common control with the holder or affiliates of the holder (including, for the avoidance of doubt, where the holder is a partnership, to its general partner or a successor partnership or fund, or any other funds managed by such partnership);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the case of any transfer or distribution pursuant to this provision,</w:t>
      </w:r>
    </w:p>
    <w:p>
      <w:pPr>
        <w:spacing w:after="0" w:line="3" w:lineRule="exact"/>
        <w:rPr>
          <w:rFonts w:ascii="Times New Roman" w:cs="Times New Roman" w:eastAsia="Times New Roman" w:hAnsi="Times New Roman"/>
          <w:sz w:val="15"/>
          <w:szCs w:val="15"/>
          <w:color w:val="auto"/>
        </w:rPr>
      </w:pPr>
    </w:p>
    <w:p>
      <w:pPr>
        <w:jc w:val="both"/>
        <w:ind w:left="1600" w:right="1179" w:firstLine="4"/>
        <w:spacing w:after="0" w:line="245" w:lineRule="auto"/>
        <w:tabs>
          <w:tab w:leader="none" w:pos="1873" w:val="left"/>
        </w:tabs>
        <w:numPr>
          <w:ilvl w:val="1"/>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distributee or transferee shall sign and deliver a lock-up agreement, (B) no filing under Section 16(a) of the Exchange Act or other public announcement, reporting a reduction in beneficial ownership of shares of common stock, shall be required or shall be voluntarily made during the restricted period (other than a required filing on Schedule 13D, 13F or 13G), and (C) such transfer shall not involve a disposition for value;</w:t>
      </w: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7" w:name="page208"/>
    <w:bookmarkEnd w:id="20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hanging="143"/>
        <w:spacing w:after="0" w:line="246" w:lineRule="auto"/>
        <w:tabs>
          <w:tab w:leader="none" w:pos="160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transfer of shares of common stock or any other securities to us to satisfy any tax, including estimated tax, remittance, or other payment obligations of the holder arising in connection with a vesting event of our securities, upon the settlement of restricted stock units or the payment due for the exercise of options (including a transfer to us for the “net” or “cashless” exercise of options) or other rights to purchase our securities, in all such cases pursuant to equity awards granted under a stock incentive plan or other equity award plan of ours described herein;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any remaining shares of common stock or securities convertible into common stock received upon such vesting, settlement or exercise shall be subject to the terms of the lock-up agreement; and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that no filing under Section 16(a) of the Exchange Act or other public announcement,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reporting a reduction in beneficial ownership of shares of common stock, shall be voluntarily made during the restricted period and, to the extent a filing under Section 16(a) of the Exchange Act is required during the restricted period as a result of transfers made pursuant to this provision, such filing shall clearly indicate in the footnotes thereto that the filing relates to the circumstances described in this provision, including that (i) the securities remain subject to the terms of the lock-up agreement and (ii) that no securities were sold by the holder;</w:t>
      </w:r>
    </w:p>
    <w:p>
      <w:pPr>
        <w:spacing w:after="0" w:line="72" w:lineRule="exact"/>
        <w:rPr>
          <w:rFonts w:ascii="Times New Roman" w:cs="Times New Roman" w:eastAsia="Times New Roman" w:hAnsi="Times New Roman"/>
          <w:sz w:val="15"/>
          <w:szCs w:val="15"/>
          <w:color w:val="auto"/>
        </w:rPr>
      </w:pPr>
    </w:p>
    <w:p>
      <w:pPr>
        <w:jc w:val="both"/>
        <w:ind w:left="1600" w:right="1179" w:hanging="143"/>
        <w:spacing w:after="0" w:line="247" w:lineRule="auto"/>
        <w:tabs>
          <w:tab w:leader="none" w:pos="160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establishment or amendment of a trading plan pursuant to Rule 10b5-1 under the Exchange Act for the transfer of shares of common stock;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 such plan does not provide for the transfer of common stock during the restricted period, and (ii) to the extent a filing under Section 16(a) of the Exchange Act or other public announcement is required or voluntarily made during the restricted period by or on behalf of such director, officer or securityholder or us regarding the establishment of such plan, such announcement or filing shall include a statement to the effect that no transfer of common stock may be made under such plan during the restricted period and any such filing under Section 16(a) of the Exchange Act shall clearly indicate in the footnotes thereto that the filing relates to the circumstances described in this provision;</w:t>
      </w:r>
    </w:p>
    <w:p>
      <w:pPr>
        <w:spacing w:after="0" w:line="72" w:lineRule="exact"/>
        <w:rPr>
          <w:rFonts w:ascii="Times New Roman" w:cs="Times New Roman" w:eastAsia="Times New Roman" w:hAnsi="Times New Roman"/>
          <w:sz w:val="15"/>
          <w:szCs w:val="15"/>
          <w:color w:val="auto"/>
        </w:rPr>
      </w:pPr>
    </w:p>
    <w:p>
      <w:pPr>
        <w:jc w:val="both"/>
        <w:ind w:left="1600" w:right="1179" w:hanging="143"/>
        <w:spacing w:after="0" w:line="249" w:lineRule="auto"/>
        <w:tabs>
          <w:tab w:leader="none" w:pos="160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transfer of shares of common stock or any other securities that occurs by operation of law pursuant to a qualified domestic order or in connection with a divorce settlement or other court order;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 the transferee shall sign and deliver a lock-up agreement, and (ii) to the extent a filing under Section 16(a) of the Exchange Act is required during the restricted period as a result of transfers made pursuant to this provision, such filing shall clearly indicate in the footnotes thereto that the filing relates to the circumstances described in this provision;</w:t>
      </w:r>
    </w:p>
    <w:p>
      <w:pPr>
        <w:spacing w:after="0" w:line="57" w:lineRule="exact"/>
        <w:rPr>
          <w:rFonts w:ascii="Times New Roman" w:cs="Times New Roman" w:eastAsia="Times New Roman" w:hAnsi="Times New Roman"/>
          <w:sz w:val="15"/>
          <w:szCs w:val="15"/>
          <w:color w:val="auto"/>
        </w:rPr>
      </w:pPr>
    </w:p>
    <w:p>
      <w:pPr>
        <w:jc w:val="both"/>
        <w:ind w:left="1600" w:right="1179" w:hanging="143"/>
        <w:spacing w:after="0" w:line="247" w:lineRule="auto"/>
        <w:tabs>
          <w:tab w:leader="none" w:pos="160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transfers to us in connection with the repurchase of common stock in connection with the termination of such director, officer or securityholder’s employment with us pursuant to contractual agreements with us as in effect as of the date of this prospectus and described herein;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filing under Section 16(a) of the Exchange Act or other public announcement, reporting a reduction in beneficial ownership of shares of common stock, shall be voluntarily made during the restricted period and, to the extent a filing under Section 16(a) of the Exchange Act is required during the restricted period as a result of transfers made pursuant to this provision, such filing shall clearly indicate in the footnotes thereto that the filing relates to the circumstances described in this provision;</w:t>
      </w:r>
    </w:p>
    <w:p>
      <w:pPr>
        <w:spacing w:after="0" w:line="249"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conversion of shares of the Company’s convertible preferred stock into shares of common stock as described in this prospectus;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each case, such shares shall continue to be subject to the restrictions on transfer set forth in the lock up agreement;</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transfer of shares of common stock or any other securities pursuant to a bona fide third- party tender offer, merger, consolidation or other similar transaction that is approved by our board of directors, made to all holders of common stock involving a change of control;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the event that the change of control is not completed, the common stock owned by the holder shall remain subject to the restrictions contained in the lock up agreement; or</w:t>
      </w:r>
    </w:p>
    <w:p>
      <w:pPr>
        <w:spacing w:after="0" w:line="68"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with the prior written consent of Morgan Stanley &amp; Co. LLC and Jefferies LLC on behalf of the underwriters.</w:t>
      </w:r>
    </w:p>
    <w:p>
      <w:pPr>
        <w:spacing w:after="0" w:line="75"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Morgan Stanley &amp; Co. LLC and Jefferies LLC, in their sole discretion, may release the common stock and other securities subject to the lock-up agreements described above in whole or in part at any time.</w:t>
      </w:r>
    </w:p>
    <w:p>
      <w:pPr>
        <w:spacing w:after="0" w:line="75"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In order to facilitate the offering of the common stock, the underwriters may engage in transactions that stabilize, maintain or otherwise affect the price of the common stock. Specifically, the underwriters may sell</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8" w:name="page209"/>
    <w:bookmarkEnd w:id="20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0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and the underwriters have agreed to indemnify each other against certain liabilities, including liabilities under the Securities Act.</w:t>
      </w:r>
    </w:p>
    <w:p>
      <w:pPr>
        <w:spacing w:after="0" w:line="85"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Other Relationships</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31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Pricing of the Offering</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Selling Restrictions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Canada</w:t>
      </w:r>
    </w:p>
    <w:p>
      <w:pPr>
        <w:spacing w:after="0" w:line="11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5"/>
          <w:szCs w:val="15"/>
          <w:i w:val="1"/>
          <w:iCs w:val="1"/>
          <w:color w:val="auto"/>
        </w:rPr>
        <w:t>Prospectus Exemptions</w:t>
      </w:r>
      <w:r>
        <w:rPr>
          <w:rFonts w:ascii="Times New Roman" w:cs="Times New Roman" w:eastAsia="Times New Roman" w:hAnsi="Times New Roman"/>
          <w:sz w:val="15"/>
          <w:szCs w:val="15"/>
          <w:color w:val="auto"/>
        </w:rPr>
        <w:t xml:space="preserve"> or subsection 73.3(1) of</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9" w:name="page210"/>
    <w:bookmarkEnd w:id="20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5"/>
          <w:szCs w:val="15"/>
          <w:i w:val="1"/>
          <w:iCs w:val="1"/>
          <w:color w:val="auto"/>
        </w:rPr>
        <w:t>Securities Act</w:t>
      </w:r>
      <w:r>
        <w:rPr>
          <w:rFonts w:ascii="Times New Roman" w:cs="Times New Roman" w:eastAsia="Times New Roman" w:hAnsi="Times New Roman"/>
          <w:sz w:val="15"/>
          <w:szCs w:val="15"/>
          <w:color w:val="auto"/>
        </w:rPr>
        <w:t xml:space="preserve"> (Ontario), and are permitted clients, as defined in National Instrument 31-103 </w:t>
      </w:r>
      <w:r>
        <w:rPr>
          <w:rFonts w:ascii="Times New Roman" w:cs="Times New Roman" w:eastAsia="Times New Roman" w:hAnsi="Times New Roman"/>
          <w:sz w:val="15"/>
          <w:szCs w:val="15"/>
          <w:i w:val="1"/>
          <w:iCs w:val="1"/>
          <w:color w:val="auto"/>
        </w:rPr>
        <w:t>Registration Requirements, Exemptions and Ongoing Registrant Obligations</w:t>
      </w:r>
      <w:r>
        <w:rPr>
          <w:rFonts w:ascii="Times New Roman" w:cs="Times New Roman" w:eastAsia="Times New Roman" w:hAnsi="Times New Roman"/>
          <w:sz w:val="15"/>
          <w:szCs w:val="15"/>
          <w:color w:val="auto"/>
        </w:rPr>
        <w:t>. Any resale of the shares must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 made in accordance with an exemption from, or in a transaction not subject to, the prospectus requirements of applicable securities laws.</w:t>
      </w:r>
    </w:p>
    <w:p>
      <w:pPr>
        <w:spacing w:after="0" w:line="9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 xml:space="preserve">Pursuant to section 3A.3 of National Instrument 33-105 </w:t>
      </w:r>
      <w:r>
        <w:rPr>
          <w:rFonts w:ascii="Times New Roman" w:cs="Times New Roman" w:eastAsia="Times New Roman" w:hAnsi="Times New Roman"/>
          <w:sz w:val="15"/>
          <w:szCs w:val="15"/>
          <w:i w:val="1"/>
          <w:iCs w:val="1"/>
          <w:color w:val="auto"/>
        </w:rPr>
        <w:t>Underwriting Conflicts</w:t>
      </w:r>
      <w:r>
        <w:rPr>
          <w:rFonts w:ascii="Times New Roman" w:cs="Times New Roman" w:eastAsia="Times New Roman" w:hAnsi="Times New Roman"/>
          <w:sz w:val="15"/>
          <w:szCs w:val="15"/>
          <w:color w:val="auto"/>
        </w:rPr>
        <w:t xml:space="preserve"> (NI 33-105), the underwriters are not required to comply with the disclosure requirements of NI 33-105 regarding underwriter conflicts of interest in connection with this offering.</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European Economic Area</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 relation to each Member State of the EEA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99" w:lineRule="exact"/>
        <w:rPr>
          <w:sz w:val="20"/>
          <w:szCs w:val="20"/>
          <w:color w:val="auto"/>
        </w:rPr>
      </w:pPr>
    </w:p>
    <w:p>
      <w:pPr>
        <w:ind w:left="2020" w:hanging="270"/>
        <w:spacing w:after="0"/>
        <w:tabs>
          <w:tab w:leader="none" w:pos="202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under the Prospectus Regulation;</w:t>
      </w:r>
    </w:p>
    <w:p>
      <w:pPr>
        <w:spacing w:after="0" w:line="113" w:lineRule="exact"/>
        <w:rPr>
          <w:rFonts w:ascii="Times New Roman" w:cs="Times New Roman" w:eastAsia="Times New Roman" w:hAnsi="Times New Roman"/>
          <w:sz w:val="15"/>
          <w:szCs w:val="15"/>
          <w:color w:val="auto"/>
        </w:rPr>
      </w:pPr>
    </w:p>
    <w:p>
      <w:pPr>
        <w:ind w:left="1460" w:right="1179" w:firstLine="290"/>
        <w:spacing w:after="0" w:line="254" w:lineRule="auto"/>
        <w:tabs>
          <w:tab w:leader="none" w:pos="2069"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under the Prospectus Regulation), subject to obtaining the prior consent of the representatives; or</w:t>
      </w:r>
    </w:p>
    <w:p>
      <w:pPr>
        <w:spacing w:after="0" w:line="85" w:lineRule="exact"/>
        <w:rPr>
          <w:rFonts w:ascii="Times New Roman" w:cs="Times New Roman" w:eastAsia="Times New Roman" w:hAnsi="Times New Roman"/>
          <w:sz w:val="15"/>
          <w:szCs w:val="15"/>
          <w:color w:val="auto"/>
        </w:rPr>
      </w:pPr>
    </w:p>
    <w:p>
      <w:pPr>
        <w:ind w:left="2100" w:hanging="350"/>
        <w:spacing w:after="0"/>
        <w:tabs>
          <w:tab w:leader="none" w:pos="210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Article 1(4) of the Prospectus Regulation;</w:t>
      </w:r>
    </w:p>
    <w:p>
      <w:pPr>
        <w:spacing w:after="0" w:line="12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89"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any shares, and the expression “Prospectus Regulation” means Regulation (EU) 2017/1129 (as amended).</w:t>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United Kingdom</w:t>
      </w:r>
    </w:p>
    <w:p>
      <w:pPr>
        <w:spacing w:after="0" w:line="1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Each underwriter has represented and agreed that:</w:t>
      </w:r>
    </w:p>
    <w:p>
      <w:pPr>
        <w:spacing w:after="0" w:line="113" w:lineRule="exact"/>
        <w:rPr>
          <w:sz w:val="20"/>
          <w:szCs w:val="20"/>
          <w:color w:val="auto"/>
        </w:rPr>
      </w:pPr>
    </w:p>
    <w:p>
      <w:pPr>
        <w:jc w:val="both"/>
        <w:ind w:left="1460" w:right="1179" w:firstLine="290"/>
        <w:spacing w:after="0" w:line="243" w:lineRule="auto"/>
        <w:tabs>
          <w:tab w:leader="none" w:pos="2034"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in circumstances in which Section 21(1) of the FSMA does not apply to us; and</w:t>
      </w:r>
    </w:p>
    <w:p>
      <w:pPr>
        <w:spacing w:after="0" w:line="93" w:lineRule="exact"/>
        <w:rPr>
          <w:rFonts w:ascii="Times New Roman" w:cs="Times New Roman" w:eastAsia="Times New Roman" w:hAnsi="Times New Roman"/>
          <w:sz w:val="15"/>
          <w:szCs w:val="15"/>
          <w:color w:val="auto"/>
        </w:rPr>
      </w:pPr>
    </w:p>
    <w:p>
      <w:pPr>
        <w:ind w:left="1460" w:right="1179" w:firstLine="290"/>
        <w:spacing w:after="0" w:line="254" w:lineRule="auto"/>
        <w:tabs>
          <w:tab w:leader="none" w:pos="2089"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has complied and will comply with all applicable provisions of the FSMA with respect to anything done by it in relation to the shares in, from or otherwise involving the UK.</w:t>
      </w:r>
    </w:p>
    <w:p>
      <w:pPr>
        <w:spacing w:after="0" w:line="8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No shares have been offered or will be offered pursuant to the offering to the public in the UK prior to the publication of a prospectus in relation to the shares which has been approved by the Financial Conduct Authority, except that the shares may be offered to the public in the UK at any time:</w:t>
      </w:r>
    </w:p>
    <w:p>
      <w:pPr>
        <w:spacing w:after="0" w:line="89" w:lineRule="exact"/>
        <w:rPr>
          <w:sz w:val="20"/>
          <w:szCs w:val="20"/>
          <w:color w:val="auto"/>
        </w:rPr>
      </w:pPr>
    </w:p>
    <w:p>
      <w:pPr>
        <w:ind w:left="1460" w:right="1179" w:firstLine="290"/>
        <w:spacing w:after="0" w:line="254" w:lineRule="auto"/>
        <w:tabs>
          <w:tab w:leader="none" w:pos="2119"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under Article 2 of the UK Prospectus Regulation;</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0" w:name="page211"/>
    <w:bookmarkEnd w:id="21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60" w:right="1179" w:firstLine="290"/>
        <w:spacing w:after="0" w:line="249" w:lineRule="auto"/>
        <w:tabs>
          <w:tab w:leader="none" w:pos="211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under Article 2 of the UK Prospectus Regulation), subject to obtaining the prior consent of the representatives for any such offer; or</w:t>
      </w:r>
    </w:p>
    <w:p>
      <w:pPr>
        <w:spacing w:after="0" w:line="89" w:lineRule="exact"/>
        <w:rPr>
          <w:rFonts w:ascii="Times New Roman" w:cs="Times New Roman" w:eastAsia="Times New Roman" w:hAnsi="Times New Roman"/>
          <w:sz w:val="15"/>
          <w:szCs w:val="15"/>
          <w:color w:val="auto"/>
        </w:rPr>
      </w:pPr>
    </w:p>
    <w:p>
      <w:pPr>
        <w:ind w:left="2100" w:hanging="350"/>
        <w:spacing w:after="0"/>
        <w:tabs>
          <w:tab w:leader="none" w:pos="210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Section 86 of the FSMA;</w:t>
      </w:r>
    </w:p>
    <w:p>
      <w:pPr>
        <w:spacing w:after="0" w:line="124"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provided that no such offer of the shares shall require us or any of the representatives to publish a prospectus pursuant to Section 85 of the FSMA or supplement a prospectus pursuant to Article 23 of the UK Prospectus Regulation.</w:t>
      </w:r>
    </w:p>
    <w:p>
      <w:pPr>
        <w:spacing w:after="0" w:line="96"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For the purposes of this provision, the expression an “offer to the public” in relation to the shares in the UK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94"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This prospectus is only for distribution to and directed at: (i) in the UK, persons having professional experience in matters relating to investments falling within Article 19(5) of the Financial Services and Markets Act 2000 (Financial Promotion) Order 2005, as amended, or the Order, and high net worth entities falling within Article 49(2)(a) to (d) of the Order; (ii) persons who are outside the UK; and (iii) any other person to whom it can otherwise be lawfully distributed, or all such persons together, Relevant Persons. Any investment or investment activity to which this prospectus relates is available only to and will be engaged in only with Relevant Persons, and any person who is not a Relevant Person should not rely on it.</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Hong Kong</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Japan</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means any person resident in Japan, including any corporation or other entity organized under the laws of Japan.</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Singapore</w:t>
      </w:r>
    </w:p>
    <w:p>
      <w:pPr>
        <w:spacing w:after="0" w:line="11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This prospectus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w:t>
      </w:r>
    </w:p>
    <w:p>
      <w:pPr>
        <w:spacing w:after="0" w:line="4" w:lineRule="exact"/>
        <w:rPr>
          <w:sz w:val="20"/>
          <w:szCs w:val="20"/>
          <w:color w:val="auto"/>
        </w:rPr>
      </w:pPr>
    </w:p>
    <w:p>
      <w:pPr>
        <w:jc w:val="both"/>
        <w:ind w:left="1160" w:right="1179" w:firstLine="4"/>
        <w:spacing w:after="0" w:line="244" w:lineRule="auto"/>
        <w:tabs>
          <w:tab w:leader="none" w:pos="1355"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 institutional investor (as defined in Section 4A of the Securities and Futures Act (Chapter 289) of Singapore, as modified or amended from time to time (the “SFA”)) pursuant to Section 274 of the SFA,</w:t>
      </w:r>
    </w:p>
    <w:p>
      <w:pPr>
        <w:ind w:left="1400" w:hanging="236"/>
        <w:spacing w:after="0"/>
        <w:tabs>
          <w:tab w:leader="none" w:pos="140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w:t>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1" w:name="page212"/>
    <w:bookmarkEnd w:id="21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0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Where the securities are subscribed or purchased under Section 275 of the SFA by a relevant person which is:</w:t>
      </w:r>
    </w:p>
    <w:p>
      <w:pPr>
        <w:spacing w:after="0" w:line="86" w:lineRule="exact"/>
        <w:rPr>
          <w:sz w:val="20"/>
          <w:szCs w:val="20"/>
          <w:color w:val="auto"/>
        </w:rPr>
      </w:pPr>
    </w:p>
    <w:p>
      <w:pPr>
        <w:jc w:val="both"/>
        <w:ind w:left="1460" w:right="1179" w:firstLine="290"/>
        <w:spacing w:after="0" w:line="257" w:lineRule="auto"/>
        <w:tabs>
          <w:tab w:leader="none" w:pos="2041"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83" w:lineRule="exact"/>
        <w:rPr>
          <w:rFonts w:ascii="Times New Roman" w:cs="Times New Roman" w:eastAsia="Times New Roman" w:hAnsi="Times New Roman"/>
          <w:sz w:val="15"/>
          <w:szCs w:val="15"/>
          <w:color w:val="auto"/>
        </w:rPr>
      </w:pPr>
    </w:p>
    <w:p>
      <w:pPr>
        <w:ind w:left="1460" w:right="1179" w:firstLine="290"/>
        <w:spacing w:after="0" w:line="269" w:lineRule="auto"/>
        <w:tabs>
          <w:tab w:leader="none" w:pos="2159"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(where the trustee is not an accredited investor) whose sole purpose is to hold investments and each beneficiary of the trust is an individual who is an accredited investor;</w:t>
      </w:r>
    </w:p>
    <w:p>
      <w:pPr>
        <w:spacing w:after="0" w:line="86"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00" w:lineRule="exact"/>
        <w:rPr>
          <w:sz w:val="20"/>
          <w:szCs w:val="20"/>
          <w:color w:val="auto"/>
        </w:rPr>
      </w:pPr>
    </w:p>
    <w:p>
      <w:pPr>
        <w:ind w:left="1460" w:right="1179" w:firstLine="290"/>
        <w:spacing w:after="0" w:line="269" w:lineRule="auto"/>
        <w:tabs>
          <w:tab w:leader="none" w:pos="2103"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 institutional investor or to a relevant person, or to any person arising from an offer referred to in Section 275(1A) or Section 276(4)(i)(B) of the SFA;</w:t>
      </w:r>
    </w:p>
    <w:p>
      <w:pPr>
        <w:spacing w:after="0" w:line="74" w:lineRule="exact"/>
        <w:rPr>
          <w:rFonts w:ascii="Times New Roman" w:cs="Times New Roman" w:eastAsia="Times New Roman" w:hAnsi="Times New Roman"/>
          <w:sz w:val="15"/>
          <w:szCs w:val="15"/>
          <w:color w:val="auto"/>
        </w:rPr>
      </w:pPr>
    </w:p>
    <w:p>
      <w:pPr>
        <w:ind w:left="2040" w:hanging="290"/>
        <w:spacing w:after="0"/>
        <w:tabs>
          <w:tab w:leader="none" w:pos="204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no consideration is or will be given for the transfer;</w:t>
      </w:r>
    </w:p>
    <w:p>
      <w:pPr>
        <w:spacing w:after="0" w:line="124" w:lineRule="exact"/>
        <w:rPr>
          <w:rFonts w:ascii="Times New Roman" w:cs="Times New Roman" w:eastAsia="Times New Roman" w:hAnsi="Times New Roman"/>
          <w:sz w:val="15"/>
          <w:szCs w:val="15"/>
          <w:color w:val="auto"/>
        </w:rPr>
      </w:pPr>
    </w:p>
    <w:p>
      <w:pPr>
        <w:ind w:left="2040" w:hanging="290"/>
        <w:spacing w:after="0"/>
        <w:tabs>
          <w:tab w:leader="none" w:pos="204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the transfer is by operation of law; or</w:t>
      </w:r>
    </w:p>
    <w:p>
      <w:pPr>
        <w:spacing w:after="0" w:line="124" w:lineRule="exact"/>
        <w:rPr>
          <w:rFonts w:ascii="Times New Roman" w:cs="Times New Roman" w:eastAsia="Times New Roman" w:hAnsi="Times New Roman"/>
          <w:sz w:val="15"/>
          <w:szCs w:val="15"/>
          <w:color w:val="auto"/>
        </w:rPr>
      </w:pPr>
    </w:p>
    <w:p>
      <w:pPr>
        <w:ind w:left="2040" w:hanging="290"/>
        <w:spacing w:after="0"/>
        <w:tabs>
          <w:tab w:leader="none" w:pos="204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specified in Section 276(7) of the SFA.</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Switzerland</w:t>
      </w:r>
    </w:p>
    <w:p>
      <w:pPr>
        <w:spacing w:after="0" w:line="117"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shares may not be publicly offered in Switzerland and will not be listed on the SIX Swiss Exchange, or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w:t>
      </w:r>
    </w:p>
    <w:p>
      <w:pPr>
        <w:spacing w:after="0" w:line="10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Neither this prospectus nor any other offering or marketing material relating to us, the offering, or the shares have been or will be filed with or approved by any Swiss regulatory authority. In particular, this prospectus will not be filed with, and the offering of shares will not be supervised by, the Swiss Financial Market Supervisory Authority , and the offering of shares has not been and will not be authorized under the Swiss Federal Act on Collective Investment Schemes, or the CISA. The investor protection afforded to acquirers of interests in collective investment schemes under the CISA does not extend to acquirers of the shares.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Dubai International Financial Centre</w:t>
      </w:r>
    </w:p>
    <w:p>
      <w:pPr>
        <w:spacing w:after="0" w:line="12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2" w:name="page213"/>
    <w:bookmarkEnd w:id="21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Australia</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28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Any offer in Australia of the shares may only be made to persons, or Exempt Investors, who are</w:t>
      </w:r>
    </w:p>
    <w:p>
      <w:pPr>
        <w:spacing w:after="0" w:line="18"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9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shares must observe such Australian on-sale restrictions.</w:t>
      </w:r>
    </w:p>
    <w:p>
      <w:pPr>
        <w:spacing w:after="0" w:line="102"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Israel</w:t>
      </w:r>
    </w:p>
    <w:p>
      <w:pPr>
        <w:spacing w:after="0" w:line="12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5728 - 1968, subject to certain conditions, or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273"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w:t>
      </w:r>
    </w:p>
    <w:p>
      <w:pPr>
        <w:spacing w:after="0" w:line="4" w:lineRule="exact"/>
        <w:rPr>
          <w:sz w:val="20"/>
          <w:szCs w:val="20"/>
          <w:color w:val="auto"/>
        </w:rPr>
      </w:pPr>
    </w:p>
    <w:p>
      <w:pPr>
        <w:jc w:val="both"/>
        <w:ind w:left="1160" w:right="1179" w:firstLine="4"/>
        <w:spacing w:after="0" w:line="245" w:lineRule="auto"/>
        <w:tabs>
          <w:tab w:leader="none" w:pos="1471"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3" w:name="page214"/>
    <w:bookmarkEnd w:id="213"/>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validity of the shares of common stock offered by this prospectus will be passed upon for us by Ropes &amp; Gray LLP, Boston, Massachusetts. Certain legal matters will be passed upon for the underwriters by Cooley LLP, New York, New York.</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2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consolidated financial statements of Zenas BioPharma, Inc. as of December 31, 2023 and 2022, and for each of the years then ended, appearing in this prospectus and registration statement have been audited by Ernst &amp; Young LLP, an independent registered public accounting firm, as set forth in their report thereon appearing elsewhere herein, and are included in reliance upon such report given on the authority of such firm as experts in accounting and auditing.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ADDITIONAL INFORMATION</w:t>
      </w:r>
    </w:p>
    <w:p>
      <w:pPr>
        <w:spacing w:after="0" w:line="11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shares of common stock offered hereby, we refer you to the registration statement and the exhibits and schedules filed thereto.</w:t>
      </w:r>
    </w:p>
    <w:p>
      <w:pPr>
        <w:spacing w:after="0" w:line="10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also maintains an internet website that contains reports, proxy statements and other information about registrants, like us, that file electronically with the SEC. The address of that site is www.sec.gov.</w:t>
      </w:r>
    </w:p>
    <w:p>
      <w:pPr>
        <w:spacing w:after="0" w:line="10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Upon the effectiveness of the registration statement, we will be subject to the informational requirements of the Exchange Act and, in accordance with the Exchange Act, will file reports, proxy and information statements and other information with the SEC. Such annual, quarterly and special reports, proxy and information statements and other information can be accessed at the SEC’s website referenced above. We also intend to make this information available on the investor relations section of our website, which is located at www.zenasbio.com. Information contained on or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4" w:name="page215"/>
    <w:bookmarkEnd w:id="214"/>
    <w:p>
      <w:pPr>
        <w:ind w:left="1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ectPr>
          <w:pgSz w:w="11900" w:h="16838" w:orient="portrait"/>
          <w:cols w:equalWidth="0" w:num="1">
            <w:col w:w="9019"/>
          </w:cols>
          <w:pgMar w:left="144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5"/>
          <w:szCs w:val="15"/>
          <w:b w:val="1"/>
          <w:bCs w:val="1"/>
          <w:color w:val="auto"/>
        </w:rPr>
        <w:t>INDEX TO CONSOLIDATED FINANCIAL STATEMENTS</w:t>
      </w:r>
    </w:p>
    <w:p>
      <w:pPr>
        <w:spacing w:after="0" w:line="91"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3"/>
          <w:szCs w:val="13"/>
          <w:b w:val="1"/>
          <w:bCs w:val="1"/>
          <w:u w:val="single" w:color="auto"/>
          <w:color w:val="auto"/>
        </w:rPr>
        <w:t>Audited Consolidated Financial Statements for the Years Ended December 31, 2023 and 2022:</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Report</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-92710</wp:posOffset>
            </wp:positionV>
            <wp:extent cx="4241800" cy="977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241800" cy="97790"/>
                    </a:xfrm>
                    <a:prstGeom prst="rect">
                      <a:avLst/>
                    </a:prstGeom>
                    <a:noFill/>
                  </pic:spPr>
                </pic:pic>
              </a:graphicData>
            </a:graphic>
          </wp:anchor>
        </w:drawing>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Consolidated</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606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Consolidated</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Statements of Operations and Comprehensive Loss</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Consolidated</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Statements of Changes in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-8890</wp:posOffset>
            </wp:positionV>
            <wp:extent cx="4241800" cy="1606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Consolidated</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Statements of Cash Flows</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Notes</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-8890</wp:posOffset>
            </wp:positionV>
            <wp:extent cx="1704975"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70497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F-2</w:t>
      </w:r>
      <w:r>
        <w:rPr>
          <w:rFonts w:ascii="Times New Roman" w:cs="Times New Roman" w:eastAsia="Times New Roman" w:hAnsi="Times New Roman"/>
          <w:sz w:val="15"/>
          <w:szCs w:val="15"/>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F-3</w:t>
      </w:r>
      <w:r>
        <w:rPr>
          <w:rFonts w:ascii="Times New Roman" w:cs="Times New Roman" w:eastAsia="Times New Roman" w:hAnsi="Times New Roman"/>
          <w:sz w:val="15"/>
          <w:szCs w:val="15"/>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F-4</w:t>
      </w:r>
      <w:r>
        <w:rPr>
          <w:rFonts w:ascii="Times New Roman" w:cs="Times New Roman" w:eastAsia="Times New Roman" w:hAnsi="Times New Roman"/>
          <w:sz w:val="15"/>
          <w:szCs w:val="15"/>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F-5</w:t>
      </w:r>
      <w:r>
        <w:rPr>
          <w:rFonts w:ascii="Times New Roman" w:cs="Times New Roman" w:eastAsia="Times New Roman" w:hAnsi="Times New Roman"/>
          <w:sz w:val="15"/>
          <w:szCs w:val="15"/>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F-6</w:t>
      </w:r>
      <w:r>
        <w:rPr>
          <w:rFonts w:ascii="Times New Roman" w:cs="Times New Roman" w:eastAsia="Times New Roman" w:hAnsi="Times New Roman"/>
          <w:sz w:val="15"/>
          <w:szCs w:val="15"/>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F-7</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sectPr>
          <w:pgSz w:w="11900" w:h="16838" w:orient="portrait"/>
          <w:cols w:equalWidth="0" w:num="2">
            <w:col w:w="7320" w:space="180"/>
            <w:col w:w="1519"/>
          </w:cols>
          <w:pgMar w:left="1440" w:top="106"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Unaudited Condensed Consolidated Financial Statements for the Six Months Ended June 30, 2024 and 2023:</w:t>
      </w:r>
    </w:p>
    <w:p>
      <w:pPr>
        <w:spacing w:after="0" w:line="114"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color w:val="0000EE"/>
              </w:rPr>
              <w:t>Condensed Consolidated Balance Sheets</w:t>
            </w:r>
          </w:p>
        </w:tc>
        <w:tc>
          <w:tcPr>
            <w:tcW w:w="3540" w:type="dxa"/>
            <w:vAlign w:val="bottom"/>
            <w:gridSpan w:val="4"/>
            <w:shd w:val="clear" w:color="auto" w:fill="CCEEFF"/>
          </w:tcPr>
          <w:p>
            <w:pPr>
              <w:spacing w:after="0"/>
              <w:rPr>
                <w:sz w:val="16"/>
                <w:szCs w:val="16"/>
                <w:color w:val="auto"/>
              </w:rPr>
            </w:pP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F-35</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2"/>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65"/>
        </w:trPr>
        <w:tc>
          <w:tcPr>
            <w:tcW w:w="6040" w:type="dxa"/>
            <w:vAlign w:val="bottom"/>
            <w:gridSpan w:val="7"/>
          </w:tcPr>
          <w:p>
            <w:pPr>
              <w:spacing w:after="0" w:line="165" w:lineRule="exact"/>
              <w:rPr>
                <w:sz w:val="20"/>
                <w:szCs w:val="20"/>
                <w:color w:val="auto"/>
              </w:rPr>
            </w:pPr>
            <w:r>
              <w:rPr>
                <w:rFonts w:ascii="Times New Roman" w:cs="Times New Roman" w:eastAsia="Times New Roman" w:hAnsi="Times New Roman"/>
                <w:sz w:val="15"/>
                <w:szCs w:val="15"/>
                <w:color w:val="0000EE"/>
              </w:rPr>
              <w:t>Condensed Consolidated Statements of Operations and Comprehensive Loss</w:t>
            </w:r>
          </w:p>
        </w:tc>
        <w:tc>
          <w:tcPr>
            <w:tcW w:w="360" w:type="dxa"/>
            <w:vAlign w:val="bottom"/>
          </w:tcPr>
          <w:p>
            <w:pPr>
              <w:spacing w:after="0"/>
              <w:rPr>
                <w:sz w:val="14"/>
                <w:szCs w:val="14"/>
                <w:color w:val="auto"/>
              </w:rPr>
            </w:pPr>
          </w:p>
        </w:tc>
        <w:tc>
          <w:tcPr>
            <w:tcW w:w="280" w:type="dxa"/>
            <w:vAlign w:val="bottom"/>
          </w:tcPr>
          <w:p>
            <w:pPr>
              <w:spacing w:after="0" w:line="165" w:lineRule="exact"/>
              <w:rPr>
                <w:sz w:val="20"/>
                <w:szCs w:val="20"/>
                <w:color w:val="auto"/>
              </w:rPr>
            </w:pPr>
            <w:r>
              <w:rPr>
                <w:rFonts w:ascii="Times New Roman" w:cs="Times New Roman" w:eastAsia="Times New Roman" w:hAnsi="Times New Roman"/>
                <w:sz w:val="15"/>
                <w:szCs w:val="15"/>
                <w:b w:val="1"/>
                <w:bCs w:val="1"/>
                <w:color w:val="auto"/>
                <w:w w:val="84"/>
              </w:rPr>
              <w:t>​</w:t>
            </w:r>
            <w:r>
              <w:rPr>
                <w:rFonts w:ascii="Times New Roman" w:cs="Times New Roman" w:eastAsia="Times New Roman" w:hAnsi="Times New Roman"/>
                <w:sz w:val="15"/>
                <w:szCs w:val="15"/>
                <w:color w:val="0000EE"/>
                <w:w w:val="84"/>
              </w:rPr>
              <w:t>F-36</w:t>
            </w:r>
          </w:p>
        </w:tc>
        <w:tc>
          <w:tcPr>
            <w:tcW w:w="40" w:type="dxa"/>
            <w:vAlign w:val="bottom"/>
          </w:tcPr>
          <w:p>
            <w:pPr>
              <w:spacing w:after="0"/>
              <w:rPr>
                <w:sz w:val="14"/>
                <w:szCs w:val="14"/>
                <w:color w:val="auto"/>
              </w:rPr>
            </w:pPr>
          </w:p>
        </w:tc>
      </w:tr>
      <w:tr>
        <w:trPr>
          <w:trHeight w:val="22"/>
        </w:trPr>
        <w:tc>
          <w:tcPr>
            <w:tcW w:w="4700" w:type="dxa"/>
            <w:vAlign w:val="bottom"/>
            <w:gridSpan w:val="6"/>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340" w:type="dxa"/>
            <w:vAlign w:val="bottom"/>
          </w:tcPr>
          <w:p>
            <w:pPr>
              <w:spacing w:after="0" w:line="20" w:lineRule="exact"/>
              <w:rPr>
                <w:sz w:val="1"/>
                <w:szCs w:val="1"/>
                <w:color w:val="auto"/>
              </w:rPr>
            </w:pPr>
          </w:p>
        </w:tc>
        <w:tc>
          <w:tcPr>
            <w:tcW w:w="360" w:type="dxa"/>
            <w:vAlign w:val="bottom"/>
          </w:tcPr>
          <w:p>
            <w:pPr>
              <w:ind w:left="220"/>
              <w:spacing w:after="0" w:line="2" w:lineRule="exact"/>
              <w:rPr>
                <w:sz w:val="20"/>
                <w:szCs w:val="20"/>
                <w:color w:val="auto"/>
              </w:rPr>
            </w:pPr>
            <w:r>
              <w:rPr>
                <w:rFonts w:ascii="Times New Roman" w:cs="Times New Roman" w:eastAsia="Times New Roman" w:hAnsi="Times New Roman"/>
                <w:sz w:val="1"/>
                <w:szCs w:val="1"/>
                <w:color w:val="auto"/>
              </w:rPr>
              <w:t>​ ​</w:t>
            </w:r>
          </w:p>
        </w:tc>
        <w:tc>
          <w:tcPr>
            <w:tcW w:w="2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r>
      <w:tr>
        <w:trPr>
          <w:trHeight w:val="22"/>
        </w:trPr>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6040" w:type="dxa"/>
            <w:vAlign w:val="bottom"/>
            <w:tcBorders>
              <w:bottom w:val="single" w:sz="8" w:color="0000EE"/>
            </w:tcBorders>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0000EE"/>
              </w:rPr>
              <w:t>Condensed Consolidated Statements of Changes in Convertible Preferred Stock and Stockholders’</w:t>
            </w:r>
          </w:p>
        </w:tc>
        <w:tc>
          <w:tcPr>
            <w:tcW w:w="360" w:type="dxa"/>
            <w:vAlign w:val="bottom"/>
            <w:tcBorders>
              <w:bottom w:val="single" w:sz="8" w:color="CCEEFF"/>
              <w:right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56"/>
        </w:trPr>
        <w:tc>
          <w:tcPr>
            <w:tcW w:w="6040" w:type="dxa"/>
            <w:vAlign w:val="bottom"/>
            <w:gridSpan w:val="7"/>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Deficit</w:t>
            </w:r>
          </w:p>
        </w:tc>
        <w:tc>
          <w:tcPr>
            <w:tcW w:w="64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F-37</w:t>
            </w:r>
          </w:p>
        </w:tc>
        <w:tc>
          <w:tcPr>
            <w:tcW w:w="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w:t>
            </w:r>
          </w:p>
        </w:tc>
      </w:tr>
      <w:tr>
        <w:trPr>
          <w:trHeight w:val="24"/>
        </w:trPr>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176"/>
        </w:trPr>
        <w:tc>
          <w:tcPr>
            <w:tcW w:w="6040" w:type="dxa"/>
            <w:vAlign w:val="bottom"/>
            <w:gridSpan w:val="7"/>
          </w:tcPr>
          <w:p>
            <w:pPr>
              <w:spacing w:after="0"/>
              <w:rPr>
                <w:sz w:val="20"/>
                <w:szCs w:val="20"/>
                <w:color w:val="auto"/>
              </w:rPr>
            </w:pPr>
            <w:r>
              <w:rPr>
                <w:rFonts w:ascii="Times New Roman" w:cs="Times New Roman" w:eastAsia="Times New Roman" w:hAnsi="Times New Roman"/>
                <w:sz w:val="15"/>
                <w:szCs w:val="15"/>
                <w:color w:val="0000EE"/>
              </w:rPr>
              <w:t>Condensed Consolidated Statements of Cash Flows</w:t>
            </w:r>
          </w:p>
        </w:tc>
        <w:tc>
          <w:tcPr>
            <w:tcW w:w="36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w w:val="84"/>
              </w:rPr>
              <w:t>​</w:t>
            </w:r>
            <w:r>
              <w:rPr>
                <w:rFonts w:ascii="Times New Roman" w:cs="Times New Roman" w:eastAsia="Times New Roman" w:hAnsi="Times New Roman"/>
                <w:sz w:val="15"/>
                <w:szCs w:val="15"/>
                <w:color w:val="0000EE"/>
                <w:w w:val="84"/>
              </w:rPr>
              <w:t>F-38</w:t>
            </w:r>
          </w:p>
        </w:tc>
        <w:tc>
          <w:tcPr>
            <w:tcW w:w="40" w:type="dxa"/>
            <w:vAlign w:val="bottom"/>
          </w:tcPr>
          <w:p>
            <w:pPr>
              <w:spacing w:after="0"/>
              <w:rPr>
                <w:sz w:val="15"/>
                <w:szCs w:val="15"/>
                <w:color w:val="auto"/>
              </w:rPr>
            </w:pPr>
          </w:p>
        </w:tc>
      </w:tr>
      <w:tr>
        <w:trPr>
          <w:trHeight w:val="22"/>
        </w:trPr>
        <w:tc>
          <w:tcPr>
            <w:tcW w:w="3160" w:type="dxa"/>
            <w:vAlign w:val="bottom"/>
            <w:gridSpan w:val="4"/>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60" w:type="dxa"/>
            <w:vAlign w:val="bottom"/>
          </w:tcPr>
          <w:p>
            <w:pPr>
              <w:ind w:left="220"/>
              <w:spacing w:after="0" w:line="2" w:lineRule="exact"/>
              <w:rPr>
                <w:sz w:val="20"/>
                <w:szCs w:val="20"/>
                <w:color w:val="auto"/>
              </w:rPr>
            </w:pPr>
            <w:r>
              <w:rPr>
                <w:rFonts w:ascii="Times New Roman" w:cs="Times New Roman" w:eastAsia="Times New Roman" w:hAnsi="Times New Roman"/>
                <w:sz w:val="1"/>
                <w:szCs w:val="1"/>
                <w:color w:val="auto"/>
              </w:rPr>
              <w:t>​ ​</w:t>
            </w:r>
          </w:p>
        </w:tc>
        <w:tc>
          <w:tcPr>
            <w:tcW w:w="2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r>
      <w:tr>
        <w:trPr>
          <w:trHeight w:val="22"/>
        </w:trPr>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60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0000EE"/>
              </w:rPr>
              <w:t>Notes to Condensed Consolidated Financial Statements</w:t>
            </w:r>
          </w:p>
        </w:tc>
        <w:tc>
          <w:tcPr>
            <w:tcW w:w="36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84"/>
              </w:rPr>
              <w:t>​</w:t>
            </w:r>
            <w:r>
              <w:rPr>
                <w:rFonts w:ascii="Times New Roman" w:cs="Times New Roman" w:eastAsia="Times New Roman" w:hAnsi="Times New Roman"/>
                <w:sz w:val="15"/>
                <w:szCs w:val="15"/>
                <w:color w:val="0000EE"/>
                <w:w w:val="84"/>
              </w:rPr>
              <w:t>F-39</w:t>
            </w:r>
          </w:p>
        </w:tc>
        <w:tc>
          <w:tcPr>
            <w:tcW w:w="40" w:type="dxa"/>
            <w:vAlign w:val="bottom"/>
          </w:tcPr>
          <w:p>
            <w:pPr>
              <w:spacing w:after="0"/>
              <w:rPr>
                <w:sz w:val="15"/>
                <w:szCs w:val="15"/>
                <w:color w:val="auto"/>
              </w:rPr>
            </w:pPr>
          </w:p>
        </w:tc>
      </w:tr>
      <w:tr>
        <w:trPr>
          <w:trHeight w:val="24"/>
        </w:trPr>
        <w:tc>
          <w:tcPr>
            <w:tcW w:w="3400" w:type="dxa"/>
            <w:vAlign w:val="bottom"/>
            <w:tcBorders>
              <w:bottom w:val="single" w:sz="8" w:color="CCEEFF"/>
            </w:tcBorders>
            <w:gridSpan w:val="5"/>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640" w:type="dxa"/>
            <w:vAlign w:val="bottom"/>
            <w:tcBorders>
              <w:bottom w:val="single" w:sz="8" w:color="CCEEFF"/>
            </w:tcBorders>
            <w:gridSpan w:val="2"/>
            <w:shd w:val="clear" w:color="auto" w:fill="CCEEFF"/>
          </w:tcPr>
          <w:p>
            <w:pPr>
              <w:spacing w:after="0"/>
              <w:rPr>
                <w:sz w:val="2"/>
                <w:szCs w:val="2"/>
                <w:color w:val="auto"/>
              </w:rPr>
            </w:pPr>
          </w:p>
        </w:tc>
        <w:tc>
          <w:tcPr>
            <w:tcW w:w="360" w:type="dxa"/>
            <w:vAlign w:val="bottom"/>
            <w:tcBorders>
              <w:bottom w:val="single" w:sz="8" w:color="CCEEFF"/>
              <w:right w:val="single" w:sz="8" w:color="CCEEFF"/>
            </w:tcBorders>
            <w:shd w:val="clear" w:color="auto" w:fill="CCEEFF"/>
          </w:tcPr>
          <w:p>
            <w:pPr>
              <w:ind w:left="220"/>
              <w:spacing w:after="0" w:line="2" w:lineRule="exact"/>
              <w:rPr>
                <w:sz w:val="20"/>
                <w:szCs w:val="20"/>
                <w:color w:val="auto"/>
              </w:rPr>
            </w:pPr>
            <w:r>
              <w:rPr>
                <w:rFonts w:ascii="Times New Roman" w:cs="Times New Roman" w:eastAsia="Times New Roman" w:hAnsi="Times New Roman"/>
                <w:sz w:val="1"/>
                <w:szCs w:val="1"/>
                <w:color w:val="auto"/>
              </w:rPr>
              <w:t>​ ​</w:t>
            </w:r>
          </w:p>
        </w:tc>
        <w:tc>
          <w:tcPr>
            <w:tcW w:w="2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215" w:name="page216"/>
    <w:bookmarkEnd w:id="215"/>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26"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To the Shareholders and the Board of Directors of Zenas BioPharma, Inc. (formerly Zenas BioPharma Cayman Limited)</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126"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Zenas BioPharma, Inc. (the Company) as of December 31, 2023 and 2022, the related consolidated statements of operations and comprehensive loss, changes in convertible preferred stock and stockholders’ deficit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the years then ended, in conformity with U.S generally accepted accounting principles.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15"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1"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4"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 Ernst &amp; Young LLP</w:t>
      </w:r>
    </w:p>
    <w:p>
      <w:pPr>
        <w:spacing w:after="0" w:line="1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We have served as the Company’s auditor since 2021.</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Boston, Massachusetts</w:t>
      </w:r>
    </w:p>
    <w:p>
      <w:pPr>
        <w:spacing w:after="0" w:line="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May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6" w:name="page217"/>
    <w:bookmarkEnd w:id="216"/>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and per share amounts)</w:t>
      </w:r>
    </w:p>
    <w:p>
      <w:pPr>
        <w:spacing w:after="0" w:line="105"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5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6"/>
          </w:tcPr>
          <w:p>
            <w:pPr>
              <w:jc w:val="right"/>
              <w:ind w:right="108"/>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7"/>
        </w:trPr>
        <w:tc>
          <w:tcPr>
            <w:tcW w:w="5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Pr>
          <w:p>
            <w:pPr>
              <w:spacing w:after="0"/>
              <w:rPr>
                <w:sz w:val="14"/>
                <w:szCs w:val="14"/>
                <w:color w:val="auto"/>
              </w:rPr>
            </w:pPr>
          </w:p>
        </w:tc>
        <w:tc>
          <w:tcPr>
            <w:tcW w:w="140" w:type="dxa"/>
            <w:vAlign w:val="bottom"/>
            <w:gridSpan w:val="2"/>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26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80" w:type="dxa"/>
            <w:vAlign w:val="bottom"/>
            <w:vMerge w:val="continue"/>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340" w:type="dxa"/>
            <w:vAlign w:val="bottom"/>
          </w:tcPr>
          <w:p>
            <w:pPr>
              <w:spacing w:after="0"/>
              <w:rPr>
                <w:sz w:val="15"/>
                <w:szCs w:val="15"/>
                <w:color w:val="auto"/>
              </w:rPr>
            </w:pPr>
          </w:p>
        </w:tc>
        <w:tc>
          <w:tcPr>
            <w:tcW w:w="380" w:type="dxa"/>
            <w:vAlign w:val="bottom"/>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6"/>
                <w:szCs w:val="16"/>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Cash</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56,857​ ​​​​$</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67,209​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5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2,947​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1,235​ ​</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current assets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59,804​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68,444​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193​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253​ ​</w:t>
            </w:r>
          </w:p>
        </w:tc>
        <w:tc>
          <w:tcPr>
            <w:tcW w:w="0" w:type="dxa"/>
            <w:vAlign w:val="bottom"/>
          </w:tcPr>
          <w:p>
            <w:pPr>
              <w:spacing w:after="0"/>
              <w:rPr>
                <w:sz w:val="1"/>
                <w:szCs w:val="1"/>
                <w:color w:val="auto"/>
              </w:rPr>
            </w:pPr>
          </w:p>
        </w:tc>
      </w:tr>
      <w:tr>
        <w:trPr>
          <w:trHeight w:val="18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right-of-use assets, net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821​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6"/>
                <w:szCs w:val="16"/>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86​ ​​​​ ​</w:t>
            </w:r>
          </w:p>
        </w:tc>
        <w:tc>
          <w:tcPr>
            <w:tcW w:w="3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86​ ​</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7,276​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assets</w:t>
            </w:r>
          </w:p>
        </w:tc>
        <w:tc>
          <w:tcPr>
            <w:tcW w:w="22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20"/>
                <w:szCs w:val="20"/>
                <w:color w:val="auto"/>
                <w:vertAlign w:val="superscript"/>
              </w:rPr>
              <w:t>$</w:t>
            </w:r>
          </w:p>
        </w:tc>
        <w:tc>
          <w:tcPr>
            <w:tcW w:w="720" w:type="dxa"/>
            <w:vAlign w:val="bottom"/>
            <w:gridSpan w:val="4"/>
          </w:tcPr>
          <w:p>
            <w:pPr>
              <w:jc w:val="right"/>
              <w:spacing w:after="0" w:line="178" w:lineRule="exact"/>
              <w:rPr>
                <w:sz w:val="20"/>
                <w:szCs w:val="20"/>
                <w:color w:val="auto"/>
              </w:rPr>
            </w:pPr>
            <w:r>
              <w:rPr>
                <w:rFonts w:ascii="Times New Roman" w:cs="Times New Roman" w:eastAsia="Times New Roman" w:hAnsi="Times New Roman"/>
                <w:sz w:val="12"/>
                <w:szCs w:val="12"/>
                <w:color w:val="auto"/>
              </w:rPr>
              <w:t xml:space="preserve">68,180​ </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62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2"/>
                <w:szCs w:val="12"/>
                <w:color w:val="auto"/>
              </w:rPr>
              <w:t xml:space="preserve">74,579​ </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44"/>
        </w:trPr>
        <w:tc>
          <w:tcPr>
            <w:tcW w:w="50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Convertible Preferred Stock and Stockholders’ Deficit</w:t>
            </w:r>
          </w:p>
        </w:tc>
        <w:tc>
          <w:tcPr>
            <w:tcW w:w="6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5080" w:type="dxa"/>
            <w:vAlign w:val="bottom"/>
            <w:vMerge w:val="continue"/>
          </w:tcPr>
          <w:p>
            <w:pPr>
              <w:spacing w:after="0"/>
              <w:rPr>
                <w:sz w:val="13"/>
                <w:szCs w:val="13"/>
                <w:color w:val="auto"/>
              </w:rPr>
            </w:pPr>
          </w:p>
        </w:tc>
        <w:tc>
          <w:tcPr>
            <w:tcW w:w="22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5"/>
                <w:szCs w:val="15"/>
                <w:b w:val="1"/>
                <w:bCs w:val="1"/>
                <w:color w:val="auto"/>
              </w:rPr>
              <w:t>​​​ ​</w:t>
            </w:r>
          </w:p>
        </w:tc>
        <w:tc>
          <w:tcPr>
            <w:tcW w:w="340" w:type="dxa"/>
            <w:vAlign w:val="bottom"/>
          </w:tcPr>
          <w:p>
            <w:pPr>
              <w:spacing w:after="0"/>
              <w:rPr>
                <w:sz w:val="13"/>
                <w:szCs w:val="13"/>
                <w:color w:val="auto"/>
              </w:rPr>
            </w:pPr>
          </w:p>
        </w:tc>
        <w:tc>
          <w:tcPr>
            <w:tcW w:w="300" w:type="dxa"/>
            <w:vAlign w:val="bottom"/>
            <w:gridSpan w:val="2"/>
          </w:tcPr>
          <w:p>
            <w:pPr>
              <w:ind w:left="180"/>
              <w:spacing w:after="0" w:line="154" w:lineRule="exact"/>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spacing w:after="0"/>
              <w:rPr>
                <w:sz w:val="13"/>
                <w:szCs w:val="13"/>
                <w:color w:val="auto"/>
              </w:rPr>
            </w:pPr>
          </w:p>
        </w:tc>
        <w:tc>
          <w:tcPr>
            <w:tcW w:w="30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6"/>
                <w:szCs w:val="16"/>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Accounts payable (includes $21 and $1,934 owed to related parties,</w:t>
            </w:r>
          </w:p>
        </w:tc>
        <w:tc>
          <w:tcPr>
            <w:tcW w:w="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respectively)</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5,396​​​​​$</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Accrued expenses (includes $404 and $3,672 owed to related parties,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respectively)</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17,306​​​​​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19,437​​</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Operating lease liabilities, current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556​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23,258​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25,967​ ​</w:t>
            </w:r>
          </w:p>
        </w:tc>
        <w:tc>
          <w:tcPr>
            <w:tcW w:w="0" w:type="dxa"/>
            <w:vAlign w:val="bottom"/>
          </w:tcPr>
          <w:p>
            <w:pPr>
              <w:spacing w:after="0"/>
              <w:rPr>
                <w:sz w:val="1"/>
                <w:szCs w:val="1"/>
                <w:color w:val="auto"/>
              </w:rPr>
            </w:pPr>
          </w:p>
        </w:tc>
      </w:tr>
      <w:tr>
        <w:trPr>
          <w:trHeight w:val="18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 non-current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Convertible notes, at fair value</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20,300​ ​​​​ ​</w:t>
            </w:r>
          </w:p>
        </w:tc>
        <w:tc>
          <w:tcPr>
            <w:tcW w:w="3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liabilities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43,815​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26,779​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Commitments and contingencies (Note 15)</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6"/>
                <w:szCs w:val="16"/>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Convertible preferred stock:</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7"/>
                <w:szCs w:val="17"/>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5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Series Seed convertible preferred stock, par value $0.0001 per share; 1,785,714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shares authorized, issued and outstanding as of December 31, 2023 and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2022; liquidation preference of $1,000 as of December 31, 2023</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956​​​​​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956​​</w:t>
            </w: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Series A convertible preferred stock, par value $0.0001 per share; 17,589,380</w:t>
            </w:r>
          </w:p>
        </w:tc>
        <w:tc>
          <w:tcPr>
            <w:tcW w:w="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shares authorized, issued and outstanding as of December 31, 2023 and 2022;</w:t>
            </w:r>
          </w:p>
        </w:tc>
        <w:tc>
          <w:tcPr>
            <w:tcW w:w="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liquidation preference of $56,071 as of December 31, 2023</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55,840​​​​​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Series B convertible preferred stock, par value $0.0001 per share; 81,242,587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and 77,052,632 shares authorized, issued and outstanding as of December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2023 and 2022, respectively; liquidation preference of $193,898 as of</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December 31, 2023</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193,290​​​​​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183,290​​</w:t>
            </w:r>
          </w:p>
        </w:tc>
        <w:tc>
          <w:tcPr>
            <w:tcW w:w="0" w:type="dxa"/>
            <w:vAlign w:val="bottom"/>
          </w:tcPr>
          <w:p>
            <w:pPr>
              <w:spacing w:after="0"/>
              <w:rPr>
                <w:sz w:val="1"/>
                <w:szCs w:val="1"/>
                <w:color w:val="auto"/>
              </w:rPr>
            </w:pPr>
          </w:p>
        </w:tc>
      </w:tr>
      <w:tr>
        <w:trPr>
          <w:trHeight w:val="198"/>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Stockholders’ deficit: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7"/>
                <w:szCs w:val="17"/>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5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Common stock, par value $0.0001 per share; 175,000,000 and 403,572,274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shares authorized as of December 31, 2023 and 2022, respectively;</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13,692,052 and 13,452,552 shares issued and outstanding as of December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2023 and 2022, respectively</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6"/>
                <w:szCs w:val="16"/>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3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4,644​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5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7"/>
                <w:szCs w:val="17"/>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37​ ​​​​ ​</w:t>
            </w:r>
          </w:p>
        </w:tc>
        <w:tc>
          <w:tcPr>
            <w:tcW w:w="3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Accumulated deficit</w:t>
            </w:r>
          </w:p>
        </w:tc>
        <w:tc>
          <w:tcPr>
            <w:tcW w:w="160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(230,403)​​​​ ​ (193,279)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stockholders’ deficit</w:t>
            </w:r>
          </w:p>
        </w:tc>
        <w:tc>
          <w:tcPr>
            <w:tcW w:w="1640" w:type="dxa"/>
            <w:vAlign w:val="bottom"/>
            <w:gridSpan w:val="10"/>
          </w:tcPr>
          <w:p>
            <w:pPr>
              <w:ind w:left="20"/>
              <w:spacing w:after="0"/>
              <w:rPr>
                <w:sz w:val="20"/>
                <w:szCs w:val="20"/>
                <w:color w:val="auto"/>
              </w:rPr>
            </w:pPr>
            <w:r>
              <w:rPr>
                <w:rFonts w:ascii="Times New Roman" w:cs="Times New Roman" w:eastAsia="Times New Roman" w:hAnsi="Times New Roman"/>
                <w:sz w:val="15"/>
                <w:szCs w:val="15"/>
                <w:color w:val="auto"/>
              </w:rPr>
              <w:t>​​​ ​  (225,721)​​​​ ​  (192,286)​</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liabilities, convertible preferred stock and stockholders’ deficit</w:t>
            </w:r>
          </w:p>
        </w:tc>
        <w:tc>
          <w:tcPr>
            <w:tcW w:w="2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21"/>
                <w:szCs w:val="21"/>
                <w:color w:val="auto"/>
                <w:vertAlign w:val="superscript"/>
              </w:rPr>
              <w:t>$</w:t>
            </w:r>
          </w:p>
        </w:tc>
        <w:tc>
          <w:tcPr>
            <w:tcW w:w="7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2"/>
                <w:szCs w:val="12"/>
                <w:color w:val="auto"/>
              </w:rPr>
              <w:t xml:space="preserve">68,180​ </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74,579​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-4017645</wp:posOffset>
            </wp:positionV>
            <wp:extent cx="4241800" cy="1117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241800" cy="11176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-2559685</wp:posOffset>
            </wp:positionV>
            <wp:extent cx="4241800" cy="1257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241800" cy="12573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-1276350</wp:posOffset>
            </wp:positionV>
            <wp:extent cx="4241800" cy="1257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241800" cy="12573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-167005</wp:posOffset>
            </wp:positionV>
            <wp:extent cx="3774440"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-306070</wp:posOffset>
            </wp:positionV>
            <wp:extent cx="34925"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-2692400</wp:posOffset>
            </wp:positionV>
            <wp:extent cx="34925"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-2832100</wp:posOffset>
            </wp:positionV>
            <wp:extent cx="3774440"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-3201670</wp:posOffset>
            </wp:positionV>
            <wp:extent cx="34925"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-4164330</wp:posOffset>
            </wp:positionV>
            <wp:extent cx="34925"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-4771390</wp:posOffset>
            </wp:positionV>
            <wp:extent cx="3774440"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-5259705</wp:posOffset>
            </wp:positionV>
            <wp:extent cx="4241800" cy="1257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241800" cy="125730"/>
                    </a:xfrm>
                    <a:prstGeom prst="rect">
                      <a:avLst/>
                    </a:prstGeom>
                    <a:noFill/>
                  </pic:spPr>
                </pic:pic>
              </a:graphicData>
            </a:graphic>
          </wp:anchor>
        </w:drawing>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7" w:name="page218"/>
    <w:bookmarkEnd w:id="217"/>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 and Comprehensive Loss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and per share amounts)</w:t>
      </w:r>
    </w:p>
    <w:p>
      <w:pPr>
        <w:spacing w:after="0" w:line="127"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4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2"/>
                <w:szCs w:val="12"/>
                <w:b w:val="1"/>
                <w:bCs w:val="1"/>
                <w:color w:val="auto"/>
                <w:w w:val="99"/>
              </w:rPr>
              <w:t>Year Ended December 31,</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5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Collaboration revenue</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spacing w:after="0" w:line="22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1020" w:type="dxa"/>
            <w:vAlign w:val="bottom"/>
            <w:gridSpan w:val="3"/>
          </w:tcPr>
          <w:p>
            <w:pPr>
              <w:jc w:val="right"/>
              <w:ind w:right="120"/>
              <w:spacing w:after="0" w:line="220" w:lineRule="exact"/>
              <w:rPr>
                <w:sz w:val="20"/>
                <w:szCs w:val="20"/>
                <w:color w:val="auto"/>
              </w:rPr>
            </w:pPr>
            <w:r>
              <w:rPr>
                <w:rFonts w:ascii="Times New Roman" w:cs="Times New Roman" w:eastAsia="Times New Roman" w:hAnsi="Times New Roman"/>
                <w:sz w:val="13"/>
                <w:szCs w:val="13"/>
                <w:color w:val="auto"/>
              </w:rPr>
              <w:t xml:space="preserve">50,000​ </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w:t>
            </w:r>
          </w:p>
        </w:tc>
        <w:tc>
          <w:tcPr>
            <w:tcW w:w="7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revenue</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50,000​ ​​ ​​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Research and development (includes $3,041 and $8,149 from related</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parties, respectively)</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60,033​ ​​ ​​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61,689​ ​​</w:t>
            </w:r>
          </w:p>
        </w:tc>
        <w:tc>
          <w:tcPr>
            <w:tcW w:w="0" w:type="dxa"/>
            <w:vAlign w:val="bottom"/>
          </w:tcPr>
          <w:p>
            <w:pPr>
              <w:spacing w:after="0"/>
              <w:rPr>
                <w:sz w:val="1"/>
                <w:szCs w:val="1"/>
                <w:color w:val="auto"/>
              </w:rPr>
            </w:pPr>
          </w:p>
        </w:tc>
      </w:tr>
      <w:tr>
        <w:trPr>
          <w:trHeight w:val="183"/>
        </w:trPr>
        <w:tc>
          <w:tcPr>
            <w:tcW w:w="45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General and administrative (includes $8 and $103 from related parties,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respectively)</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17,114​ ​​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13,510​ ​​</w:t>
            </w:r>
          </w:p>
        </w:tc>
        <w:tc>
          <w:tcPr>
            <w:tcW w:w="0" w:type="dxa"/>
            <w:vAlign w:val="bottom"/>
          </w:tcPr>
          <w:p>
            <w:pPr>
              <w:spacing w:after="0"/>
              <w:rPr>
                <w:sz w:val="1"/>
                <w:szCs w:val="1"/>
                <w:color w:val="auto"/>
              </w:rPr>
            </w:pPr>
          </w:p>
        </w:tc>
      </w:tr>
      <w:tr>
        <w:trPr>
          <w:trHeight w:val="220"/>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Acquired in-process research and development</w:t>
            </w:r>
          </w:p>
        </w:tc>
        <w:tc>
          <w:tcPr>
            <w:tcW w:w="380" w:type="dxa"/>
            <w:vAlign w:val="bottom"/>
            <w:gridSpan w:val="3"/>
            <w:shd w:val="clear" w:color="auto" w:fill="CCEEFF"/>
          </w:tcPr>
          <w:p>
            <w:pPr>
              <w:ind w:left="4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1020" w:type="dxa"/>
            <w:vAlign w:val="bottom"/>
            <w:gridSpan w:val="3"/>
            <w:shd w:val="clear" w:color="auto" w:fill="CCEEFF"/>
          </w:tcPr>
          <w:p>
            <w:pPr>
              <w:jc w:val="right"/>
              <w:ind w:right="80"/>
              <w:spacing w:after="0" w:line="220" w:lineRule="exact"/>
              <w:rPr>
                <w:sz w:val="20"/>
                <w:szCs w:val="20"/>
                <w:color w:val="auto"/>
              </w:rPr>
            </w:pPr>
            <w:r>
              <w:rPr>
                <w:rFonts w:ascii="Times New Roman" w:cs="Times New Roman" w:eastAsia="Times New Roman" w:hAnsi="Times New Roman"/>
                <w:sz w:val="13"/>
                <w:szCs w:val="13"/>
                <w:color w:val="auto"/>
              </w:rPr>
              <w:t xml:space="preserve">10,000​ </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74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80" w:type="dxa"/>
            <w:vAlign w:val="bottom"/>
            <w:gridSpan w:val="3"/>
          </w:tcPr>
          <w:p>
            <w:pPr>
              <w:ind w:left="4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1020" w:type="dxa"/>
            <w:vAlign w:val="bottom"/>
            <w:gridSpan w:val="3"/>
          </w:tcPr>
          <w:p>
            <w:pPr>
              <w:jc w:val="right"/>
              <w:ind w:right="80"/>
              <w:spacing w:after="0" w:line="211" w:lineRule="exact"/>
              <w:rPr>
                <w:sz w:val="20"/>
                <w:szCs w:val="20"/>
                <w:color w:val="auto"/>
              </w:rPr>
            </w:pPr>
            <w:r>
              <w:rPr>
                <w:rFonts w:ascii="Times New Roman" w:cs="Times New Roman" w:eastAsia="Times New Roman" w:hAnsi="Times New Roman"/>
                <w:sz w:val="13"/>
                <w:szCs w:val="13"/>
                <w:color w:val="auto"/>
              </w:rPr>
              <w:t xml:space="preserve">87,147​ </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w:t>
            </w:r>
          </w:p>
        </w:tc>
        <w:tc>
          <w:tcPr>
            <w:tcW w:w="740" w:type="dxa"/>
            <w:vAlign w:val="bottom"/>
            <w:gridSpan w:val="2"/>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76,199​ </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operations</w:t>
            </w:r>
          </w:p>
        </w:tc>
        <w:tc>
          <w:tcPr>
            <w:tcW w:w="380" w:type="dxa"/>
            <w:vAlign w:val="bottom"/>
            <w:gridSpan w:val="3"/>
            <w:shd w:val="clear" w:color="auto" w:fill="CCEEFF"/>
          </w:tcPr>
          <w:p>
            <w:pPr>
              <w:ind w:left="4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(37,147)</w:t>
            </w:r>
          </w:p>
        </w:tc>
        <w:tc>
          <w:tcPr>
            <w:tcW w:w="360" w:type="dxa"/>
            <w:vAlign w:val="bottom"/>
            <w:gridSpan w:val="2"/>
            <w:shd w:val="clear" w:color="auto" w:fill="CCEEFF"/>
          </w:tcPr>
          <w:p>
            <w:pPr>
              <w:jc w:val="right"/>
              <w:ind w:right="8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(76,199)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Fair value adjustments to convertible notes</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(29,876)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5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Fair value adjustments to warrant liability</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(13,268)</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Other income, net</w:t>
            </w:r>
          </w:p>
        </w:tc>
        <w:tc>
          <w:tcPr>
            <w:tcW w:w="380" w:type="dxa"/>
            <w:vAlign w:val="bottom"/>
            <w:gridSpan w:val="3"/>
            <w:shd w:val="clear" w:color="auto" w:fill="CCEEFF"/>
          </w:tcPr>
          <w:p>
            <w:pPr>
              <w:ind w:left="4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w:t>
            </w:r>
          </w:p>
        </w:tc>
        <w:tc>
          <w:tcPr>
            <w:tcW w:w="360" w:type="dxa"/>
            <w:vAlign w:val="bottom"/>
            <w:gridSpan w:val="2"/>
            <w:shd w:val="clear" w:color="auto" w:fill="CCEEFF"/>
          </w:tcPr>
          <w:p>
            <w:pPr>
              <w:jc w:val="right"/>
              <w:ind w:right="8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380" w:type="dxa"/>
            <w:vAlign w:val="bottom"/>
            <w:gridSpan w:val="3"/>
          </w:tcPr>
          <w:p>
            <w:pPr>
              <w:ind w:left="4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w:t>
            </w:r>
          </w:p>
        </w:tc>
        <w:tc>
          <w:tcPr>
            <w:tcW w:w="360" w:type="dxa"/>
            <w:vAlign w:val="bottom"/>
            <w:gridSpan w:val="2"/>
          </w:tcPr>
          <w:p>
            <w:pPr>
              <w:jc w:val="right"/>
              <w:ind w:right="8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(43,083)</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before income taxes</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(36,823)</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(119,282)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Income tax provision</w:t>
            </w:r>
          </w:p>
        </w:tc>
        <w:tc>
          <w:tcPr>
            <w:tcW w:w="380" w:type="dxa"/>
            <w:vAlign w:val="bottom"/>
            <w:gridSpan w:val="3"/>
          </w:tcPr>
          <w:p>
            <w:pPr>
              <w:ind w:left="4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w:t>
            </w:r>
          </w:p>
        </w:tc>
        <w:tc>
          <w:tcPr>
            <w:tcW w:w="360" w:type="dxa"/>
            <w:vAlign w:val="bottom"/>
            <w:gridSpan w:val="2"/>
          </w:tcPr>
          <w:p>
            <w:pPr>
              <w:jc w:val="right"/>
              <w:ind w:right="8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380" w:type="dxa"/>
            <w:vAlign w:val="bottom"/>
            <w:gridSpan w:val="3"/>
            <w:shd w:val="clear" w:color="auto" w:fill="CCEEFF"/>
          </w:tcPr>
          <w:p>
            <w:pPr>
              <w:ind w:left="4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(37,124)</w:t>
            </w:r>
          </w:p>
        </w:tc>
        <w:tc>
          <w:tcPr>
            <w:tcW w:w="360" w:type="dxa"/>
            <w:vAlign w:val="bottom"/>
            <w:gridSpan w:val="2"/>
            <w:shd w:val="clear" w:color="auto" w:fill="CCEEFF"/>
          </w:tcPr>
          <w:p>
            <w:pPr>
              <w:jc w:val="right"/>
              <w:ind w:right="12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(119,282)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spacing w:after="0" w:line="154" w:lineRule="exact"/>
              <w:rPr>
                <w:sz w:val="20"/>
                <w:szCs w:val="20"/>
                <w:color w:val="auto"/>
              </w:rPr>
            </w:pPr>
            <w:r>
              <w:rPr>
                <w:rFonts w:ascii="Times New Roman" w:cs="Times New Roman" w:eastAsia="Times New Roman" w:hAnsi="Times New Roman"/>
                <w:sz w:val="15"/>
                <w:szCs w:val="15"/>
                <w:color w:val="auto"/>
              </w:rPr>
              <w:t>Net loss per share attributable to common stockholders−basic and</w:t>
            </w: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540" w:type="dxa"/>
            <w:vAlign w:val="bottom"/>
            <w:vMerge w:val="continue"/>
          </w:tcPr>
          <w:p>
            <w:pPr>
              <w:spacing w:after="0"/>
              <w:rPr>
                <w:sz w:val="9"/>
                <w:szCs w:val="9"/>
                <w:color w:val="auto"/>
              </w:rPr>
            </w:pPr>
          </w:p>
        </w:tc>
        <w:tc>
          <w:tcPr>
            <w:tcW w:w="380" w:type="dxa"/>
            <w:vAlign w:val="bottom"/>
            <w:gridSpan w:val="3"/>
            <w:vMerge w:val="restart"/>
          </w:tcPr>
          <w:p>
            <w:pPr>
              <w:ind w:left="40"/>
              <w:spacing w:after="0" w:line="31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perscript"/>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360" w:type="dxa"/>
            <w:vAlign w:val="bottom"/>
            <w:gridSpan w:val="2"/>
            <w:vMerge w:val="restart"/>
          </w:tcPr>
          <w:p>
            <w:pPr>
              <w:jc w:val="right"/>
              <w:ind w:right="120"/>
              <w:spacing w:after="0" w:line="31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perscript"/>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(9.21)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45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diluted</w:t>
            </w:r>
          </w:p>
        </w:tc>
        <w:tc>
          <w:tcPr>
            <w:tcW w:w="380" w:type="dxa"/>
            <w:vAlign w:val="bottom"/>
            <w:gridSpan w:val="3"/>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common stock outstanding−basic and diluted</w:t>
            </w:r>
          </w:p>
        </w:tc>
        <w:tc>
          <w:tcPr>
            <w:tcW w:w="2140" w:type="dxa"/>
            <w:vAlign w:val="bottom"/>
            <w:gridSpan w:val="8"/>
            <w:shd w:val="clear" w:color="auto" w:fill="CCEEFF"/>
          </w:tcPr>
          <w:p>
            <w:pPr>
              <w:jc w:val="right"/>
              <w:spacing w:after="0" w:line="189" w:lineRule="exact"/>
              <w:rPr>
                <w:sz w:val="20"/>
                <w:szCs w:val="20"/>
                <w:color w:val="auto"/>
              </w:rPr>
            </w:pP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 xml:space="preserve"> ​  13,295,456​ </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 xml:space="preserve"> ​  12,956,618​ </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Comprehensive loss:</w:t>
            </w:r>
          </w:p>
        </w:tc>
        <w:tc>
          <w:tcPr>
            <w:tcW w:w="1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540" w:type="dxa"/>
            <w:vAlign w:val="bottom"/>
            <w:vMerge w:val="continue"/>
          </w:tcPr>
          <w:p>
            <w:pPr>
              <w:spacing w:after="0"/>
              <w:rPr>
                <w:sz w:val="12"/>
                <w:szCs w:val="12"/>
                <w:color w:val="auto"/>
              </w:rPr>
            </w:pPr>
          </w:p>
        </w:tc>
        <w:tc>
          <w:tcPr>
            <w:tcW w:w="380" w:type="dxa"/>
            <w:vAlign w:val="bottom"/>
            <w:gridSpan w:val="3"/>
          </w:tcPr>
          <w:p>
            <w:pPr>
              <w:ind w:left="40"/>
              <w:spacing w:after="0" w:line="140" w:lineRule="exact"/>
              <w:rPr>
                <w:sz w:val="20"/>
                <w:szCs w:val="20"/>
                <w:color w:val="auto"/>
              </w:rPr>
            </w:pPr>
            <w:r>
              <w:rPr>
                <w:rFonts w:ascii="Times New Roman" w:cs="Times New Roman" w:eastAsia="Times New Roman" w:hAnsi="Times New Roman"/>
                <w:sz w:val="15"/>
                <w:szCs w:val="15"/>
                <w:color w:val="auto"/>
              </w:rPr>
              <w:t>​ ​​ ​</w:t>
            </w:r>
          </w:p>
        </w:tc>
        <w:tc>
          <w:tcPr>
            <w:tcW w:w="1020" w:type="dxa"/>
            <w:vAlign w:val="bottom"/>
            <w:gridSpan w:val="3"/>
          </w:tcPr>
          <w:p>
            <w:pPr>
              <w:jc w:val="right"/>
              <w:ind w:right="80"/>
              <w:spacing w:after="0" w:line="140" w:lineRule="exact"/>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(37,124)</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(119,282)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1"/>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380" w:type="dxa"/>
            <w:vAlign w:val="bottom"/>
            <w:gridSpan w:val="3"/>
            <w:shd w:val="clear" w:color="auto" w:fill="CCEEFF"/>
          </w:tcPr>
          <w:p>
            <w:pPr>
              <w:ind w:left="40"/>
              <w:spacing w:after="0" w:line="231"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perscript"/>
              </w:rPr>
              <w:t>​</w:t>
            </w:r>
          </w:p>
        </w:tc>
        <w:tc>
          <w:tcPr>
            <w:tcW w:w="1020" w:type="dxa"/>
            <w:vAlign w:val="bottom"/>
            <w:gridSpan w:val="3"/>
            <w:shd w:val="clear" w:color="auto" w:fill="CCEEFF"/>
          </w:tcPr>
          <w:p>
            <w:pPr>
              <w:jc w:val="right"/>
              <w:ind w:right="80"/>
              <w:spacing w:after="0" w:line="231" w:lineRule="exact"/>
              <w:rPr>
                <w:sz w:val="20"/>
                <w:szCs w:val="20"/>
                <w:color w:val="auto"/>
              </w:rPr>
            </w:pPr>
            <w:r>
              <w:rPr>
                <w:rFonts w:ascii="Times New Roman" w:cs="Times New Roman" w:eastAsia="Times New Roman" w:hAnsi="Times New Roman"/>
                <w:sz w:val="14"/>
                <w:szCs w:val="14"/>
                <w:color w:val="auto"/>
              </w:rPr>
              <w:t xml:space="preserve">78​ </w:t>
            </w: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4"/>
                <w:szCs w:val="14"/>
                <w:color w:val="auto"/>
              </w:rPr>
              <w:t xml:space="preserve">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Comprehensive loss</w:t>
            </w:r>
          </w:p>
        </w:tc>
        <w:tc>
          <w:tcPr>
            <w:tcW w:w="380" w:type="dxa"/>
            <w:vAlign w:val="bottom"/>
            <w:gridSpan w:val="3"/>
          </w:tcPr>
          <w:p>
            <w:pPr>
              <w:ind w:left="40"/>
              <w:spacing w:after="0" w:line="21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(37,046)</w:t>
            </w:r>
          </w:p>
        </w:tc>
        <w:tc>
          <w:tcPr>
            <w:tcW w:w="360" w:type="dxa"/>
            <w:vAlign w:val="bottom"/>
            <w:gridSpan w:val="2"/>
          </w:tcPr>
          <w:p>
            <w:pPr>
              <w:jc w:val="right"/>
              <w:ind w:right="120"/>
              <w:spacing w:after="0" w:line="21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(119,323)</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4932045</wp:posOffset>
            </wp:positionH>
            <wp:positionV relativeFrom="paragraph">
              <wp:posOffset>-1303655</wp:posOffset>
            </wp:positionV>
            <wp:extent cx="48895"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-1303655</wp:posOffset>
            </wp:positionV>
            <wp:extent cx="3641725"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641725" cy="698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-1583055</wp:posOffset>
            </wp:positionV>
            <wp:extent cx="48895"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-1583055</wp:posOffset>
            </wp:positionV>
            <wp:extent cx="364172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641725" cy="698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-2419985</wp:posOffset>
            </wp:positionV>
            <wp:extent cx="48895"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-2419985</wp:posOffset>
            </wp:positionV>
            <wp:extent cx="3641725"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641725" cy="698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-3466465</wp:posOffset>
            </wp:positionV>
            <wp:extent cx="48895"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-3466465</wp:posOffset>
            </wp:positionV>
            <wp:extent cx="3641725"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641725" cy="698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-3745865</wp:posOffset>
            </wp:positionV>
            <wp:extent cx="4889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-3745865</wp:posOffset>
            </wp:positionV>
            <wp:extent cx="3634740"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8" w:name="page219"/>
    <w:bookmarkEnd w:id="218"/>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Convertible Preferred Stock and Stockholders’ Deficit</w:t>
      </w:r>
    </w:p>
    <w:p>
      <w:pPr>
        <w:spacing w:after="0" w:line="2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5"/>
          <w:szCs w:val="15"/>
          <w:b w:val="1"/>
          <w:bCs w:val="1"/>
          <w:color w:val="auto"/>
        </w:rPr>
        <w:t>(in thousands, except share data)</w:t>
      </w:r>
    </w:p>
    <w:p>
      <w:pPr>
        <w:spacing w:after="0" w:line="116" w:lineRule="exact"/>
        <w:rPr>
          <w:sz w:val="20"/>
          <w:szCs w:val="20"/>
          <w:color w:val="auto"/>
        </w:rPr>
      </w:pPr>
    </w:p>
    <w:tbl>
      <w:tblPr>
        <w:tblLayout w:type="fixed"/>
        <w:tblInd w:w="680" w:type="dxa"/>
        <w:tblCellMar>
          <w:top w:w="0" w:type="dxa"/>
          <w:left w:w="0" w:type="dxa"/>
          <w:bottom w:w="0" w:type="dxa"/>
          <w:right w:w="0" w:type="dxa"/>
        </w:tblCellMar>
      </w:tblPr>
      <w:tr>
        <w:trPr>
          <w:trHeight w:val="151"/>
        </w:trPr>
        <w:tc>
          <w:tcPr>
            <w:tcW w:w="2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8"/>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w w:val="93"/>
              </w:rPr>
              <w:t>Convertible Preferred Stock</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Accumulated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3"/>
            <w:vMerge w:val="restart"/>
          </w:tcPr>
          <w:p>
            <w:pPr>
              <w:jc w:val="center"/>
              <w:ind w:right="65"/>
              <w:spacing w:after="0" w:line="124" w:lineRule="exact"/>
              <w:rPr>
                <w:sz w:val="20"/>
                <w:szCs w:val="20"/>
                <w:color w:val="auto"/>
              </w:rPr>
            </w:pPr>
            <w:r>
              <w:rPr>
                <w:rFonts w:ascii="Times New Roman" w:cs="Times New Roman" w:eastAsia="Times New Roman" w:hAnsi="Times New Roman"/>
                <w:sz w:val="12"/>
                <w:szCs w:val="12"/>
                <w:b w:val="1"/>
                <w:bCs w:val="1"/>
                <w:color w:val="auto"/>
                <w:w w:val="87"/>
              </w:rPr>
              <w:t>Additional</w:t>
            </w:r>
          </w:p>
        </w:tc>
        <w:tc>
          <w:tcPr>
            <w:tcW w:w="500" w:type="dxa"/>
            <w:vAlign w:val="bottom"/>
            <w:gridSpan w:val="2"/>
            <w:vMerge w:val="restart"/>
          </w:tcPr>
          <w:p>
            <w:pPr>
              <w:jc w:val="center"/>
              <w:ind w:left="144"/>
              <w:spacing w:after="0" w:line="124"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gridSpan w:val="3"/>
            <w:vMerge w:val="restart"/>
          </w:tcPr>
          <w:p>
            <w:pPr>
              <w:jc w:val="center"/>
              <w:ind w:left="64"/>
              <w:spacing w:after="0"/>
              <w:rPr>
                <w:sz w:val="20"/>
                <w:szCs w:val="20"/>
                <w:color w:val="auto"/>
              </w:rPr>
            </w:pPr>
            <w:r>
              <w:rPr>
                <w:rFonts w:ascii="Times New Roman" w:cs="Times New Roman" w:eastAsia="Times New Roman" w:hAnsi="Times New Roman"/>
                <w:sz w:val="12"/>
                <w:szCs w:val="12"/>
                <w:b w:val="1"/>
                <w:bCs w:val="1"/>
                <w:color w:val="auto"/>
                <w:w w:val="93"/>
              </w:rPr>
              <w:t>Series Seed</w:t>
            </w:r>
          </w:p>
        </w:tc>
        <w:tc>
          <w:tcPr>
            <w:tcW w:w="180" w:type="dxa"/>
            <w:vAlign w:val="bottom"/>
          </w:tcPr>
          <w:p>
            <w:pPr>
              <w:spacing w:after="0"/>
              <w:rPr>
                <w:sz w:val="6"/>
                <w:szCs w:val="6"/>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w w:val="84"/>
              </w:rPr>
              <w:t>Series A</w:t>
            </w:r>
          </w:p>
        </w:tc>
        <w:tc>
          <w:tcPr>
            <w:tcW w:w="340" w:type="dxa"/>
            <w:vAlign w:val="bottom"/>
          </w:tcPr>
          <w:p>
            <w:pPr>
              <w:spacing w:after="0"/>
              <w:rPr>
                <w:sz w:val="6"/>
                <w:szCs w:val="6"/>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2"/>
                <w:szCs w:val="12"/>
                <w:b w:val="1"/>
                <w:bCs w:val="1"/>
                <w:color w:val="auto"/>
                <w:w w:val="91"/>
              </w:rPr>
              <w:t>Series B</w:t>
            </w:r>
          </w:p>
        </w:tc>
        <w:tc>
          <w:tcPr>
            <w:tcW w:w="340" w:type="dxa"/>
            <w:vAlign w:val="bottom"/>
          </w:tcPr>
          <w:p>
            <w:pPr>
              <w:spacing w:after="0"/>
              <w:rPr>
                <w:sz w:val="6"/>
                <w:szCs w:val="6"/>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vMerge w:val="restart"/>
          </w:tcPr>
          <w:p>
            <w:pPr>
              <w:jc w:val="right"/>
              <w:ind w:right="5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w w:val="96"/>
              </w:rPr>
              <w:t>Common Stock</w:t>
            </w:r>
          </w:p>
        </w:tc>
        <w:tc>
          <w:tcPr>
            <w:tcW w:w="80" w:type="dxa"/>
            <w:vAlign w:val="bottom"/>
          </w:tcPr>
          <w:p>
            <w:pPr>
              <w:spacing w:after="0"/>
              <w:rPr>
                <w:sz w:val="6"/>
                <w:szCs w:val="6"/>
                <w:color w:val="auto"/>
              </w:rPr>
            </w:pPr>
          </w:p>
        </w:tc>
        <w:tc>
          <w:tcPr>
            <w:tcW w:w="12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3"/>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6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00" w:type="dxa"/>
            <w:vAlign w:val="bottom"/>
            <w:gridSpan w:val="3"/>
            <w:vMerge w:val="restart"/>
          </w:tcPr>
          <w:p>
            <w:pPr>
              <w:jc w:val="center"/>
              <w:ind w:right="105"/>
              <w:spacing w:after="0" w:line="99" w:lineRule="exact"/>
              <w:rPr>
                <w:sz w:val="20"/>
                <w:szCs w:val="20"/>
                <w:color w:val="auto"/>
              </w:rPr>
            </w:pPr>
            <w:r>
              <w:rPr>
                <w:rFonts w:ascii="Times New Roman" w:cs="Times New Roman" w:eastAsia="Times New Roman" w:hAnsi="Times New Roman"/>
                <w:sz w:val="11"/>
                <w:szCs w:val="11"/>
                <w:b w:val="1"/>
                <w:bCs w:val="1"/>
                <w:color w:val="auto"/>
              </w:rPr>
              <w:t>Paid-in</w:t>
            </w:r>
          </w:p>
        </w:tc>
        <w:tc>
          <w:tcPr>
            <w:tcW w:w="740" w:type="dxa"/>
            <w:vAlign w:val="bottom"/>
            <w:gridSpan w:val="3"/>
            <w:vMerge w:val="restart"/>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40" w:type="dxa"/>
            <w:vAlign w:val="bottom"/>
            <w:vMerge w:val="restart"/>
          </w:tcPr>
          <w:p>
            <w:pPr>
              <w:spacing w:after="0"/>
              <w:rPr>
                <w:sz w:val="9"/>
                <w:szCs w:val="9"/>
                <w:color w:val="auto"/>
              </w:rPr>
            </w:pPr>
          </w:p>
        </w:tc>
        <w:tc>
          <w:tcPr>
            <w:tcW w:w="600" w:type="dxa"/>
            <w:vAlign w:val="bottom"/>
            <w:gridSpan w:val="2"/>
            <w:vMerge w:val="restart"/>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2"/>
              </w:rPr>
              <w:t>Accumulated</w:t>
            </w:r>
          </w:p>
        </w:tc>
        <w:tc>
          <w:tcPr>
            <w:tcW w:w="80" w:type="dxa"/>
            <w:vAlign w:val="bottom"/>
            <w:vMerge w:val="restart"/>
          </w:tcPr>
          <w:p>
            <w:pPr>
              <w:spacing w:after="0"/>
              <w:rPr>
                <w:sz w:val="9"/>
                <w:szCs w:val="9"/>
                <w:color w:val="auto"/>
              </w:rPr>
            </w:pPr>
          </w:p>
        </w:tc>
        <w:tc>
          <w:tcPr>
            <w:tcW w:w="700" w:type="dxa"/>
            <w:vAlign w:val="bottom"/>
            <w:gridSpan w:val="5"/>
            <w:vMerge w:val="restart"/>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620" w:type="dxa"/>
            <w:vAlign w:val="bottom"/>
            <w:vMerge w:val="continue"/>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0" w:type="dxa"/>
            <w:vAlign w:val="bottom"/>
            <w:gridSpan w:val="3"/>
            <w:vMerge w:val="continue"/>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700" w:type="dxa"/>
            <w:vAlign w:val="bottom"/>
            <w:gridSpan w:val="5"/>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gridSpan w:val="5"/>
          </w:tcPr>
          <w:p>
            <w:pPr>
              <w:jc w:val="right"/>
              <w:ind w:right="1"/>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Amount </w:t>
            </w:r>
            <w:r>
              <w:rPr>
                <w:rFonts w:ascii="Times New Roman" w:cs="Times New Roman" w:eastAsia="Times New Roman" w:hAnsi="Times New Roman"/>
                <w:sz w:val="21"/>
                <w:szCs w:val="21"/>
                <w:b w:val="1"/>
                <w:bCs w:val="1"/>
                <w:color w:val="auto"/>
                <w:vertAlign w:val="subscript"/>
              </w:rPr>
              <w:t>​​</w:t>
            </w:r>
          </w:p>
        </w:tc>
        <w:tc>
          <w:tcPr>
            <w:tcW w:w="108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Amount </w:t>
            </w:r>
            <w:r>
              <w:rPr>
                <w:rFonts w:ascii="Times New Roman" w:cs="Times New Roman" w:eastAsia="Times New Roman" w:hAnsi="Times New Roman"/>
                <w:sz w:val="21"/>
                <w:szCs w:val="21"/>
                <w:b w:val="1"/>
                <w:bCs w:val="1"/>
                <w:color w:val="auto"/>
                <w:vertAlign w:val="subscript"/>
              </w:rPr>
              <w:t>​​</w:t>
            </w:r>
          </w:p>
        </w:tc>
        <w:tc>
          <w:tcPr>
            <w:tcW w:w="1260" w:type="dxa"/>
            <w:vAlign w:val="bottom"/>
            <w:gridSpan w:val="6"/>
          </w:tcPr>
          <w:p>
            <w:pPr>
              <w:jc w:val="right"/>
              <w:ind w:right="54"/>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Amount </w:t>
            </w:r>
            <w:r>
              <w:rPr>
                <w:rFonts w:ascii="Times New Roman" w:cs="Times New Roman" w:eastAsia="Times New Roman" w:hAnsi="Times New Roman"/>
                <w:sz w:val="21"/>
                <w:szCs w:val="21"/>
                <w:b w:val="1"/>
                <w:bCs w:val="1"/>
                <w:color w:val="auto"/>
                <w:vertAlign w:val="subscript"/>
              </w:rPr>
              <w:t>​​</w:t>
            </w:r>
          </w:p>
        </w:tc>
        <w:tc>
          <w:tcPr>
            <w:tcW w:w="10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Amount </w:t>
            </w:r>
            <w:r>
              <w:rPr>
                <w:rFonts w:ascii="Times New Roman" w:cs="Times New Roman" w:eastAsia="Times New Roman" w:hAnsi="Times New Roman"/>
                <w:sz w:val="21"/>
                <w:szCs w:val="21"/>
                <w:b w:val="1"/>
                <w:bCs w:val="1"/>
                <w:color w:val="auto"/>
                <w:vertAlign w:val="subscript"/>
              </w:rPr>
              <w:t>​​</w:t>
            </w:r>
          </w:p>
        </w:tc>
        <w:tc>
          <w:tcPr>
            <w:tcW w:w="600" w:type="dxa"/>
            <w:vAlign w:val="bottom"/>
            <w:gridSpan w:val="3"/>
          </w:tcPr>
          <w:p>
            <w:pPr>
              <w:jc w:val="center"/>
              <w:ind w:right="65"/>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740" w:type="dxa"/>
            <w:vAlign w:val="bottom"/>
            <w:gridSpan w:val="3"/>
          </w:tcPr>
          <w:p>
            <w:pPr>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(Loss)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6"/>
                <w:szCs w:val="16"/>
                <w:color w:val="auto"/>
              </w:rPr>
            </w:pPr>
          </w:p>
        </w:tc>
        <w:tc>
          <w:tcPr>
            <w:tcW w:w="500" w:type="dxa"/>
            <w:vAlign w:val="bottom"/>
          </w:tcPr>
          <w:p>
            <w:pPr>
              <w:jc w:val="center"/>
              <w:ind w:right="84"/>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160" w:type="dxa"/>
            <w:vAlign w:val="bottom"/>
            <w:gridSpan w:val="2"/>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2021</w:t>
            </w: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620" w:type="dxa"/>
            <w:vAlign w:val="bottom"/>
            <w:vMerge w:val="continue"/>
            <w:shd w:val="clear" w:color="auto" w:fill="CCEEFF"/>
          </w:tcPr>
          <w:p>
            <w:pPr>
              <w:spacing w:after="0"/>
              <w:rPr>
                <w:sz w:val="14"/>
                <w:szCs w:val="14"/>
                <w:color w:val="auto"/>
              </w:rPr>
            </w:pPr>
          </w:p>
        </w:tc>
        <w:tc>
          <w:tcPr>
            <w:tcW w:w="68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​1,785,714</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p>
        </w:tc>
        <w:tc>
          <w:tcPr>
            <w:tcW w:w="1520" w:type="dxa"/>
            <w:vAlign w:val="bottom"/>
            <w:gridSpan w:val="8"/>
            <w:shd w:val="clear" w:color="auto" w:fill="CCEEFF"/>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956</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​17,589,380</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55,840</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700" w:type="dxa"/>
            <w:vAlign w:val="bottom"/>
            <w:tcBorders>
              <w:left w:val="single" w:sz="8" w:color="CCEEFF"/>
            </w:tcBorders>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6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​13,452,552</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p>
        </w:tc>
        <w:tc>
          <w:tcPr>
            <w:tcW w:w="1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200" w:type="dxa"/>
            <w:vAlign w:val="bottom"/>
            <w:tcBorders>
              <w:right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420" w:type="dxa"/>
            <w:vAlign w:val="bottom"/>
            <w:tcBorders>
              <w:right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0"/>
                <w:szCs w:val="10"/>
                <w:color w:val="auto"/>
              </w:rPr>
              <w:t>296</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p>
        </w:tc>
        <w:tc>
          <w:tcPr>
            <w:tcW w:w="500" w:type="dxa"/>
            <w:vAlign w:val="bottom"/>
            <w:gridSpan w:val="2"/>
            <w:shd w:val="clear" w:color="auto" w:fill="CCEEFF"/>
          </w:tcPr>
          <w:p>
            <w:pPr>
              <w:ind w:left="400"/>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380" w:type="dxa"/>
            <w:vAlign w:val="bottom"/>
            <w:tcBorders>
              <w:right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color w:val="auto"/>
              </w:rPr>
              <w:t xml:space="preserve"> ​​​</w:t>
            </w:r>
          </w:p>
        </w:tc>
        <w:tc>
          <w:tcPr>
            <w:tcW w:w="1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0"/>
                <w:szCs w:val="10"/>
                <w:color w:val="auto"/>
                <w:w w:val="93"/>
              </w:rPr>
              <w:t>​</w:t>
            </w:r>
            <w:r>
              <w:rPr>
                <w:rFonts w:ascii="Times New Roman" w:cs="Times New Roman" w:eastAsia="Times New Roman" w:hAnsi="Times New Roman"/>
                <w:sz w:val="19"/>
                <w:szCs w:val="19"/>
                <w:color w:val="auto"/>
                <w:w w:val="93"/>
                <w:vertAlign w:val="superscript"/>
              </w:rPr>
              <w:t>$</w:t>
            </w:r>
          </w:p>
        </w:tc>
        <w:tc>
          <w:tcPr>
            <w:tcW w:w="660" w:type="dxa"/>
            <w:vAlign w:val="bottom"/>
            <w:gridSpan w:val="3"/>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0"/>
                <w:szCs w:val="10"/>
                <w:color w:val="auto"/>
              </w:rPr>
              <w:t>(73,997)</w:t>
            </w:r>
            <w:r>
              <w:rPr>
                <w:rFonts w:ascii="Times New Roman" w:cs="Times New Roman" w:eastAsia="Times New Roman" w:hAnsi="Times New Roman"/>
                <w:sz w:val="19"/>
                <w:szCs w:val="19"/>
                <w:color w:val="auto"/>
                <w:vertAlign w:val="subscript"/>
              </w:rPr>
              <w:t>​​​</w:t>
            </w:r>
          </w:p>
        </w:tc>
        <w:tc>
          <w:tcPr>
            <w:tcW w:w="1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(73,700)</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2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Series B convertible preferred stock, net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6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of issuance costs of $608</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center"/>
              <w:ind w:left="164"/>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660" w:type="dxa"/>
            <w:vAlign w:val="bottom"/>
            <w:gridSpan w:val="3"/>
          </w:tcPr>
          <w:p>
            <w:pPr>
              <w:ind w:left="3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​​​25,139,732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w:t>
            </w:r>
          </w:p>
        </w:tc>
        <w:tc>
          <w:tcPr>
            <w:tcW w:w="60" w:type="dxa"/>
            <w:vAlign w:val="bottom"/>
          </w:tcPr>
          <w:p>
            <w:pPr>
              <w:spacing w:after="0"/>
              <w:rPr>
                <w:sz w:val="14"/>
                <w:szCs w:val="14"/>
                <w:color w:val="auto"/>
              </w:rPr>
            </w:pPr>
          </w:p>
        </w:tc>
        <w:tc>
          <w:tcPr>
            <w:tcW w:w="500" w:type="dxa"/>
            <w:vAlign w:val="bottom"/>
            <w:gridSpan w:val="3"/>
          </w:tcPr>
          <w:p>
            <w:pPr>
              <w:jc w:val="right"/>
              <w:ind w:right="34"/>
              <w:spacing w:after="0"/>
              <w:rPr>
                <w:sz w:val="20"/>
                <w:szCs w:val="20"/>
                <w:color w:val="auto"/>
              </w:rPr>
            </w:pPr>
            <w:r>
              <w:rPr>
                <w:rFonts w:ascii="Times New Roman" w:cs="Times New Roman" w:eastAsia="Times New Roman" w:hAnsi="Times New Roman"/>
                <w:sz w:val="12"/>
                <w:szCs w:val="12"/>
                <w:color w:val="auto"/>
              </w:rPr>
              <w:t>59,391</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 ​ ​</w:t>
            </w:r>
          </w:p>
        </w:tc>
        <w:tc>
          <w:tcPr>
            <w:tcW w:w="660" w:type="dxa"/>
            <w:vAlign w:val="bottom"/>
            <w:gridSpan w:val="3"/>
          </w:tcPr>
          <w:p>
            <w:pPr>
              <w:jc w:val="right"/>
              <w:ind w:right="27"/>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52"/>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Series B convertible preferred stock,</w:t>
            </w:r>
          </w:p>
        </w:tc>
        <w:tc>
          <w:tcPr>
            <w:tcW w:w="100" w:type="dxa"/>
            <w:vAlign w:val="bottom"/>
            <w:tcBorders>
              <w:right w:val="single" w:sz="8" w:color="CCEEFF"/>
            </w:tcBorders>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60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upon conversion of debt</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center"/>
              <w:ind w:left="164"/>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6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​​​37,471,107</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2"/>
                <w:szCs w:val="12"/>
                <w:color w:val="auto"/>
              </w:rPr>
              <w:t>89,431</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3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 ​</w:t>
            </w:r>
          </w:p>
        </w:tc>
        <w:tc>
          <w:tcPr>
            <w:tcW w:w="660" w:type="dxa"/>
            <w:vAlign w:val="bottom"/>
            <w:gridSpan w:val="3"/>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2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Series B convertible preferred stock,</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6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upon exercise of warrant</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center"/>
              <w:ind w:left="164"/>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660" w:type="dxa"/>
            <w:vAlign w:val="bottom"/>
            <w:gridSpan w:val="3"/>
          </w:tcPr>
          <w:p>
            <w:pPr>
              <w:ind w:left="3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​​​14,441,793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w:t>
            </w:r>
          </w:p>
        </w:tc>
        <w:tc>
          <w:tcPr>
            <w:tcW w:w="60" w:type="dxa"/>
            <w:vAlign w:val="bottom"/>
          </w:tcPr>
          <w:p>
            <w:pPr>
              <w:spacing w:after="0"/>
              <w:rPr>
                <w:sz w:val="14"/>
                <w:szCs w:val="14"/>
                <w:color w:val="auto"/>
              </w:rPr>
            </w:pPr>
          </w:p>
        </w:tc>
        <w:tc>
          <w:tcPr>
            <w:tcW w:w="500" w:type="dxa"/>
            <w:vAlign w:val="bottom"/>
            <w:gridSpan w:val="3"/>
          </w:tcPr>
          <w:p>
            <w:pPr>
              <w:jc w:val="right"/>
              <w:ind w:right="34"/>
              <w:spacing w:after="0"/>
              <w:rPr>
                <w:sz w:val="20"/>
                <w:szCs w:val="20"/>
                <w:color w:val="auto"/>
              </w:rPr>
            </w:pPr>
            <w:r>
              <w:rPr>
                <w:rFonts w:ascii="Times New Roman" w:cs="Times New Roman" w:eastAsia="Times New Roman" w:hAnsi="Times New Roman"/>
                <w:sz w:val="12"/>
                <w:szCs w:val="12"/>
                <w:color w:val="auto"/>
              </w:rPr>
              <w:t>34,468</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 ​ ​</w:t>
            </w:r>
          </w:p>
        </w:tc>
        <w:tc>
          <w:tcPr>
            <w:tcW w:w="660" w:type="dxa"/>
            <w:vAlign w:val="bottom"/>
            <w:gridSpan w:val="3"/>
          </w:tcPr>
          <w:p>
            <w:pPr>
              <w:jc w:val="right"/>
              <w:ind w:right="27"/>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00" w:type="dxa"/>
            <w:vAlign w:val="bottom"/>
            <w:tcBorders>
              <w:right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vertAlign w:val="superscript"/>
              </w:rPr>
              <w:t>​</w:t>
            </w:r>
          </w:p>
        </w:tc>
        <w:tc>
          <w:tcPr>
            <w:tcW w:w="580" w:type="dxa"/>
            <w:vAlign w:val="bottom"/>
            <w:gridSpan w:val="2"/>
            <w:shd w:val="clear" w:color="auto" w:fill="CCEEFF"/>
          </w:tcPr>
          <w:p>
            <w:pPr>
              <w:jc w:val="center"/>
              <w:ind w:left="164"/>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w:t>
            </w:r>
          </w:p>
        </w:tc>
        <w:tc>
          <w:tcPr>
            <w:tcW w:w="320" w:type="dxa"/>
            <w:vAlign w:val="bottom"/>
            <w:tcBorders>
              <w:right w:val="single" w:sz="8" w:color="CCEEFF"/>
            </w:tcBorders>
            <w:gridSpan w:val="2"/>
            <w:shd w:val="clear" w:color="auto" w:fill="CCEEFF"/>
          </w:tcPr>
          <w:p>
            <w:pPr>
              <w:ind w:left="60"/>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vertAlign w:val="superscript"/>
              </w:rPr>
              <w:t>​</w:t>
            </w:r>
          </w:p>
        </w:tc>
        <w:tc>
          <w:tcPr>
            <w:tcW w:w="660" w:type="dxa"/>
            <w:vAlign w:val="bottom"/>
            <w:gridSpan w:val="3"/>
            <w:shd w:val="clear" w:color="auto" w:fill="CCEEFF"/>
          </w:tcPr>
          <w:p>
            <w:pPr>
              <w:ind w:left="360"/>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2"/>
                <w:szCs w:val="22"/>
                <w:color w:val="auto"/>
                <w:vertAlign w:val="superscript"/>
              </w:rPr>
              <w:t>​</w:t>
            </w:r>
          </w:p>
        </w:tc>
        <w:tc>
          <w:tcPr>
            <w:tcW w:w="420" w:type="dxa"/>
            <w:vAlign w:val="bottom"/>
            <w:gridSpan w:val="2"/>
            <w:shd w:val="clear" w:color="auto" w:fill="CCEEFF"/>
          </w:tcPr>
          <w:p>
            <w:pPr>
              <w:ind w:left="220"/>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vertAlign w:val="superscript"/>
              </w:rPr>
              <w:t>​</w:t>
            </w:r>
          </w:p>
        </w:tc>
        <w:tc>
          <w:tcPr>
            <w:tcW w:w="700" w:type="dxa"/>
            <w:vAlign w:val="bottom"/>
            <w:tcBorders>
              <w:left w:val="single" w:sz="8" w:color="CCEEFF"/>
            </w:tcBorders>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2"/>
                <w:szCs w:val="22"/>
                <w:color w:val="auto"/>
                <w:vertAlign w:val="superscript"/>
              </w:rPr>
              <w:t>​</w:t>
            </w:r>
          </w:p>
        </w:tc>
        <w:tc>
          <w:tcPr>
            <w:tcW w:w="6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34"/>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vertAlign w:val="superscript"/>
              </w:rPr>
              <w:t>​</w:t>
            </w:r>
          </w:p>
        </w:tc>
        <w:tc>
          <w:tcPr>
            <w:tcW w:w="680" w:type="dxa"/>
            <w:vAlign w:val="bottom"/>
            <w:gridSpan w:val="2"/>
            <w:shd w:val="clear" w:color="auto" w:fill="CCEEFF"/>
          </w:tcPr>
          <w:p>
            <w:pPr>
              <w:jc w:val="right"/>
              <w:ind w:right="140"/>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360" w:type="dxa"/>
            <w:vAlign w:val="bottom"/>
            <w:tcBorders>
              <w:right w:val="single" w:sz="8" w:color="CCEEFF"/>
            </w:tcBorders>
            <w:gridSpan w:val="3"/>
            <w:shd w:val="clear" w:color="auto" w:fill="CCEEFF"/>
          </w:tcPr>
          <w:p>
            <w:pPr>
              <w:jc w:val="right"/>
              <w:spacing w:after="0" w:line="19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w:t>
            </w:r>
          </w:p>
        </w:tc>
        <w:tc>
          <w:tcPr>
            <w:tcW w:w="420" w:type="dxa"/>
            <w:vAlign w:val="bottom"/>
            <w:tcBorders>
              <w:right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1"/>
                <w:szCs w:val="11"/>
                <w:color w:val="auto"/>
              </w:rPr>
              <w:t>737</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2"/>
                <w:szCs w:val="22"/>
                <w:color w:val="auto"/>
                <w:vertAlign w:val="subscript"/>
              </w:rPr>
              <w:t>​​</w:t>
            </w:r>
          </w:p>
        </w:tc>
        <w:tc>
          <w:tcPr>
            <w:tcW w:w="500" w:type="dxa"/>
            <w:vAlign w:val="bottom"/>
            <w:gridSpan w:val="2"/>
            <w:shd w:val="clear" w:color="auto" w:fill="CCEEFF"/>
          </w:tcPr>
          <w:p>
            <w:pPr>
              <w:ind w:left="400"/>
              <w:spacing w:after="0" w:line="19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w:t>
            </w:r>
          </w:p>
        </w:tc>
        <w:tc>
          <w:tcPr>
            <w:tcW w:w="380" w:type="dxa"/>
            <w:vAlign w:val="bottom"/>
            <w:tcBorders>
              <w:right w:val="single" w:sz="8" w:color="CCEEFF"/>
            </w:tcBorders>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w:t>
            </w:r>
          </w:p>
        </w:tc>
        <w:tc>
          <w:tcPr>
            <w:tcW w:w="660" w:type="dxa"/>
            <w:vAlign w:val="bottom"/>
            <w:gridSpan w:val="3"/>
            <w:shd w:val="clear" w:color="auto" w:fill="CCEEFF"/>
          </w:tcPr>
          <w:p>
            <w:pPr>
              <w:jc w:val="right"/>
              <w:ind w:right="27"/>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7"/>
        </w:trPr>
        <w:tc>
          <w:tcPr>
            <w:tcW w:w="2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580" w:type="dxa"/>
            <w:vAlign w:val="bottom"/>
            <w:gridSpan w:val="2"/>
          </w:tcPr>
          <w:p>
            <w:pPr>
              <w:jc w:val="center"/>
              <w:ind w:left="16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20" w:type="dxa"/>
            <w:vAlign w:val="bottom"/>
          </w:tcPr>
          <w:p>
            <w:pPr>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320" w:type="dxa"/>
            <w:vAlign w:val="bottom"/>
            <w:gridSpan w:val="2"/>
          </w:tcPr>
          <w:p>
            <w:pPr>
              <w:ind w:left="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60" w:type="dxa"/>
            <w:vAlign w:val="bottom"/>
            <w:gridSpan w:val="3"/>
          </w:tcPr>
          <w:p>
            <w:pPr>
              <w:ind w:left="3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tcPr>
          <w:p>
            <w:pPr>
              <w:ind w:left="22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70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60" w:type="dxa"/>
            <w:vAlign w:val="bottom"/>
          </w:tcPr>
          <w:p>
            <w:pPr>
              <w:spacing w:after="0"/>
              <w:rPr>
                <w:sz w:val="16"/>
                <w:szCs w:val="16"/>
                <w:color w:val="auto"/>
              </w:rPr>
            </w:pPr>
          </w:p>
        </w:tc>
        <w:tc>
          <w:tcPr>
            <w:tcW w:w="500" w:type="dxa"/>
            <w:vAlign w:val="bottom"/>
            <w:gridSpan w:val="3"/>
          </w:tcPr>
          <w:p>
            <w:pPr>
              <w:jc w:val="right"/>
              <w:ind w:right="3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80" w:type="dxa"/>
            <w:vAlign w:val="bottom"/>
            <w:gridSpan w:val="2"/>
          </w:tcPr>
          <w:p>
            <w:pPr>
              <w:jc w:val="right"/>
              <w:ind w:right="1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36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420" w:type="dxa"/>
            <w:vAlign w:val="bottom"/>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500" w:type="dxa"/>
            <w:vAlign w:val="bottom"/>
            <w:gridSpan w:val="2"/>
          </w:tcPr>
          <w:p>
            <w:pPr>
              <w:ind w:left="400"/>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38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660" w:type="dxa"/>
            <w:vAlign w:val="bottom"/>
            <w:gridSpan w:val="3"/>
          </w:tcPr>
          <w:p>
            <w:pPr>
              <w:jc w:val="right"/>
              <w:ind w:right="27"/>
              <w:spacing w:after="0" w:line="187" w:lineRule="exact"/>
              <w:rPr>
                <w:sz w:val="20"/>
                <w:szCs w:val="20"/>
                <w:color w:val="auto"/>
              </w:rPr>
            </w:pPr>
            <w:r>
              <w:rPr>
                <w:rFonts w:ascii="Times New Roman" w:cs="Times New Roman" w:eastAsia="Times New Roman" w:hAnsi="Times New Roman"/>
                <w:sz w:val="11"/>
                <w:szCs w:val="11"/>
                <w:color w:val="auto"/>
              </w:rPr>
              <w:t>(119,282)</w:t>
            </w:r>
            <w:r>
              <w:rPr>
                <w:rFonts w:ascii="Times New Roman" w:cs="Times New Roman" w:eastAsia="Times New Roman" w:hAnsi="Times New Roman"/>
                <w:sz w:val="21"/>
                <w:szCs w:val="21"/>
                <w:color w:val="auto"/>
                <w:vertAlign w:val="subscript"/>
              </w:rPr>
              <w:t>​​​</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(119,282)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100" w:type="dxa"/>
            <w:vAlign w:val="bottom"/>
            <w:tcBorders>
              <w:right w:val="single" w:sz="8" w:color="CCEEFF"/>
            </w:tcBorders>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580" w:type="dxa"/>
            <w:vAlign w:val="bottom"/>
            <w:gridSpan w:val="2"/>
            <w:shd w:val="clear" w:color="auto" w:fill="CCEEFF"/>
          </w:tcPr>
          <w:p>
            <w:pPr>
              <w:jc w:val="center"/>
              <w:ind w:left="16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tcBorders>
              <w:right w:val="single" w:sz="8" w:color="CCEEFF"/>
            </w:tcBorders>
            <w:gridSpan w:val="2"/>
            <w:shd w:val="clear" w:color="auto" w:fill="CCEEFF"/>
          </w:tcPr>
          <w:p>
            <w:pPr>
              <w:ind w:left="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60" w:type="dxa"/>
            <w:vAlign w:val="bottom"/>
            <w:gridSpan w:val="3"/>
            <w:shd w:val="clear" w:color="auto" w:fill="CCEEFF"/>
          </w:tcPr>
          <w:p>
            <w:pPr>
              <w:ind w:left="3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shd w:val="clear" w:color="auto" w:fill="CCEEFF"/>
          </w:tcPr>
          <w:p>
            <w:pPr>
              <w:ind w:left="22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700" w:type="dxa"/>
            <w:vAlign w:val="bottom"/>
            <w:tcBorders>
              <w:left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3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80" w:type="dxa"/>
            <w:vAlign w:val="bottom"/>
            <w:gridSpan w:val="2"/>
            <w:shd w:val="clear" w:color="auto" w:fill="CCEEFF"/>
          </w:tcPr>
          <w:p>
            <w:pPr>
              <w:jc w:val="right"/>
              <w:ind w:right="1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360" w:type="dxa"/>
            <w:vAlign w:val="bottom"/>
            <w:tcBorders>
              <w:right w:val="single" w:sz="8" w:color="CCEEFF"/>
            </w:tcBorders>
            <w:gridSpan w:val="3"/>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tcBorders>
              <w:right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ind w:left="400"/>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80" w:type="dxa"/>
            <w:vAlign w:val="bottom"/>
            <w:tcBorders>
              <w:right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(41)</w:t>
            </w:r>
            <w:r>
              <w:rPr>
                <w:rFonts w:ascii="Times New Roman" w:cs="Times New Roman" w:eastAsia="Times New Roman" w:hAnsi="Times New Roman"/>
                <w:sz w:val="21"/>
                <w:szCs w:val="21"/>
                <w:color w:val="auto"/>
                <w:vertAlign w:val="subscript"/>
              </w:rPr>
              <w:t>​​​</w:t>
            </w:r>
          </w:p>
        </w:tc>
        <w:tc>
          <w:tcPr>
            <w:tcW w:w="10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60" w:type="dxa"/>
            <w:vAlign w:val="bottom"/>
            <w:gridSpan w:val="3"/>
            <w:shd w:val="clear" w:color="auto" w:fill="CCEEFF"/>
          </w:tcPr>
          <w:p>
            <w:pPr>
              <w:jc w:val="right"/>
              <w:ind w:right="27"/>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6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680" w:type="dxa"/>
            <w:vAlign w:val="bottom"/>
            <w:gridSpan w:val="3"/>
          </w:tcPr>
          <w:p>
            <w:pPr>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​1,785,714</w:t>
            </w:r>
            <w:r>
              <w:rPr>
                <w:rFonts w:ascii="Times New Roman" w:cs="Times New Roman" w:eastAsia="Times New Roman" w:hAnsi="Times New Roman"/>
                <w:sz w:val="20"/>
                <w:szCs w:val="20"/>
                <w:color w:val="auto"/>
                <w:vertAlign w:val="subscript"/>
              </w:rPr>
              <w:t>​​​</w:t>
            </w:r>
          </w:p>
        </w:tc>
        <w:tc>
          <w:tcPr>
            <w:tcW w:w="120" w:type="dxa"/>
            <w:vAlign w:val="bottom"/>
          </w:tcPr>
          <w:p>
            <w:pPr>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980" w:type="dxa"/>
            <w:vAlign w:val="bottom"/>
            <w:gridSpan w:val="5"/>
          </w:tcPr>
          <w:p>
            <w:pPr>
              <w:ind w:left="20"/>
              <w:spacing w:after="0" w:line="178" w:lineRule="exact"/>
              <w:rPr>
                <w:sz w:val="20"/>
                <w:szCs w:val="20"/>
                <w:color w:val="auto"/>
              </w:rPr>
            </w:pPr>
            <w:r>
              <w:rPr>
                <w:rFonts w:ascii="Times New Roman" w:cs="Times New Roman" w:eastAsia="Times New Roman" w:hAnsi="Times New Roman"/>
                <w:sz w:val="11"/>
                <w:szCs w:val="11"/>
                <w:color w:val="auto"/>
              </w:rPr>
              <w:t>956</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​17,589,380</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w:t>
            </w:r>
          </w:p>
        </w:tc>
        <w:tc>
          <w:tcPr>
            <w:tcW w:w="2360" w:type="dxa"/>
            <w:vAlign w:val="bottom"/>
            <w:gridSpan w:val="10"/>
          </w:tcPr>
          <w:p>
            <w:pPr>
              <w:jc w:val="right"/>
              <w:ind w:right="140"/>
              <w:spacing w:after="0" w:line="178" w:lineRule="exact"/>
              <w:rPr>
                <w:sz w:val="20"/>
                <w:szCs w:val="20"/>
                <w:color w:val="auto"/>
              </w:rPr>
            </w:pPr>
            <w:r>
              <w:rPr>
                <w:rFonts w:ascii="Times New Roman" w:cs="Times New Roman" w:eastAsia="Times New Roman" w:hAnsi="Times New Roman"/>
                <w:sz w:val="11"/>
                <w:szCs w:val="11"/>
                <w:color w:val="auto"/>
              </w:rPr>
              <w:t>55,840</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​77,052,632</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183,290</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​13,452,552</w:t>
            </w:r>
            <w:r>
              <w:rPr>
                <w:rFonts w:ascii="Times New Roman" w:cs="Times New Roman" w:eastAsia="Times New Roman" w:hAnsi="Times New Roman"/>
                <w:sz w:val="20"/>
                <w:szCs w:val="20"/>
                <w:color w:val="auto"/>
                <w:vertAlign w:val="subscript"/>
              </w:rPr>
              <w:t>​​​</w:t>
            </w:r>
          </w:p>
        </w:tc>
        <w:tc>
          <w:tcPr>
            <w:tcW w:w="160" w:type="dxa"/>
            <w:vAlign w:val="bottom"/>
          </w:tcPr>
          <w:p>
            <w:pPr>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20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0" w:type="dxa"/>
            <w:vAlign w:val="bottom"/>
          </w:tcPr>
          <w:p>
            <w:pPr>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420" w:type="dxa"/>
            <w:vAlign w:val="bottom"/>
          </w:tcPr>
          <w:p>
            <w:pPr>
              <w:jc w:val="right"/>
              <w:spacing w:after="0" w:line="178" w:lineRule="exact"/>
              <w:rPr>
                <w:sz w:val="20"/>
                <w:szCs w:val="20"/>
                <w:color w:val="auto"/>
              </w:rPr>
            </w:pPr>
            <w:r>
              <w:rPr>
                <w:rFonts w:ascii="Times New Roman" w:cs="Times New Roman" w:eastAsia="Times New Roman" w:hAnsi="Times New Roman"/>
                <w:sz w:val="11"/>
                <w:szCs w:val="11"/>
                <w:color w:val="auto"/>
              </w:rPr>
              <w:t>  1,033</w:t>
            </w:r>
            <w:r>
              <w:rPr>
                <w:rFonts w:ascii="Times New Roman" w:cs="Times New Roman" w:eastAsia="Times New Roman" w:hAnsi="Times New Roman"/>
                <w:sz w:val="20"/>
                <w:szCs w:val="20"/>
                <w:color w:val="auto"/>
                <w:vertAlign w:val="subscript"/>
              </w:rPr>
              <w:t>​​​</w:t>
            </w:r>
          </w:p>
        </w:tc>
        <w:tc>
          <w:tcPr>
            <w:tcW w:w="500" w:type="dxa"/>
            <w:vAlign w:val="bottom"/>
            <w:gridSpan w:val="2"/>
          </w:tcPr>
          <w:p>
            <w:pPr>
              <w:ind w:left="400"/>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3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1"/>
                <w:szCs w:val="11"/>
                <w:color w:val="auto"/>
              </w:rPr>
              <w:t>  (41)</w:t>
            </w:r>
            <w:r>
              <w:rPr>
                <w:rFonts w:ascii="Times New Roman" w:cs="Times New Roman" w:eastAsia="Times New Roman" w:hAnsi="Times New Roman"/>
                <w:sz w:val="20"/>
                <w:szCs w:val="20"/>
                <w:color w:val="auto"/>
                <w:vertAlign w:val="subscript"/>
              </w:rPr>
              <w:t>​​​</w:t>
            </w:r>
          </w:p>
        </w:tc>
        <w:tc>
          <w:tcPr>
            <w:tcW w:w="760" w:type="dxa"/>
            <w:vAlign w:val="bottom"/>
            <w:gridSpan w:val="4"/>
          </w:tcPr>
          <w:p>
            <w:pPr>
              <w:jc w:val="right"/>
              <w:ind w:right="27"/>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(193,279)</w:t>
            </w:r>
            <w:r>
              <w:rPr>
                <w:rFonts w:ascii="Times New Roman" w:cs="Times New Roman" w:eastAsia="Times New Roman" w:hAnsi="Times New Roman"/>
                <w:sz w:val="20"/>
                <w:szCs w:val="20"/>
                <w:color w:val="auto"/>
                <w:vertAlign w:val="subscript"/>
              </w:rPr>
              <w:t>​​​</w:t>
            </w:r>
          </w:p>
        </w:tc>
        <w:tc>
          <w:tcPr>
            <w:tcW w:w="640" w:type="dxa"/>
            <w:vAlign w:val="bottom"/>
            <w:gridSpan w:val="5"/>
          </w:tcPr>
          <w:p>
            <w:pPr>
              <w:jc w:val="right"/>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(192,286)</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62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11"/>
                <w:szCs w:val="11"/>
                <w:color w:val="auto"/>
              </w:rPr>
              <w:t>Issuance of Series B convertible preferred stock as</w:t>
            </w:r>
          </w:p>
        </w:tc>
        <w:tc>
          <w:tcPr>
            <w:tcW w:w="100" w:type="dxa"/>
            <w:vAlign w:val="bottom"/>
            <w:tcBorders>
              <w:right w:val="single" w:sz="8" w:color="CCEEFF"/>
            </w:tcBorders>
            <w:shd w:val="clear" w:color="auto" w:fill="CCEEFF"/>
          </w:tcPr>
          <w:p>
            <w:pPr>
              <w:spacing w:after="0"/>
              <w:rPr>
                <w:sz w:val="8"/>
                <w:szCs w:val="8"/>
                <w:color w:val="auto"/>
              </w:rPr>
            </w:pPr>
          </w:p>
        </w:tc>
        <w:tc>
          <w:tcPr>
            <w:tcW w:w="48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600" w:type="dxa"/>
            <w:vAlign w:val="bottom"/>
            <w:tcBorders>
              <w:left w:val="single" w:sz="8" w:color="CCEEFF"/>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tcBorders>
              <w:right w:val="single" w:sz="8" w:color="CCEEFF"/>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payment of Xencor milestone, net of issuance</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vMerge w:val="restart"/>
            <w:shd w:val="clear" w:color="auto" w:fill="CCEEFF"/>
          </w:tcPr>
          <w:p>
            <w:pPr>
              <w:jc w:val="center"/>
              <w:ind w:left="164"/>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660" w:type="dxa"/>
            <w:vAlign w:val="bottom"/>
            <w:gridSpan w:val="3"/>
            <w:vMerge w:val="restart"/>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w:t>
            </w:r>
          </w:p>
        </w:tc>
        <w:tc>
          <w:tcPr>
            <w:tcW w:w="112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4,189,955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500" w:type="dxa"/>
            <w:vAlign w:val="bottom"/>
            <w:gridSpan w:val="3"/>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2"/>
                <w:szCs w:val="12"/>
                <w:color w:val="auto"/>
              </w:rPr>
              <w:t>10,000</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36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5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3"/>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costs of $0</w:t>
            </w:r>
          </w:p>
        </w:tc>
        <w:tc>
          <w:tcPr>
            <w:tcW w:w="100" w:type="dxa"/>
            <w:vAlign w:val="bottom"/>
            <w:tcBorders>
              <w:right w:val="single" w:sz="8" w:color="CCEEFF"/>
            </w:tcBorders>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320" w:type="dxa"/>
            <w:vAlign w:val="bottom"/>
            <w:tcBorders>
              <w:right w:val="single" w:sz="8" w:color="CCEEFF"/>
            </w:tcBorders>
            <w:gridSpan w:val="2"/>
            <w:vMerge w:val="continue"/>
            <w:shd w:val="clear" w:color="auto" w:fill="CCEEFF"/>
          </w:tcPr>
          <w:p>
            <w:pPr>
              <w:spacing w:after="0"/>
              <w:rPr>
                <w:sz w:val="13"/>
                <w:szCs w:val="13"/>
                <w:color w:val="auto"/>
              </w:rPr>
            </w:pPr>
          </w:p>
        </w:tc>
        <w:tc>
          <w:tcPr>
            <w:tcW w:w="660" w:type="dxa"/>
            <w:vAlign w:val="bottom"/>
            <w:gridSpan w:val="3"/>
            <w:vMerge w:val="continue"/>
            <w:shd w:val="clear" w:color="auto" w:fill="CCEEFF"/>
          </w:tcPr>
          <w:p>
            <w:pPr>
              <w:spacing w:after="0"/>
              <w:rPr>
                <w:sz w:val="13"/>
                <w:szCs w:val="13"/>
                <w:color w:val="auto"/>
              </w:rPr>
            </w:pPr>
          </w:p>
        </w:tc>
        <w:tc>
          <w:tcPr>
            <w:tcW w:w="1120" w:type="dxa"/>
            <w:vAlign w:val="bottom"/>
            <w:gridSpan w:val="4"/>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360" w:type="dxa"/>
            <w:vAlign w:val="bottom"/>
            <w:tcBorders>
              <w:right w:val="single" w:sz="8" w:color="CCEEFF"/>
            </w:tcBorders>
            <w:gridSpan w:val="3"/>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420" w:type="dxa"/>
            <w:vAlign w:val="bottom"/>
            <w:tcBorders>
              <w:right w:val="single" w:sz="8" w:color="CCEEFF"/>
            </w:tcBorders>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380" w:type="dxa"/>
            <w:vAlign w:val="bottom"/>
            <w:tcBorders>
              <w:right w:val="single" w:sz="8" w:color="CCEEFF"/>
            </w:tcBorders>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60" w:type="dxa"/>
            <w:vAlign w:val="bottom"/>
            <w:gridSpan w:val="3"/>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7"/>
        </w:trPr>
        <w:tc>
          <w:tcPr>
            <w:tcW w:w="2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Exercises of common stock options</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580" w:type="dxa"/>
            <w:vAlign w:val="bottom"/>
            <w:gridSpan w:val="2"/>
          </w:tcPr>
          <w:p>
            <w:pPr>
              <w:jc w:val="center"/>
              <w:ind w:left="16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20" w:type="dxa"/>
            <w:vAlign w:val="bottom"/>
          </w:tcPr>
          <w:p>
            <w:pPr>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320" w:type="dxa"/>
            <w:vAlign w:val="bottom"/>
            <w:gridSpan w:val="2"/>
          </w:tcPr>
          <w:p>
            <w:pPr>
              <w:ind w:left="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60" w:type="dxa"/>
            <w:vAlign w:val="bottom"/>
            <w:gridSpan w:val="3"/>
          </w:tcPr>
          <w:p>
            <w:pPr>
              <w:ind w:left="3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tcPr>
          <w:p>
            <w:pPr>
              <w:ind w:left="22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70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60" w:type="dxa"/>
            <w:vAlign w:val="bottom"/>
          </w:tcPr>
          <w:p>
            <w:pPr>
              <w:spacing w:after="0"/>
              <w:rPr>
                <w:sz w:val="16"/>
                <w:szCs w:val="16"/>
                <w:color w:val="auto"/>
              </w:rPr>
            </w:pPr>
          </w:p>
        </w:tc>
        <w:tc>
          <w:tcPr>
            <w:tcW w:w="1180" w:type="dxa"/>
            <w:vAlign w:val="bottom"/>
            <w:gridSpan w:val="5"/>
          </w:tcPr>
          <w:p>
            <w:pPr>
              <w:jc w:val="right"/>
              <w:ind w:right="140"/>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239,500</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1"/>
                <w:szCs w:val="21"/>
                <w:color w:val="auto"/>
                <w:vertAlign w:val="subscript"/>
              </w:rPr>
              <w:t>​​</w:t>
            </w:r>
          </w:p>
        </w:tc>
        <w:tc>
          <w:tcPr>
            <w:tcW w:w="36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420" w:type="dxa"/>
            <w:vAlign w:val="bottom"/>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116</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500" w:type="dxa"/>
            <w:vAlign w:val="bottom"/>
            <w:gridSpan w:val="2"/>
          </w:tcPr>
          <w:p>
            <w:pPr>
              <w:ind w:left="400"/>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38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660" w:type="dxa"/>
            <w:vAlign w:val="bottom"/>
            <w:gridSpan w:val="3"/>
          </w:tcPr>
          <w:p>
            <w:pPr>
              <w:jc w:val="right"/>
              <w:ind w:right="27"/>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540" w:type="dxa"/>
            <w:vAlign w:val="bottom"/>
            <w:gridSpan w:val="4"/>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116​ </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18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00" w:type="dxa"/>
            <w:vAlign w:val="bottom"/>
            <w:tcBorders>
              <w:right w:val="single" w:sz="8" w:color="CCEEFF"/>
            </w:tcBorders>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580" w:type="dxa"/>
            <w:vAlign w:val="bottom"/>
            <w:gridSpan w:val="2"/>
            <w:shd w:val="clear" w:color="auto" w:fill="CCEEFF"/>
          </w:tcPr>
          <w:p>
            <w:pPr>
              <w:jc w:val="center"/>
              <w:ind w:left="16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tcBorders>
              <w:right w:val="single" w:sz="8" w:color="CCEEFF"/>
            </w:tcBorders>
            <w:gridSpan w:val="2"/>
            <w:shd w:val="clear" w:color="auto" w:fill="CCEEFF"/>
          </w:tcPr>
          <w:p>
            <w:pPr>
              <w:ind w:left="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60" w:type="dxa"/>
            <w:vAlign w:val="bottom"/>
            <w:gridSpan w:val="3"/>
            <w:shd w:val="clear" w:color="auto" w:fill="CCEEFF"/>
          </w:tcPr>
          <w:p>
            <w:pPr>
              <w:ind w:left="3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shd w:val="clear" w:color="auto" w:fill="CCEEFF"/>
          </w:tcPr>
          <w:p>
            <w:pPr>
              <w:ind w:left="22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700" w:type="dxa"/>
            <w:vAlign w:val="bottom"/>
            <w:tcBorders>
              <w:left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6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3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80" w:type="dxa"/>
            <w:vAlign w:val="bottom"/>
            <w:gridSpan w:val="2"/>
            <w:shd w:val="clear" w:color="auto" w:fill="CCEEFF"/>
          </w:tcPr>
          <w:p>
            <w:pPr>
              <w:jc w:val="right"/>
              <w:ind w:right="1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360" w:type="dxa"/>
            <w:vAlign w:val="bottom"/>
            <w:tcBorders>
              <w:right w:val="single" w:sz="8" w:color="CCEEFF"/>
            </w:tcBorders>
            <w:gridSpan w:val="3"/>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tcBorders>
              <w:right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3,495</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1"/>
                <w:szCs w:val="21"/>
                <w:color w:val="auto"/>
                <w:vertAlign w:val="subscript"/>
              </w:rPr>
              <w:t>​​</w:t>
            </w:r>
          </w:p>
        </w:tc>
        <w:tc>
          <w:tcPr>
            <w:tcW w:w="500" w:type="dxa"/>
            <w:vAlign w:val="bottom"/>
            <w:gridSpan w:val="2"/>
            <w:shd w:val="clear" w:color="auto" w:fill="CCEEFF"/>
          </w:tcPr>
          <w:p>
            <w:pPr>
              <w:ind w:left="400"/>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80" w:type="dxa"/>
            <w:vAlign w:val="bottom"/>
            <w:tcBorders>
              <w:right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60" w:type="dxa"/>
            <w:vAlign w:val="bottom"/>
            <w:gridSpan w:val="3"/>
            <w:shd w:val="clear" w:color="auto" w:fill="CCEEFF"/>
          </w:tcPr>
          <w:p>
            <w:pPr>
              <w:jc w:val="right"/>
              <w:ind w:right="27"/>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3,495​</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7"/>
        </w:trPr>
        <w:tc>
          <w:tcPr>
            <w:tcW w:w="2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580" w:type="dxa"/>
            <w:vAlign w:val="bottom"/>
            <w:gridSpan w:val="2"/>
          </w:tcPr>
          <w:p>
            <w:pPr>
              <w:jc w:val="center"/>
              <w:ind w:left="16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12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gridSpan w:val="2"/>
          </w:tcPr>
          <w:p>
            <w:pPr>
              <w:ind w:left="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60" w:type="dxa"/>
            <w:vAlign w:val="bottom"/>
            <w:gridSpan w:val="3"/>
          </w:tcPr>
          <w:p>
            <w:pPr>
              <w:ind w:left="3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tcPr>
          <w:p>
            <w:pPr>
              <w:ind w:left="22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70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color w:val="auto"/>
                <w:vertAlign w:val="superscript"/>
              </w:rPr>
              <w:t>​</w:t>
            </w:r>
          </w:p>
        </w:tc>
        <w:tc>
          <w:tcPr>
            <w:tcW w:w="60" w:type="dxa"/>
            <w:vAlign w:val="bottom"/>
          </w:tcPr>
          <w:p>
            <w:pPr>
              <w:spacing w:after="0"/>
              <w:rPr>
                <w:sz w:val="16"/>
                <w:szCs w:val="16"/>
                <w:color w:val="auto"/>
              </w:rPr>
            </w:pPr>
          </w:p>
        </w:tc>
        <w:tc>
          <w:tcPr>
            <w:tcW w:w="500" w:type="dxa"/>
            <w:vAlign w:val="bottom"/>
            <w:gridSpan w:val="3"/>
          </w:tcPr>
          <w:p>
            <w:pPr>
              <w:jc w:val="right"/>
              <w:ind w:right="3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80" w:type="dxa"/>
            <w:vAlign w:val="bottom"/>
            <w:gridSpan w:val="2"/>
          </w:tcPr>
          <w:p>
            <w:pPr>
              <w:jc w:val="right"/>
              <w:ind w:right="1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36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w:t>
            </w:r>
          </w:p>
        </w:tc>
        <w:tc>
          <w:tcPr>
            <w:tcW w:w="500" w:type="dxa"/>
            <w:vAlign w:val="bottom"/>
            <w:gridSpan w:val="2"/>
          </w:tcPr>
          <w:p>
            <w:pPr>
              <w:ind w:left="400"/>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8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60" w:type="dxa"/>
            <w:vAlign w:val="bottom"/>
            <w:gridSpan w:val="3"/>
          </w:tcPr>
          <w:p>
            <w:pPr>
              <w:jc w:val="right"/>
              <w:ind w:right="27"/>
              <w:spacing w:after="0" w:line="187" w:lineRule="exact"/>
              <w:rPr>
                <w:sz w:val="20"/>
                <w:szCs w:val="20"/>
                <w:color w:val="auto"/>
              </w:rPr>
            </w:pPr>
            <w:r>
              <w:rPr>
                <w:rFonts w:ascii="Times New Roman" w:cs="Times New Roman" w:eastAsia="Times New Roman" w:hAnsi="Times New Roman"/>
                <w:sz w:val="11"/>
                <w:szCs w:val="11"/>
                <w:color w:val="auto"/>
              </w:rPr>
              <w:t>(37,124)</w:t>
            </w:r>
            <w:r>
              <w:rPr>
                <w:rFonts w:ascii="Times New Roman" w:cs="Times New Roman" w:eastAsia="Times New Roman" w:hAnsi="Times New Roman"/>
                <w:sz w:val="21"/>
                <w:szCs w:val="21"/>
                <w:color w:val="auto"/>
                <w:vertAlign w:val="subscript"/>
              </w:rPr>
              <w:t>​​​</w:t>
            </w:r>
          </w:p>
        </w:tc>
        <w:tc>
          <w:tcPr>
            <w:tcW w:w="10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540" w:type="dxa"/>
            <w:vAlign w:val="bottom"/>
            <w:gridSpan w:val="4"/>
          </w:tcPr>
          <w:p>
            <w:pPr>
              <w:jc w:val="right"/>
              <w:spacing w:after="0" w:line="187" w:lineRule="exact"/>
              <w:rPr>
                <w:sz w:val="20"/>
                <w:szCs w:val="20"/>
                <w:color w:val="auto"/>
              </w:rPr>
            </w:pPr>
            <w:r>
              <w:rPr>
                <w:rFonts w:ascii="Times New Roman" w:cs="Times New Roman" w:eastAsia="Times New Roman" w:hAnsi="Times New Roman"/>
                <w:sz w:val="11"/>
                <w:szCs w:val="11"/>
                <w:color w:val="auto"/>
              </w:rPr>
              <w:t>(37,124)</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18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100" w:type="dxa"/>
            <w:vAlign w:val="bottom"/>
            <w:tcBorders>
              <w:right w:val="single" w:sz="8" w:color="CCEEFF"/>
            </w:tcBorders>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580" w:type="dxa"/>
            <w:vAlign w:val="bottom"/>
            <w:gridSpan w:val="2"/>
            <w:shd w:val="clear" w:color="auto" w:fill="CCEEFF"/>
          </w:tcPr>
          <w:p>
            <w:pPr>
              <w:jc w:val="center"/>
              <w:ind w:left="16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tcBorders>
              <w:right w:val="single" w:sz="8" w:color="CCEEFF"/>
            </w:tcBorders>
            <w:gridSpan w:val="2"/>
            <w:shd w:val="clear" w:color="auto" w:fill="CCEEFF"/>
          </w:tcPr>
          <w:p>
            <w:pPr>
              <w:ind w:left="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60" w:type="dxa"/>
            <w:vAlign w:val="bottom"/>
            <w:gridSpan w:val="3"/>
            <w:shd w:val="clear" w:color="auto" w:fill="CCEEFF"/>
          </w:tcPr>
          <w:p>
            <w:pPr>
              <w:ind w:left="36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shd w:val="clear" w:color="auto" w:fill="CCEEFF"/>
          </w:tcPr>
          <w:p>
            <w:pPr>
              <w:ind w:left="22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700" w:type="dxa"/>
            <w:vAlign w:val="bottom"/>
            <w:tcBorders>
              <w:left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34"/>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80" w:type="dxa"/>
            <w:vAlign w:val="bottom"/>
            <w:gridSpan w:val="2"/>
            <w:shd w:val="clear" w:color="auto" w:fill="CCEEFF"/>
          </w:tcPr>
          <w:p>
            <w:pPr>
              <w:jc w:val="right"/>
              <w:ind w:right="1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360" w:type="dxa"/>
            <w:vAlign w:val="bottom"/>
            <w:tcBorders>
              <w:right w:val="single" w:sz="8" w:color="CCEEFF"/>
            </w:tcBorders>
            <w:gridSpan w:val="3"/>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tcBorders>
              <w:right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ind w:left="400"/>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80" w:type="dxa"/>
            <w:vAlign w:val="bottom"/>
            <w:tcBorders>
              <w:right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78​ </w:t>
            </w:r>
            <w:r>
              <w:rPr>
                <w:rFonts w:ascii="Times New Roman" w:cs="Times New Roman" w:eastAsia="Times New Roman" w:hAnsi="Times New Roman"/>
                <w:sz w:val="21"/>
                <w:szCs w:val="21"/>
                <w:color w:val="auto"/>
                <w:vertAlign w:val="subscript"/>
              </w:rPr>
              <w:t>​​​</w:t>
            </w:r>
          </w:p>
        </w:tc>
        <w:tc>
          <w:tcPr>
            <w:tcW w:w="10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60" w:type="dxa"/>
            <w:vAlign w:val="bottom"/>
            <w:gridSpan w:val="3"/>
            <w:shd w:val="clear" w:color="auto" w:fill="CCEEFF"/>
          </w:tcPr>
          <w:p>
            <w:pPr>
              <w:jc w:val="right"/>
              <w:ind w:right="27"/>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6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680" w:type="dxa"/>
            <w:vAlign w:val="bottom"/>
            <w:gridSpan w:val="3"/>
          </w:tcPr>
          <w:p>
            <w:pPr>
              <w:spacing w:after="0" w:line="17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​1,785,714</w:t>
            </w:r>
            <w:r>
              <w:rPr>
                <w:rFonts w:ascii="Times New Roman" w:cs="Times New Roman" w:eastAsia="Times New Roman" w:hAnsi="Times New Roman"/>
                <w:sz w:val="20"/>
                <w:szCs w:val="20"/>
                <w:color w:val="auto"/>
                <w:vertAlign w:val="subscript"/>
              </w:rPr>
              <w:t>​​​</w:t>
            </w:r>
          </w:p>
        </w:tc>
        <w:tc>
          <w:tcPr>
            <w:tcW w:w="120" w:type="dxa"/>
            <w:vAlign w:val="bottom"/>
          </w:tcPr>
          <w:p>
            <w:pPr>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980" w:type="dxa"/>
            <w:vAlign w:val="bottom"/>
            <w:gridSpan w:val="5"/>
          </w:tcPr>
          <w:p>
            <w:pPr>
              <w:ind w:left="20"/>
              <w:spacing w:after="0" w:line="178" w:lineRule="exact"/>
              <w:rPr>
                <w:sz w:val="20"/>
                <w:szCs w:val="20"/>
                <w:color w:val="auto"/>
              </w:rPr>
            </w:pPr>
            <w:r>
              <w:rPr>
                <w:rFonts w:ascii="Times New Roman" w:cs="Times New Roman" w:eastAsia="Times New Roman" w:hAnsi="Times New Roman"/>
                <w:sz w:val="11"/>
                <w:szCs w:val="11"/>
                <w:color w:val="auto"/>
              </w:rPr>
              <w:t>956</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​17,589,380</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w:t>
            </w:r>
          </w:p>
        </w:tc>
        <w:tc>
          <w:tcPr>
            <w:tcW w:w="1120" w:type="dxa"/>
            <w:vAlign w:val="bottom"/>
            <w:gridSpan w:val="4"/>
          </w:tcPr>
          <w:p>
            <w:pPr>
              <w:jc w:val="right"/>
              <w:ind w:right="40"/>
              <w:spacing w:after="0" w:line="178" w:lineRule="exact"/>
              <w:rPr>
                <w:sz w:val="20"/>
                <w:szCs w:val="20"/>
                <w:color w:val="auto"/>
              </w:rPr>
            </w:pPr>
            <w:r>
              <w:rPr>
                <w:rFonts w:ascii="Times New Roman" w:cs="Times New Roman" w:eastAsia="Times New Roman" w:hAnsi="Times New Roman"/>
                <w:sz w:val="11"/>
                <w:szCs w:val="11"/>
                <w:color w:val="auto"/>
              </w:rPr>
              <w:t>55,840</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​81,242,587</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w:t>
            </w:r>
          </w:p>
        </w:tc>
        <w:tc>
          <w:tcPr>
            <w:tcW w:w="1240" w:type="dxa"/>
            <w:vAlign w:val="bottom"/>
            <w:gridSpan w:val="6"/>
          </w:tcPr>
          <w:p>
            <w:pPr>
              <w:jc w:val="right"/>
              <w:ind w:right="140"/>
              <w:spacing w:after="0" w:line="178" w:lineRule="exact"/>
              <w:rPr>
                <w:sz w:val="20"/>
                <w:szCs w:val="20"/>
                <w:color w:val="auto"/>
              </w:rPr>
            </w:pPr>
            <w:r>
              <w:rPr>
                <w:rFonts w:ascii="Times New Roman" w:cs="Times New Roman" w:eastAsia="Times New Roman" w:hAnsi="Times New Roman"/>
                <w:sz w:val="11"/>
                <w:szCs w:val="11"/>
                <w:color w:val="auto"/>
              </w:rPr>
              <w:t>193,290</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​13,692,052</w:t>
            </w:r>
            <w:r>
              <w:rPr>
                <w:rFonts w:ascii="Times New Roman" w:cs="Times New Roman" w:eastAsia="Times New Roman" w:hAnsi="Times New Roman"/>
                <w:sz w:val="20"/>
                <w:szCs w:val="20"/>
                <w:color w:val="auto"/>
                <w:vertAlign w:val="subscript"/>
              </w:rPr>
              <w:t>​​​</w:t>
            </w:r>
          </w:p>
        </w:tc>
        <w:tc>
          <w:tcPr>
            <w:tcW w:w="160" w:type="dxa"/>
            <w:vAlign w:val="bottom"/>
          </w:tcPr>
          <w:p>
            <w:pPr>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20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0" w:type="dxa"/>
            <w:vAlign w:val="bottom"/>
          </w:tcPr>
          <w:p>
            <w:pPr>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420" w:type="dxa"/>
            <w:vAlign w:val="bottom"/>
          </w:tcPr>
          <w:p>
            <w:pPr>
              <w:jc w:val="right"/>
              <w:spacing w:after="0" w:line="178" w:lineRule="exact"/>
              <w:rPr>
                <w:sz w:val="20"/>
                <w:szCs w:val="20"/>
                <w:color w:val="auto"/>
              </w:rPr>
            </w:pPr>
            <w:r>
              <w:rPr>
                <w:rFonts w:ascii="Times New Roman" w:cs="Times New Roman" w:eastAsia="Times New Roman" w:hAnsi="Times New Roman"/>
                <w:sz w:val="11"/>
                <w:szCs w:val="11"/>
                <w:color w:val="auto"/>
              </w:rPr>
              <w:t>4,644</w:t>
            </w:r>
            <w:r>
              <w:rPr>
                <w:rFonts w:ascii="Times New Roman" w:cs="Times New Roman" w:eastAsia="Times New Roman" w:hAnsi="Times New Roman"/>
                <w:sz w:val="20"/>
                <w:szCs w:val="20"/>
                <w:color w:val="auto"/>
                <w:vertAlign w:val="subscript"/>
              </w:rPr>
              <w:t>​​​</w:t>
            </w:r>
          </w:p>
        </w:tc>
        <w:tc>
          <w:tcPr>
            <w:tcW w:w="500" w:type="dxa"/>
            <w:vAlign w:val="bottom"/>
            <w:gridSpan w:val="2"/>
          </w:tcPr>
          <w:p>
            <w:pPr>
              <w:ind w:left="400"/>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3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1"/>
                <w:szCs w:val="11"/>
                <w:color w:val="auto"/>
              </w:rPr>
              <w:t xml:space="preserve">37​ </w:t>
            </w:r>
            <w:r>
              <w:rPr>
                <w:rFonts w:ascii="Times New Roman" w:cs="Times New Roman" w:eastAsia="Times New Roman" w:hAnsi="Times New Roman"/>
                <w:sz w:val="20"/>
                <w:szCs w:val="20"/>
                <w:color w:val="auto"/>
                <w:vertAlign w:val="subscript"/>
              </w:rPr>
              <w:t>​​​</w:t>
            </w:r>
          </w:p>
        </w:tc>
        <w:tc>
          <w:tcPr>
            <w:tcW w:w="100" w:type="dxa"/>
            <w:vAlign w:val="bottom"/>
          </w:tcPr>
          <w:p>
            <w:pPr>
              <w:jc w:val="right"/>
              <w:spacing w:after="0" w:line="178" w:lineRule="exact"/>
              <w:rPr>
                <w:sz w:val="20"/>
                <w:szCs w:val="20"/>
                <w:color w:val="auto"/>
              </w:rPr>
            </w:pPr>
            <w:r>
              <w:rPr>
                <w:rFonts w:ascii="Times New Roman" w:cs="Times New Roman" w:eastAsia="Times New Roman" w:hAnsi="Times New Roman"/>
                <w:sz w:val="11"/>
                <w:szCs w:val="11"/>
                <w:color w:val="auto"/>
                <w:w w:val="89"/>
              </w:rPr>
              <w:t>​</w:t>
            </w:r>
            <w:r>
              <w:rPr>
                <w:rFonts w:ascii="Times New Roman" w:cs="Times New Roman" w:eastAsia="Times New Roman" w:hAnsi="Times New Roman"/>
                <w:sz w:val="20"/>
                <w:szCs w:val="20"/>
                <w:color w:val="auto"/>
                <w:w w:val="89"/>
                <w:vertAlign w:val="superscript"/>
              </w:rPr>
              <w:t>$</w:t>
            </w:r>
          </w:p>
        </w:tc>
        <w:tc>
          <w:tcPr>
            <w:tcW w:w="660" w:type="dxa"/>
            <w:vAlign w:val="bottom"/>
            <w:gridSpan w:val="3"/>
          </w:tcPr>
          <w:p>
            <w:pPr>
              <w:jc w:val="right"/>
              <w:ind w:right="27"/>
              <w:spacing w:after="0" w:line="178" w:lineRule="exact"/>
              <w:rPr>
                <w:sz w:val="20"/>
                <w:szCs w:val="20"/>
                <w:color w:val="auto"/>
              </w:rPr>
            </w:pPr>
            <w:r>
              <w:rPr>
                <w:rFonts w:ascii="Times New Roman" w:cs="Times New Roman" w:eastAsia="Times New Roman" w:hAnsi="Times New Roman"/>
                <w:sz w:val="11"/>
                <w:szCs w:val="11"/>
                <w:color w:val="auto"/>
              </w:rPr>
              <w:t>(230,403)</w:t>
            </w:r>
            <w:r>
              <w:rPr>
                <w:rFonts w:ascii="Times New Roman" w:cs="Times New Roman" w:eastAsia="Times New Roman" w:hAnsi="Times New Roman"/>
                <w:sz w:val="20"/>
                <w:szCs w:val="20"/>
                <w:color w:val="auto"/>
                <w:vertAlign w:val="subscript"/>
              </w:rPr>
              <w:t>​​​</w:t>
            </w:r>
          </w:p>
        </w:tc>
        <w:tc>
          <w:tcPr>
            <w:tcW w:w="100" w:type="dxa"/>
            <w:vAlign w:val="bottom"/>
          </w:tcPr>
          <w:p>
            <w:pPr>
              <w:spacing w:after="0" w:line="17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540" w:type="dxa"/>
            <w:vAlign w:val="bottom"/>
            <w:gridSpan w:val="4"/>
          </w:tcPr>
          <w:p>
            <w:pPr>
              <w:jc w:val="right"/>
              <w:spacing w:after="0" w:line="178" w:lineRule="exact"/>
              <w:rPr>
                <w:sz w:val="20"/>
                <w:szCs w:val="20"/>
                <w:color w:val="auto"/>
              </w:rPr>
            </w:pPr>
            <w:r>
              <w:rPr>
                <w:rFonts w:ascii="Times New Roman" w:cs="Times New Roman" w:eastAsia="Times New Roman" w:hAnsi="Times New Roman"/>
                <w:sz w:val="11"/>
                <w:szCs w:val="11"/>
                <w:color w:val="auto"/>
              </w:rPr>
              <w:t>(225,721)</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-2482850</wp:posOffset>
            </wp:positionV>
            <wp:extent cx="5881370" cy="24834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881370" cy="2483485"/>
                    </a:xfrm>
                    <a:prstGeom prst="rect">
                      <a:avLst/>
                    </a:prstGeom>
                    <a:noFill/>
                  </pic:spPr>
                </pic:pic>
              </a:graphicData>
            </a:graphic>
          </wp:anchor>
        </w:drawing>
      </w:r>
    </w:p>
    <w:p>
      <w:pPr>
        <w:spacing w:after="0" w:line="16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221220" cy="393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80"/>
          </w:cols>
          <w:pgMar w:left="300" w:top="98" w:right="919" w:bottom="1440" w:gutter="0" w:footer="0" w:header="0"/>
        </w:sectPr>
      </w:pPr>
    </w:p>
    <w:bookmarkStart w:id="219" w:name="page220"/>
    <w:bookmarkEnd w:id="219"/>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3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ind w:left="231"/>
              <w:spacing w:after="0"/>
              <w:rPr>
                <w:sz w:val="20"/>
                <w:szCs w:val="20"/>
                <w:color w:val="auto"/>
              </w:rPr>
            </w:pPr>
            <w:r>
              <w:rPr>
                <w:rFonts w:ascii="Times New Roman" w:cs="Times New Roman" w:eastAsia="Times New Roman" w:hAnsi="Times New Roman"/>
                <w:sz w:val="12"/>
                <w:szCs w:val="12"/>
                <w:b w:val="1"/>
                <w:bCs w:val="1"/>
                <w:color w:val="auto"/>
                <w:w w:val="91"/>
              </w:rPr>
              <w:t>Year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4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7"/>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 ​</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 ​​ ​</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7"/>
        </w:trPr>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(37,124)</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(119,282)</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Acquired in-process research and development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10,000​ ​​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187"/>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Depreciation expense</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113​ ​​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 ​​</w:t>
            </w:r>
          </w:p>
        </w:tc>
      </w:tr>
      <w:tr>
        <w:trPr>
          <w:trHeight w:val="187"/>
        </w:trPr>
        <w:tc>
          <w:tcPr>
            <w:tcW w:w="4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3,495​ ​​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737​ ​​</w:t>
            </w:r>
          </w:p>
        </w:tc>
      </w:tr>
      <w:tr>
        <w:trPr>
          <w:trHeight w:val="187"/>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Change in fair value of convertible notes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300​ ​​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29,876​ ​​</w:t>
            </w:r>
          </w:p>
        </w:tc>
      </w:tr>
      <w:tr>
        <w:trPr>
          <w:trHeight w:val="187"/>
        </w:trPr>
        <w:tc>
          <w:tcPr>
            <w:tcW w:w="4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Change in fair value of warrant liability</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 ​​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13,268​ ​​</w:t>
            </w:r>
          </w:p>
        </w:tc>
      </w:tr>
      <w:tr>
        <w:trPr>
          <w:trHeight w:val="187"/>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Non-cash lease expense</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726​ ​​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 ​​</w:t>
            </w:r>
          </w:p>
        </w:tc>
      </w:tr>
      <w:tr>
        <w:trPr>
          <w:trHeight w:val="187"/>
        </w:trPr>
        <w:tc>
          <w:tcPr>
            <w:tcW w:w="4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(3,349)</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9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Accounts payable</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Accrued expenses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(3,558)</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12,055​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49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(714)</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(717)</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9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9"/>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 (30,529)</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(65,652)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9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78"/>
        </w:trPr>
        <w:tc>
          <w:tcPr>
            <w:tcW w:w="4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 ​​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7"/>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Product candidate license acquisitions and development milestones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w:t>
            </w:r>
          </w:p>
        </w:tc>
      </w:tr>
      <w:tr>
        <w:trPr>
          <w:trHeight w:val="198"/>
        </w:trPr>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(17)​​ ​​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9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9"/>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9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78"/>
        </w:trPr>
        <w:tc>
          <w:tcPr>
            <w:tcW w:w="4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 ​​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issuance of Series B convertible preferred stock, net of issuance</w:t>
            </w: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90"/>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costs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59,391​​​</w:t>
            </w:r>
          </w:p>
        </w:tc>
      </w:tr>
      <w:tr>
        <w:trPr>
          <w:trHeight w:val="187"/>
        </w:trPr>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issuance of convertible notes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20,000​ ​​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19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116​ ​​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
        </w:trPr>
        <w:tc>
          <w:tcPr>
            <w:tcW w:w="49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9"/>
        </w:trPr>
        <w:tc>
          <w:tcPr>
            <w:tcW w:w="49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20,116​ ​​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59,391​ ​​</w:t>
            </w:r>
          </w:p>
        </w:tc>
      </w:tr>
      <w:tr>
        <w:trPr>
          <w:trHeight w:val="20"/>
        </w:trPr>
        <w:tc>
          <w:tcPr>
            <w:tcW w:w="49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7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exchange rate changes on cash and restricted cash</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78​ ​​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4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decrease in cash and restricted cash</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 (10,352)</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restricted cash at beginning of period</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67,295​</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75,795​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9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0"/>
        </w:trPr>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Cash and restricted cash at end of period</w:t>
            </w:r>
          </w:p>
        </w:tc>
        <w:tc>
          <w:tcPr>
            <w:tcW w:w="3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1"/>
                <w:szCs w:val="21"/>
                <w:color w:val="auto"/>
                <w:vertAlign w:val="superscript"/>
              </w:rPr>
              <w:t>$</w:t>
            </w:r>
          </w:p>
        </w:tc>
        <w:tc>
          <w:tcPr>
            <w:tcW w:w="880" w:type="dxa"/>
            <w:vAlign w:val="bottom"/>
            <w:gridSpan w:val="3"/>
          </w:tcPr>
          <w:p>
            <w:pPr>
              <w:jc w:val="right"/>
              <w:ind w:right="140"/>
              <w:spacing w:after="0" w:line="189" w:lineRule="exact"/>
              <w:rPr>
                <w:sz w:val="20"/>
                <w:szCs w:val="20"/>
                <w:color w:val="auto"/>
              </w:rPr>
            </w:pPr>
            <w:r>
              <w:rPr>
                <w:rFonts w:ascii="Times New Roman" w:cs="Times New Roman" w:eastAsia="Times New Roman" w:hAnsi="Times New Roman"/>
                <w:sz w:val="12"/>
                <w:szCs w:val="12"/>
                <w:color w:val="auto"/>
              </w:rPr>
              <w:t xml:space="preserve">56,943​ </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w:t>
            </w:r>
          </w:p>
        </w:tc>
        <w:tc>
          <w:tcPr>
            <w:tcW w:w="5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2"/>
                <w:szCs w:val="12"/>
                <w:color w:val="auto"/>
              </w:rPr>
              <w:t xml:space="preserve">67,295​ </w:t>
            </w:r>
            <w:r>
              <w:rPr>
                <w:rFonts w:ascii="Times New Roman" w:cs="Times New Roman" w:eastAsia="Times New Roman" w:hAnsi="Times New Roman"/>
                <w:sz w:val="21"/>
                <w:szCs w:val="21"/>
                <w:color w:val="auto"/>
                <w:vertAlign w:val="subscript"/>
              </w:rPr>
              <w:t>​​</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49"/>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3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5"/>
                <w:szCs w:val="15"/>
                <w:b w:val="1"/>
                <w:bCs w:val="1"/>
                <w:color w:val="auto"/>
              </w:rPr>
              <w:t>​ ​​ ​</w:t>
            </w:r>
          </w:p>
        </w:tc>
        <w:tc>
          <w:tcPr>
            <w:tcW w:w="8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 ​​ ​</w:t>
            </w: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Right-of-use assets obtained under operating lease arrangements</w:t>
            </w:r>
          </w:p>
        </w:tc>
        <w:tc>
          <w:tcPr>
            <w:tcW w:w="3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1"/>
                <w:szCs w:val="21"/>
                <w:color w:val="auto"/>
                <w:vertAlign w:val="superscript"/>
              </w:rPr>
              <w:t>$</w:t>
            </w:r>
          </w:p>
        </w:tc>
        <w:tc>
          <w:tcPr>
            <w:tcW w:w="880" w:type="dxa"/>
            <w:vAlign w:val="bottom"/>
            <w:gridSpan w:val="3"/>
          </w:tcPr>
          <w:p>
            <w:pPr>
              <w:jc w:val="right"/>
              <w:ind w:right="14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1"/>
                <w:szCs w:val="21"/>
                <w:color w:val="auto"/>
                <w:vertAlign w:val="superscript"/>
              </w:rPr>
              <w:t>$</w:t>
            </w:r>
          </w:p>
        </w:tc>
        <w:tc>
          <w:tcPr>
            <w:tcW w:w="5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2"/>
                <w:szCs w:val="12"/>
                <w:color w:val="auto"/>
              </w:rPr>
              <w:t xml:space="preserve">2,179​ </w:t>
            </w:r>
            <w:r>
              <w:rPr>
                <w:rFonts w:ascii="Times New Roman" w:cs="Times New Roman" w:eastAsia="Times New Roman" w:hAnsi="Times New Roman"/>
                <w:sz w:val="21"/>
                <w:szCs w:val="21"/>
                <w:color w:val="auto"/>
                <w:vertAlign w:val="subscript"/>
              </w:rPr>
              <w:t>​​</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Series B convertible preferred stock from conversion of notes</w:t>
            </w:r>
          </w:p>
        </w:tc>
        <w:tc>
          <w:tcPr>
            <w:tcW w:w="320" w:type="dxa"/>
            <w:vAlign w:val="bottom"/>
            <w:gridSpan w:val="2"/>
            <w:shd w:val="clear" w:color="auto" w:fill="CCEEFF"/>
          </w:tcPr>
          <w:p>
            <w:pPr>
              <w:ind w:left="40"/>
              <w:spacing w:after="0" w:line="178"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vertAlign w:val="superscript"/>
              </w:rPr>
              <w:t>$</w:t>
            </w:r>
          </w:p>
        </w:tc>
        <w:tc>
          <w:tcPr>
            <w:tcW w:w="880" w:type="dxa"/>
            <w:vAlign w:val="bottom"/>
            <w:gridSpan w:val="3"/>
            <w:shd w:val="clear" w:color="auto" w:fill="CCEEFF"/>
          </w:tcPr>
          <w:p>
            <w:pPr>
              <w:jc w:val="right"/>
              <w:ind w:right="140"/>
              <w:spacing w:after="0" w:line="178"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0"/>
                <w:szCs w:val="20"/>
                <w:color w:val="auto"/>
                <w:vertAlign w:val="superscript"/>
              </w:rPr>
              <w:t>$</w:t>
            </w:r>
          </w:p>
        </w:tc>
        <w:tc>
          <w:tcPr>
            <w:tcW w:w="58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2"/>
                <w:szCs w:val="12"/>
                <w:color w:val="auto"/>
              </w:rPr>
              <w:t xml:space="preserve">89,431​ </w:t>
            </w:r>
            <w:r>
              <w:rPr>
                <w:rFonts w:ascii="Times New Roman" w:cs="Times New Roman" w:eastAsia="Times New Roman" w:hAnsi="Times New Roman"/>
                <w:sz w:val="20"/>
                <w:szCs w:val="20"/>
                <w:color w:val="auto"/>
                <w:vertAlign w:val="subscript"/>
              </w:rPr>
              <w:t>​​</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62"/>
        </w:trPr>
        <w:tc>
          <w:tcPr>
            <w:tcW w:w="49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Issuance of Series B convertible preferred stock upon exercise of warrants</w:t>
            </w:r>
          </w:p>
        </w:tc>
        <w:tc>
          <w:tcPr>
            <w:tcW w:w="3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8"/>
                <w:szCs w:val="18"/>
                <w:color w:val="auto"/>
                <w:vertAlign w:val="superscript"/>
              </w:rPr>
              <w:t>$</w:t>
            </w:r>
          </w:p>
        </w:tc>
        <w:tc>
          <w:tcPr>
            <w:tcW w:w="880" w:type="dxa"/>
            <w:vAlign w:val="bottom"/>
            <w:gridSpan w:val="3"/>
          </w:tcPr>
          <w:p>
            <w:pPr>
              <w:jc w:val="right"/>
              <w:ind w:right="140"/>
              <w:spacing w:after="0" w:line="162"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18"/>
                <w:szCs w:val="18"/>
                <w:color w:val="auto"/>
                <w:vertAlign w:val="superscript"/>
              </w:rPr>
              <w:t>$</w:t>
            </w:r>
          </w:p>
        </w:tc>
        <w:tc>
          <w:tcPr>
            <w:tcW w:w="5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1"/>
                <w:szCs w:val="11"/>
                <w:color w:val="auto"/>
              </w:rPr>
              <w:t xml:space="preserve">34,468​ </w:t>
            </w:r>
            <w:r>
              <w:rPr>
                <w:rFonts w:ascii="Times New Roman" w:cs="Times New Roman" w:eastAsia="Times New Roman" w:hAnsi="Times New Roman"/>
                <w:sz w:val="18"/>
                <w:szCs w:val="18"/>
                <w:color w:val="auto"/>
                <w:vertAlign w:val="subscript"/>
              </w:rPr>
              <w:t>​​</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offering costs in accrued expenses</w:t>
            </w:r>
          </w:p>
        </w:tc>
        <w:tc>
          <w:tcPr>
            <w:tcW w:w="320" w:type="dxa"/>
            <w:vAlign w:val="bottom"/>
            <w:gridSpan w:val="2"/>
            <w:shd w:val="clear" w:color="auto" w:fill="CCEEFF"/>
          </w:tcPr>
          <w:p>
            <w:pPr>
              <w:ind w:left="40"/>
              <w:spacing w:after="0" w:line="178"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vertAlign w:val="superscript"/>
              </w:rPr>
              <w:t>$</w:t>
            </w:r>
          </w:p>
        </w:tc>
        <w:tc>
          <w:tcPr>
            <w:tcW w:w="880" w:type="dxa"/>
            <w:vAlign w:val="bottom"/>
            <w:gridSpan w:val="3"/>
            <w:shd w:val="clear" w:color="auto" w:fill="CCEEFF"/>
          </w:tcPr>
          <w:p>
            <w:pPr>
              <w:jc w:val="right"/>
              <w:ind w:right="140"/>
              <w:spacing w:after="0" w:line="178" w:lineRule="exact"/>
              <w:rPr>
                <w:sz w:val="20"/>
                <w:szCs w:val="20"/>
                <w:color w:val="auto"/>
              </w:rPr>
            </w:pPr>
            <w:r>
              <w:rPr>
                <w:rFonts w:ascii="Times New Roman" w:cs="Times New Roman" w:eastAsia="Times New Roman" w:hAnsi="Times New Roman"/>
                <w:sz w:val="12"/>
                <w:szCs w:val="12"/>
                <w:color w:val="auto"/>
              </w:rPr>
              <w:t xml:space="preserve">1,388​ </w:t>
            </w:r>
            <w:r>
              <w:rPr>
                <w:rFonts w:ascii="Times New Roman" w:cs="Times New Roman" w:eastAsia="Times New Roman" w:hAnsi="Times New Roman"/>
                <w:sz w:val="20"/>
                <w:szCs w:val="20"/>
                <w:color w:val="auto"/>
                <w:vertAlign w:val="subscript"/>
              </w:rPr>
              <w:t>​​ ​​</w:t>
            </w: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0"/>
                <w:szCs w:val="20"/>
                <w:color w:val="auto"/>
                <w:vertAlign w:val="subscript"/>
              </w:rPr>
              <w:t>​​</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62"/>
        </w:trPr>
        <w:tc>
          <w:tcPr>
            <w:tcW w:w="49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Purchases of property and equipment in accrued expenses</w:t>
            </w:r>
          </w:p>
        </w:tc>
        <w:tc>
          <w:tcPr>
            <w:tcW w:w="3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8"/>
                <w:szCs w:val="18"/>
                <w:color w:val="auto"/>
                <w:vertAlign w:val="superscript"/>
              </w:rPr>
              <w:t>$</w:t>
            </w:r>
          </w:p>
        </w:tc>
        <w:tc>
          <w:tcPr>
            <w:tcW w:w="880" w:type="dxa"/>
            <w:vAlign w:val="bottom"/>
            <w:gridSpan w:val="3"/>
          </w:tcPr>
          <w:p>
            <w:pPr>
              <w:jc w:val="right"/>
              <w:ind w:right="140"/>
              <w:spacing w:after="0" w:line="162" w:lineRule="exact"/>
              <w:rPr>
                <w:sz w:val="20"/>
                <w:szCs w:val="20"/>
                <w:color w:val="auto"/>
              </w:rPr>
            </w:pPr>
            <w:r>
              <w:rPr>
                <w:rFonts w:ascii="Times New Roman" w:cs="Times New Roman" w:eastAsia="Times New Roman" w:hAnsi="Times New Roman"/>
                <w:sz w:val="11"/>
                <w:szCs w:val="11"/>
                <w:color w:val="auto"/>
              </w:rPr>
              <w:t xml:space="preserve">39​ </w:t>
            </w: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1"/>
                <w:szCs w:val="11"/>
                <w:color w:val="auto"/>
              </w:rPr>
              <w:t>$</w:t>
            </w:r>
          </w:p>
        </w:tc>
        <w:tc>
          <w:tcPr>
            <w:tcW w:w="5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vertAlign w:val="subscript"/>
              </w:rPr>
              <w:t>​​</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Disposal of property and equipment</w:t>
            </w:r>
          </w:p>
        </w:tc>
        <w:tc>
          <w:tcPr>
            <w:tcW w:w="320" w:type="dxa"/>
            <w:vAlign w:val="bottom"/>
            <w:gridSpan w:val="2"/>
            <w:shd w:val="clear" w:color="auto" w:fill="CCEEFF"/>
          </w:tcPr>
          <w:p>
            <w:pPr>
              <w:ind w:left="40"/>
              <w:spacing w:after="0" w:line="178"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vertAlign w:val="superscript"/>
              </w:rPr>
              <w:t>$</w:t>
            </w:r>
          </w:p>
        </w:tc>
        <w:tc>
          <w:tcPr>
            <w:tcW w:w="880" w:type="dxa"/>
            <w:vAlign w:val="bottom"/>
            <w:gridSpan w:val="3"/>
            <w:shd w:val="clear" w:color="auto" w:fill="CCEEFF"/>
          </w:tcPr>
          <w:p>
            <w:pPr>
              <w:jc w:val="right"/>
              <w:ind w:right="140"/>
              <w:spacing w:after="0" w:line="178" w:lineRule="exact"/>
              <w:rPr>
                <w:sz w:val="20"/>
                <w:szCs w:val="20"/>
                <w:color w:val="auto"/>
              </w:rPr>
            </w:pPr>
            <w:r>
              <w:rPr>
                <w:rFonts w:ascii="Times New Roman" w:cs="Times New Roman" w:eastAsia="Times New Roman" w:hAnsi="Times New Roman"/>
                <w:sz w:val="20"/>
                <w:szCs w:val="20"/>
                <w:color w:val="auto"/>
                <w:vertAlign w:val="superscript"/>
              </w:rPr>
              <w:t>7​</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0"/>
                <w:szCs w:val="20"/>
                <w:color w:val="auto"/>
                <w:vertAlign w:val="superscript"/>
              </w:rPr>
              <w:t>$</w:t>
            </w:r>
          </w:p>
        </w:tc>
        <w:tc>
          <w:tcPr>
            <w:tcW w:w="58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-1583055</wp:posOffset>
            </wp:positionV>
            <wp:extent cx="424180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-2447925</wp:posOffset>
            </wp:positionV>
            <wp:extent cx="424180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-2950210</wp:posOffset>
            </wp:positionV>
            <wp:extent cx="424180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-4624705</wp:posOffset>
            </wp:positionV>
            <wp:extent cx="424180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ind w:left="1160"/>
        <w:spacing w:after="0"/>
        <w:rPr>
          <w:sz w:val="20"/>
          <w:szCs w:val="20"/>
          <w:color w:val="auto"/>
        </w:rPr>
      </w:pPr>
      <w:r>
        <w:rPr>
          <w:rFonts w:ascii="Times New Roman" w:cs="Times New Roman" w:eastAsia="Times New Roman" w:hAnsi="Times New Roman"/>
          <w:sz w:val="13"/>
          <w:szCs w:val="13"/>
          <w:b w:val="1"/>
          <w:bCs w:val="1"/>
          <w:color w:val="auto"/>
        </w:rPr>
        <w:t>Reconciliation of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9525</wp:posOffset>
            </wp:positionV>
            <wp:extent cx="4241800" cy="1257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241800" cy="125730"/>
                    </a:xfrm>
                    <a:prstGeom prst="rect">
                      <a:avLst/>
                    </a:prstGeom>
                    <a:noFill/>
                  </pic:spPr>
                </pic:pic>
              </a:graphicData>
            </a:graphic>
          </wp:anchor>
        </w:drawing>
      </w:r>
    </w:p>
    <w:p>
      <w:pPr>
        <w:spacing w:after="0" w:line="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Cash</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536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241800" cy="153670"/>
                    </a:xfrm>
                    <a:prstGeom prst="rect">
                      <a:avLst/>
                    </a:prstGeom>
                    <a:noFill/>
                  </pic:spPr>
                </pic:pic>
              </a:graphicData>
            </a:graphic>
          </wp:anchor>
        </w:drawing>
      </w:r>
    </w:p>
    <w:p>
      <w:pPr>
        <w:spacing w:after="0" w:line="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Total cash and restricted cash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 ​</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8"/>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56,857​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67,209​ ​​</w:t>
            </w:r>
          </w:p>
        </w:tc>
      </w:tr>
      <w:tr>
        <w:trPr>
          <w:trHeight w:val="190"/>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86​ ​​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86​ ​​</w:t>
            </w: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0"/>
        </w:trPr>
        <w:tc>
          <w:tcPr>
            <w:tcW w:w="280" w:type="dxa"/>
            <w:vAlign w:val="bottom"/>
            <w:gridSpan w:val="2"/>
          </w:tcPr>
          <w:p>
            <w:pPr>
              <w:spacing w:after="0" w:line="189"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1"/>
                <w:szCs w:val="21"/>
                <w:color w:val="auto"/>
                <w:vertAlign w:val="superscript"/>
              </w:rPr>
              <w:t>$</w:t>
            </w:r>
          </w:p>
        </w:tc>
        <w:tc>
          <w:tcPr>
            <w:tcW w:w="860" w:type="dxa"/>
            <w:vAlign w:val="bottom"/>
            <w:gridSpan w:val="3"/>
          </w:tcPr>
          <w:p>
            <w:pPr>
              <w:jc w:val="right"/>
              <w:ind w:right="120"/>
              <w:spacing w:after="0" w:line="189" w:lineRule="exact"/>
              <w:rPr>
                <w:sz w:val="20"/>
                <w:szCs w:val="20"/>
                <w:color w:val="auto"/>
              </w:rPr>
            </w:pPr>
            <w:r>
              <w:rPr>
                <w:rFonts w:ascii="Times New Roman" w:cs="Times New Roman" w:eastAsia="Times New Roman" w:hAnsi="Times New Roman"/>
                <w:sz w:val="12"/>
                <w:szCs w:val="12"/>
                <w:color w:val="auto"/>
              </w:rPr>
              <w:t xml:space="preserve">56,943​ </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w:t>
            </w:r>
          </w:p>
        </w:tc>
        <w:tc>
          <w:tcPr>
            <w:tcW w:w="6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2"/>
                <w:szCs w:val="12"/>
                <w:color w:val="auto"/>
              </w:rPr>
              <w:t xml:space="preserve">67,295​ </w:t>
            </w:r>
            <w:r>
              <w:rPr>
                <w:rFonts w:ascii="Times New Roman" w:cs="Times New Roman" w:eastAsia="Times New Roman" w:hAnsi="Times New Roman"/>
                <w:sz w:val="21"/>
                <w:szCs w:val="21"/>
                <w:color w:val="auto"/>
                <w:vertAlign w:val="subscript"/>
              </w:rPr>
              <w:t>​​</w:t>
            </w:r>
          </w:p>
        </w:tc>
      </w:tr>
      <w:tr>
        <w:trPr>
          <w:trHeight w:val="20"/>
        </w:trPr>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2">
            <w:col w:w="5380" w:space="720"/>
            <w:col w:w="2919"/>
          </w:cols>
          <w:pgMar w:left="1440" w:top="98"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20" w:name="page221"/>
    <w:bookmarkEnd w:id="220"/>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 Nature of Business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Organization</w:t>
      </w:r>
    </w:p>
    <w:p>
      <w:pPr>
        <w:spacing w:after="0" w:line="128"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Zenas BioPharma, Inc. (“Zenas” or the “Company”) was incorporated in November 2019 as Zenas BioPharma (Cayman) Limited, an exempted company incorporated in the Cayman Islands with limited liability, and commenced operations in 2020. On August 2, 2023, the Company (then known as Zenas BioPharma (Cayman) Limited (“Zenas Cayman”)) de -registered from the Cayman Islands and registered by way of continuation in the State of Delaware. Zenas is a clinical-stage global biopharmaceutical company committed to being a leader in the development and commercialization of transformative immunology-based therapies for patients in need. The Company’s primary focus is to transform the lives of patients with unmet medical needs by developing and commercializing immune-based therapies. The Company has in-licensed and is developing several product candidates for the treatment of various auto -immune and rare diseases. The Company is headquartered in Waltham, Massachusetts and operates in one segment, which is the business of acquiring and developing immune-based therapies for potential commercialization.</w:t>
      </w:r>
    </w:p>
    <w:p>
      <w:pPr>
        <w:spacing w:after="0" w:line="101"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On December 27, 2019, Zenas formed Zenas BioPharma (HK) Limited (“Zenas HK”), a wholly owned subsidiary established in Hong Kong. On July 30, 2020, Zenas formed Zenas BioPharma (USA) LLC (“Zenas US”), a wholly owned subsidiary of Zenas. On November 11, 2021, Zenas HK formed Shanghai Zenas Biotechnology Co. Limited (“Zenas China”), a wholly foreign-owned enterprise of Zenas HK established in Shanghai, China. On November 15, 2023, Zenas formed Zenas Biopharma Securities Corporation, a wholly owned subsidiary of Zenas, which was incorporated as a Massachusetts Security Corporation.</w:t>
      </w:r>
    </w:p>
    <w:p>
      <w:pPr>
        <w:spacing w:after="0" w:line="261"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Since its inception, the Company has devoted its efforts principally to research and development and raising capital. The Company is subject to risks and uncertainties common to early-stage companies in the biopharmaceutical industry, including, but not limited to, completing preclinical studies and clinical trials, obtaining regulatory approval for product candidates, market acceptance of products, development by competitors of new technological innovations, dependence on key personnel, the ability to attract and retain qualified employees, reliance on third -party organizations, protection of proprietary technology, compliance with government regulations, and the ability to raise additional capital to fund operations. The Company’s revenues to date have been generated from payments received under the Company’s license agreement with Bristol- Myers Squibb Company (“BMS”) (see Note 8). The Company has not generated any revenue from product sales since inception, and its product candidates currently under development will require significant additional research and development efforts, including extensive clinical testing and regulatory approval prior to commercialization.</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Redomicile</w:t>
      </w:r>
    </w:p>
    <w:p>
      <w:pPr>
        <w:spacing w:after="0" w:line="128"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On August 2, 2023, Zenas Cayman de -registered from the Cayman Islands and registered by way of continuation in the State of Delaware, whereby the Company filed a Certificate of Domestication to incorporate in the State of Delaware (the “Redomicile”) under the name of Zenas BioPharma, Inc. In connection with the Redomicile, (i) the existing holders of convertible preferred stock and ordinary stock holders of Zenas Cayman exchanged their shares of Zenas Cayman for the same number and classes of common stock and convertible preferred stock of the Company on a one-to-one basis, with rights identical to the exchanged shares of Zenas Cayman; and (ii) all outstanding stock awards of Zenas Cayman under the Zenas BioPharma (Cayman) Limited 2020 Equity Incentive Plan (the “2020 Plan”) exercisable for ordinary stock, became outstanding awards of the Company, exercisable for common stock, with no other changes to the underlying terms of the awards.</w:t>
      </w:r>
    </w:p>
    <w:p>
      <w:pPr>
        <w:spacing w:after="0" w:line="98"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Upon completion of the Redomicile and name change, the historical consolidated financial statements of Zenas Cayman became the historical consolidated financial statements of Zenas BioPharma, Inc. For the period ended December 31, 2022, the ordinary stock is referred to as common stock throughout the consolidated financial statements and related footnotes for consistency with the presentation as of December 31, 2023. There was no impact on the consolidated financial statements as a result of the Redomicile and name change.</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1" w:name="page222"/>
    <w:bookmarkEnd w:id="22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 Nature of Business (Continued)</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Going Concern</w:t>
      </w:r>
    </w:p>
    <w:p>
      <w:pPr>
        <w:spacing w:after="0" w:line="128"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The Company has incurred operating losses and negative cash flows since its inception, including net losses of $37.1 million and $119.3 million in the years ended December 31, 2023 and 2022, respectively. As of December 31, 2023, the Company had an accumulated deficit of $ 230.4 million. The Company has not generated any product revenue since inception and has relied on its ability to fund its operations through collaboration arrangements, private equity and convertible debt financings. Management expects operating losses and negative operating cash flows to continue for the foreseeable future as it continues its research and development efforts, advances its product candidates through preclinical and clinical development, enhances its platforms and programs, expands its product pipeline, seeks regulatory approval, prepares for commercialization, hires additional personnel, protects its intellectual property and grows its business. As the Company continues to incur losses, transitioning to profitability is dependent upon the successful development, approval, and commercialization of its product candidates and the generation of sufficient revenues to support its cost structure.</w:t>
      </w:r>
    </w:p>
    <w:p>
      <w:pPr>
        <w:spacing w:after="0" w:line="98" w:lineRule="exact"/>
        <w:rPr>
          <w:sz w:val="20"/>
          <w:szCs w:val="20"/>
          <w:color w:val="auto"/>
        </w:rPr>
      </w:pPr>
    </w:p>
    <w:p>
      <w:pPr>
        <w:jc w:val="both"/>
        <w:ind w:left="1160" w:right="1179"/>
        <w:spacing w:after="0" w:line="235" w:lineRule="auto"/>
        <w:rPr>
          <w:sz w:val="20"/>
          <w:szCs w:val="20"/>
          <w:color w:val="auto"/>
        </w:rPr>
      </w:pPr>
      <w:r>
        <w:rPr>
          <w:rFonts w:ascii="Times New Roman" w:cs="Times New Roman" w:eastAsia="Times New Roman" w:hAnsi="Times New Roman"/>
          <w:sz w:val="15"/>
          <w:szCs w:val="15"/>
          <w:color w:val="auto"/>
        </w:rPr>
        <w:t>The Company expects that its existing cash of $56.9 million as of December 31, 2023, together with the $179.0 million of gross proceeds from the Series C convertible preferred stock financing (“Series C Preferred Stock”) in May 2024 (see Note 18), will be sufficient to fund its operating expenses and capital expenditure requirements for at least twelve months from the date these consolidated financial statements were available to be issued. The accompanying consolidated financial statements have been prepared on a going concern basis, which contemplates the realization of assets and the satisfaction of liabilities and commitments in the normal course of business. The Company will need additional financing to support its continuing operations and to pursue its growth strategy. Until such time as the Company can generate significant revenue from product sales, if ever, it expects to finance its operations through a combination of private equity financings, debt financings or other capital sources, including collaborations with other companies or other strategic transactions and licensing agreements. The Company may be unable to raise additional funds or enter into such other agreements when needed on favorable terms or at all. The inability to raise capital as and when needed could have a negative impact on the Company’s financial condition and its ability to pursue its business strategy. The Company will need to generate significant revenue to achieve profitability, and it may never do so.</w:t>
      </w:r>
    </w:p>
    <w:p>
      <w:pPr>
        <w:spacing w:after="0" w:line="103"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Company is seeking to complete an initial public offering (“IPO”) of its common stock. Upon the completion of an IPO, the Company’s outstanding convertible preferred stock will convert into shares of common stock (see Note 10).</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w:t>
      </w:r>
    </w:p>
    <w:p>
      <w:pPr>
        <w:spacing w:after="0" w:line="128"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The Company’s consolidated financial statements have been prepared in conformity with accounting principles generally accepted in the United States of America (“U.S. GAAP”) and reflect the operations of the Company and its wholly owned subsidiaries. All intercompany accounts, transactions and balances have been eliminated in consolidation.</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17"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U.S. GAAP requires management to make certain estimates and assumptions that affect the reported amounts of assets, liabilities, expenses, and related disclosures. The Company bases its estimates on historical experience, known trends and other market- specific factors or other relevant factors that it believes to be reasonable under the circumstances. The Company evaluates its estimates and assumptions on an ongoing basis using such factors and adjusts those estimates and assumptions as facts and circumstances dictate. Actual results may differ from those estimates or</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2" w:name="page223"/>
    <w:bookmarkEnd w:id="22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 (Continued)</w:t>
      </w:r>
    </w:p>
    <w:p>
      <w:pPr>
        <w:spacing w:after="0" w:line="181"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assumptions. Significant estimates in these consolidated financial statements include estimates made in connection with accrued research and development expenses, stock-based compensation and valuations of common stock, convertible debt, and warrants.</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Segment and Geographic Information</w:t>
      </w:r>
    </w:p>
    <w:p>
      <w:pPr>
        <w:spacing w:after="0" w:line="128"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Operating segments are defined as components of an enterprise for which separate and discrete information is available for evaluation by the chief operating decision-maker in deciding how to allocate resources and assess performance. The Company has one operating segment. The Company’s focus is acquiring, developing and commercializing safer and more effective immune-based therapies. The Company’s chief operating decision maker, its chief executive officer, manages the Company’s operations on a consolidated basis for the purpose of allocating resources. As the Company has one reportable segment, all required segment financial information is presented in the consolidated financial statements. As of December 31, 2023 and 2022, the Company’s long-lived assets held outside of the United States were immaterial.</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Concentrations of Credit Risk and Off-Balance Sheet Risk</w:t>
      </w:r>
    </w:p>
    <w:p>
      <w:pPr>
        <w:spacing w:after="0" w:line="117"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Financial instruments that potentially subject the Company to concentrations of credit risk consist of cash on deposit. The Company maintains its cash at high-quality and accredited financial institutions in amounts that could exceed federally insured limits. The Company does not believe that it is subject to unusual credit risk beyond the normal credit risk associated with commercial banking relationships. The Company’s investment policy includes guidelines on the quality of the institutions and financial instruments and defines allowable investments that the Company believes minimizes the exposure to concentration of credit risk. The Company has no financial instruments with off-balance-sheet risk of loss. Since inception, the Company has not held any cash equivalents.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Significant Suppliers</w:t>
      </w:r>
    </w:p>
    <w:p>
      <w:pPr>
        <w:spacing w:after="0" w:line="128"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Company is dependent on third-party manufacturers to supply products for research and development activities in its programs, including preclinical and clinical studies and testing. In particular, the Company relies on a single manufacturer, and expects to continue to rely on a single or small number of manufacturers to supply it with its requirements for the drug product related to these programs. These programs could be adversely affected by a significant interruption in the supply of drug substance and drug product.</w:t>
      </w:r>
    </w:p>
    <w:p>
      <w:pPr>
        <w:spacing w:after="0" w:line="30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w:t>
      </w:r>
    </w:p>
    <w:p>
      <w:pPr>
        <w:spacing w:after="0" w:line="128"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A subsidiary’s functional currency is the currency of the primary economic environment in which the subsidiary operates; normally, that is the currency of the environment in which a subsidiary primarily generates and expends cash. In making the determination of the appropriate functional currency for a subsidiary, the Company considers cash flow indicators, local market indicators, financing indicators and the subsidiary’s relationship with both the parent company and other subsidiaries. For subsidiaries that are primarily a direct and integral component or extension of the parent entity’s operations, the U.S. dollar is the functional currency.</w:t>
      </w:r>
    </w:p>
    <w:p>
      <w:pPr>
        <w:spacing w:after="0" w:line="99"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For each foreign subsidiary with a functional currency other than the U.S. dollar, assets and liabilities are translated at current exchange rates at the balance sheet date. Expense items are translated at average currency exchange rates in effect during each period. Adjustments resulting from the translation of these subsidiaries’ financial statements into U.S. dollars are excluded from the determination of net loss and are recorded in accumulated other comprehensive loss, a separate component of stockholders’ deficit. For foreign subsidiaries with the U.S. dollar as the functional currency, monetary assets and liabilities are re-measured into U.S. dollars at current exchange rates at the balance sheet date. Nonmonetary assets and liabilities are re-measured into U.S. dollars at historical exchange rates. Expense items are translated at average currency exchange rates in effect during each period.</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3" w:name="page224"/>
    <w:bookmarkEnd w:id="22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 (Continued)</w:t>
      </w:r>
    </w:p>
    <w:p>
      <w:pPr>
        <w:spacing w:after="0" w:line="181"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Realized and unrealized foreign currency transaction gains and losses are recorded in other (non-operating) income or expense in the consolidated statements of operations and comprehensive loss. Realized foreign currency transaction gains and losses were immaterial for each of the years ended December 31, 2023 and 2022.</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w:t>
      </w:r>
    </w:p>
    <w:p>
      <w:pPr>
        <w:spacing w:after="0" w:line="128"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The Company considers all highly liquid investments with original or remaining maturity from the date of purchase of three months or less to be cash equivalents. Cash and cash equivalents include bank demand deposits. Since inception, the Company has not held any cash equivalents.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Restricted Cash</w:t>
      </w:r>
    </w:p>
    <w:p>
      <w:pPr>
        <w:spacing w:after="0" w:line="128"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Restricted cash consists of cash held as collateral for a letter of credit the Company issued as a security deposit for its lease of office space in Waltham, MA.</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Fair Value of Financial Instruments</w:t>
      </w:r>
    </w:p>
    <w:p>
      <w:pPr>
        <w:spacing w:after="0" w:line="115"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 xml:space="preserve">ASC Topic 820, </w:t>
      </w:r>
      <w:r>
        <w:rPr>
          <w:rFonts w:ascii="Times New Roman" w:cs="Times New Roman" w:eastAsia="Times New Roman" w:hAnsi="Times New Roman"/>
          <w:sz w:val="15"/>
          <w:szCs w:val="15"/>
          <w:i w:val="1"/>
          <w:iCs w:val="1"/>
          <w:color w:val="auto"/>
        </w:rPr>
        <w:t>Fair Value Measurement</w:t>
      </w:r>
      <w:r>
        <w:rPr>
          <w:rFonts w:ascii="Times New Roman" w:cs="Times New Roman" w:eastAsia="Times New Roman" w:hAnsi="Times New Roman"/>
          <w:sz w:val="15"/>
          <w:szCs w:val="15"/>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assets or liability and are developed based on the best information available in the circumstances. ASC 820 identifies fair value as the price that would be received to sell an asset or paid to transfer a liability, in an orderly transaction between market participants at the measurement date.</w:t>
      </w:r>
    </w:p>
    <w:p>
      <w:pPr>
        <w:spacing w:after="0" w:line="279"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As a basis for considering market participant assumptions in fair value measurements, ASC 820 establishes a three-tiered value hierarchy that distinguishes between the following:</w:t>
      </w:r>
    </w:p>
    <w:p>
      <w:pPr>
        <w:spacing w:after="0" w:line="8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i w:val="1"/>
          <w:iCs w:val="1"/>
          <w:color w:val="auto"/>
        </w:rPr>
        <w:t xml:space="preserve">Level 1— </w:t>
      </w:r>
      <w:r>
        <w:rPr>
          <w:rFonts w:ascii="Times New Roman" w:cs="Times New Roman" w:eastAsia="Times New Roman" w:hAnsi="Times New Roman"/>
          <w:sz w:val="15"/>
          <w:szCs w:val="15"/>
          <w:color w:val="auto"/>
        </w:rPr>
        <w:t>Quoted market prices in active markets for identical assets or liabilities.</w:t>
      </w:r>
    </w:p>
    <w:p>
      <w:pPr>
        <w:spacing w:after="0" w:line="113" w:lineRule="exact"/>
        <w:rPr>
          <w:sz w:val="20"/>
          <w:szCs w:val="20"/>
          <w:color w:val="auto"/>
        </w:rPr>
      </w:pPr>
    </w:p>
    <w:p>
      <w:pPr>
        <w:jc w:val="both"/>
        <w:ind w:left="1460" w:right="1179"/>
        <w:spacing w:after="0" w:line="272" w:lineRule="auto"/>
        <w:rPr>
          <w:sz w:val="20"/>
          <w:szCs w:val="20"/>
          <w:color w:val="auto"/>
        </w:rPr>
      </w:pPr>
      <w:r>
        <w:rPr>
          <w:rFonts w:ascii="Times New Roman" w:cs="Times New Roman" w:eastAsia="Times New Roman" w:hAnsi="Times New Roman"/>
          <w:sz w:val="15"/>
          <w:szCs w:val="15"/>
          <w:i w:val="1"/>
          <w:iCs w:val="1"/>
          <w:color w:val="auto"/>
        </w:rPr>
        <w:t xml:space="preserve">Level 2— </w:t>
      </w:r>
      <w:r>
        <w:rPr>
          <w:rFonts w:ascii="Times New Roman" w:cs="Times New Roman" w:eastAsia="Times New Roman" w:hAnsi="Times New Roman"/>
          <w:sz w:val="15"/>
          <w:szCs w:val="15"/>
          <w:color w:val="auto"/>
        </w:rPr>
        <w:t>Inputs other than Level 1 inputs that are either directly or indirectly observable, such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quoted market prices, interest rates and yield curves.</w:t>
      </w:r>
    </w:p>
    <w:p>
      <w:pPr>
        <w:spacing w:after="0" w:line="81" w:lineRule="exact"/>
        <w:rPr>
          <w:sz w:val="20"/>
          <w:szCs w:val="20"/>
          <w:color w:val="auto"/>
        </w:rPr>
      </w:pPr>
    </w:p>
    <w:p>
      <w:pPr>
        <w:jc w:val="both"/>
        <w:ind w:left="1460" w:right="1179"/>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Level 3— </w:t>
      </w:r>
      <w:r>
        <w:rPr>
          <w:rFonts w:ascii="Times New Roman" w:cs="Times New Roman" w:eastAsia="Times New Roman" w:hAnsi="Times New Roman"/>
          <w:sz w:val="15"/>
          <w:szCs w:val="15"/>
          <w:color w:val="auto"/>
        </w:rPr>
        <w:t>Unobservable inputs for the asset or liability (i.e. supported by little or no market activity).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Level 3 inputs include management’s own assumptions about the assumptions that market participants would use in pricing the asset or liability (including assumptions about risk).</w:t>
      </w:r>
    </w:p>
    <w:p>
      <w:pPr>
        <w:spacing w:after="0" w:line="94"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To the extent the valuation is based on models or inputs that are less observable or unobservable in the market, the determination of fair values requires more judgement. Accordingly, the degree of judgement exercised by the Company in determining fair value is greatest for instruments categorized as Level 3. A financial instrument’s level within the fair value hierarchy is based on the lowest level of any input that is significant to the fair value measurement. There were no changes to the valuation methods utilized by the Company during the years ended December 31, 2023 and 2022.</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Impairment of long-lived assets</w:t>
      </w:r>
    </w:p>
    <w:p>
      <w:pPr>
        <w:spacing w:after="0" w:line="117"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Company reviews long-lived assets when events or changes in circumstances indicate the carrying value of the assets may not be recoverable. Recoverability is measured by comparison of an asset’s book value to the estimated undiscounted future net cash flows that the asset is expected to generate. If the estimated future undiscounted net cash flows are less than the book value, the asset is considered impaired, and the impairment loss to be recognized in income is measured as the amount by which the book value of the asset exceeds its fair</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4" w:name="page225"/>
    <w:bookmarkEnd w:id="22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 (Continued)</w:t>
      </w:r>
    </w:p>
    <w:p>
      <w:pPr>
        <w:spacing w:after="0" w:line="181"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value, which is measured based on the estimated discounted future net cash flows that the asset is expected to generate. There were no impairment losses recognized during the years ended December 31, 2023 and 2022.</w:t>
      </w:r>
    </w:p>
    <w:p>
      <w:pPr>
        <w:spacing w:after="0" w:line="3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Deferred Offering Costs</w:t>
      </w:r>
    </w:p>
    <w:p>
      <w:pPr>
        <w:spacing w:after="0" w:line="128"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The Company capitalizes legal, professional accounting and other third-party fees that are directly associated with the planned IPO as other non-current assets until the IPO is consummated. After consummation of the IPO, these costs will be recorded in stockholders’ deficit as a reduction of additional paid-in-capital generated as a result of the offering. If the Company terminates its plan for an IPO, any costs deferred will be expensed immediately. As of December 31, 2023, the Company had $1.4 million in deferred offering costs, which were included in other assets and accrued expenses. No deferred offering costs were recorded as of December 31, 2022.</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Collaboration Revenue</w:t>
      </w:r>
    </w:p>
    <w:p>
      <w:pPr>
        <w:spacing w:after="0" w:line="128"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Company enters into license and collaboration arrangements with third parties, under which the Company licenses or may license rights to certain of the Company’s product candidates and performs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w:t>
      </w:r>
    </w:p>
    <w:p>
      <w:pPr>
        <w:spacing w:after="0" w:line="97" w:lineRule="exact"/>
        <w:rPr>
          <w:sz w:val="20"/>
          <w:szCs w:val="20"/>
          <w:color w:val="auto"/>
        </w:rPr>
      </w:pPr>
    </w:p>
    <w:p>
      <w:pPr>
        <w:jc w:val="both"/>
        <w:ind w:left="1160" w:right="1179"/>
        <w:spacing w:after="0" w:line="241" w:lineRule="auto"/>
        <w:rPr>
          <w:sz w:val="20"/>
          <w:szCs w:val="20"/>
          <w:color w:val="auto"/>
        </w:rPr>
      </w:pPr>
      <w:r>
        <w:rPr>
          <w:rFonts w:ascii="Times New Roman" w:cs="Times New Roman" w:eastAsia="Times New Roman" w:hAnsi="Times New Roman"/>
          <w:sz w:val="15"/>
          <w:szCs w:val="15"/>
          <w:color w:val="auto"/>
        </w:rPr>
        <w:t>One of the Company’s collaboration agreements is a strategic license and collaboration agreement with BMS (see Note 8), under which the Company licenses rights to obexelimab in Japan, South Korea, Taiwan, Singapore, Hong Kong and Australia.</w:t>
      </w:r>
    </w:p>
    <w:p>
      <w:pPr>
        <w:spacing w:after="0" w:line="96"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 xml:space="preserve">At contract inception, the Company analyzes its collaboration and license arrangements to assess whether such arrangements are within the scope of ASC Topic 808, </w:t>
      </w:r>
      <w:r>
        <w:rPr>
          <w:rFonts w:ascii="Times New Roman" w:cs="Times New Roman" w:eastAsia="Times New Roman" w:hAnsi="Times New Roman"/>
          <w:sz w:val="15"/>
          <w:szCs w:val="15"/>
          <w:i w:val="1"/>
          <w:iCs w:val="1"/>
          <w:color w:val="auto"/>
        </w:rPr>
        <w:t>Collaborative Arrangements</w:t>
      </w:r>
      <w:r>
        <w:rPr>
          <w:rFonts w:ascii="Times New Roman" w:cs="Times New Roman" w:eastAsia="Times New Roman" w:hAnsi="Times New Roman"/>
          <w:sz w:val="15"/>
          <w:szCs w:val="15"/>
          <w:color w:val="auto"/>
        </w:rPr>
        <w:t xml:space="preserve"> (“ASC 808”). This assessment is performed throughout the life of the arrangement based on changes in the responsibilities of all parties in the arrangement. For collaboration arrangements within the scope of ASC 808 that contain multiple units of account, the Company first determines which units of the collaboration are deemed to be within the scope of ASC 808 and which units of the collaboration are more reflective of a vendor-customer relationship and therefore within the scope of ASC Topic 606,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 xml:space="preserve"> (“ASC 606”).</w:t>
      </w:r>
    </w:p>
    <w:p>
      <w:pPr>
        <w:spacing w:after="0" w:line="254"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Contracts are considered to be collaborative arrangements when they satisfy the following criteria defined in ASC 808: (i) the parties to the contract must actively participate in the joint operating activity and (ii) the joint operating activity must expose the parties to the possibility of significant risks and rewards, based on whether or not the activity is successful. For elements of collaboration arrangements that are accounted for pursuant to ASC 808, an appropriate recognition method is determined and applied consistently, either by analogy to authoritative accounting literature or by applying a reasonable and rational policy election. Payments received from or made to a partner that are the result of a collaborative relationship with a partner, instead of a customer relationship, such as co-development activities, are recorded as a reduction or increase to research and development expense, respectively.</w:t>
      </w:r>
    </w:p>
    <w:p>
      <w:pPr>
        <w:spacing w:after="0" w:line="98"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For the units of account within the scope of ASC 606, to determine the appropriate amount of revenue to be recognized for the arrangements, the Company performs the following five steps: (i) identification of the promised goods or services in the contract; (ii) determination of whether the promised goods or services are performance obligations including whether they are distinct;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w:t>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5" w:name="page226"/>
    <w:bookmarkEnd w:id="22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 (Continued)</w:t>
      </w:r>
    </w:p>
    <w:p>
      <w:pPr>
        <w:spacing w:after="0" w:line="181"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promised goods or services in the Company’s arrangements typically consist of a license to the Company’s intellectual property and research and development services. The Company provides options to additional items in such arrangements, which are accounted for as separate contracts when the customer elects to exercise such options, unless the option provides a material right to the customer.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p>
    <w:p>
      <w:pPr>
        <w:spacing w:after="0" w:line="245"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The Company estimates the transaction price based on the amount expected to be received for transferring the promised goods or services in the contract. The consideration may include fixed consideration and variable consideration. At the inception of each arrangement that includes variable consideration, the Company evaluates the amount of potential payment and the likelihood that the payments will be received. The Company utilizes either the most likely amount method or expected value method to estimate the amount expected to be received based on which 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w:t>
      </w:r>
    </w:p>
    <w:p>
      <w:pPr>
        <w:spacing w:after="0" w:line="98"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The Company’s contracts often include development and regulatory milestone payments that are assessed under the most likely amount method and constrained if it is probable that a significant revenue reversal would occur. Due to the uncertainty of research and development and regulatory based milestones that are not within the control of the Company, payment becomes probable upon achievement. At the end of each reporting period, the Company re-evaluates the probability of achievement of such development and clinical milestones and any related constraint, and if necessary, adjusts its estimate of the overall transaction price. Any such adjustments are recorded on a cumulative catch-up basis, which would affect research collaboration revenue in the period of adjustment. Any amounts due to the Company but not received as of period-end will be recorded to other current assets.</w:t>
      </w:r>
    </w:p>
    <w:p>
      <w:pPr>
        <w:spacing w:after="0" w:line="99"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For arrangements that include sales -based royalties, including milestone payments based on the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the Company’s collaboration arrangements.</w:t>
      </w:r>
    </w:p>
    <w:p>
      <w:pPr>
        <w:spacing w:after="0" w:line="269"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The Company allocates the transaction price based on the estimated standalone selling price. The Company must develop assumptions that require judgment to determine the stand- alone selling price for each performance obligation identified in the contract. The Company utilizes key assumptions to determine the stand-alone selling price, which may include other comparable transactions, pricing considered in negotiating the transaction and the estimated costs including a reasonable margin.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 The consideration allocated to each performance obligation is recognized as revenue when control is transferred for the related goods or services.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128"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Research and development costs include (i) employee-related expenses, including salaries, benefits, and stock- based compensation expense; (ii) external research and development expenses incurred under arrangements</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6" w:name="page227"/>
    <w:bookmarkEnd w:id="22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 (Continued)</w:t>
      </w:r>
    </w:p>
    <w:p>
      <w:pPr>
        <w:spacing w:after="0" w:line="181"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with third parties, such as CRO agreements and consultants; (iii) costs associated with preclinical activities and (iv) lab supplies, lab expenses and an allocation of rent, depreciation, and infrastructure. Costs incurred in connection with research and development activities are expensed as incurred.</w:t>
      </w:r>
    </w:p>
    <w:p>
      <w:pPr>
        <w:spacing w:after="0" w:line="89"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Costs are considered incurred based on an evaluation of the progress to completion of specific tasks under each contract using information and data, such as patient enrollment or clinical site activations, provided by the Company’s clinical sites and vendors. These costs consist of direct and indirect costs associated with specific projects, as well as fees paid to various entities that perform certain research on behalf of the Company. Depending upon the timing of payments to the service providers, the Company recognizes prepaid expenses or accrued expenses related to these costs. These accrued or prepaid expenses are based on management’s estimates of the work performed under service agreements, milestones achieved, and experience with similar contracts. Milestone payments under license agreements are accrued, with a corresponding expense being recognized, in the period in which the milestone is determined to be probable of achievement and the related amount is reasonably estimable. The Company monitors each of these factors and adjusts estimates accordingly. The Company has not experienced any material differences between accrued costs and actual costs incurred since its inception.</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Asset Acquisitions and Acquired In-Process Research and Development Expense</w:t>
      </w:r>
    </w:p>
    <w:p>
      <w:pPr>
        <w:spacing w:after="0" w:line="128"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Company accounts for acquisitions of assets or a group of assets that do not meet the definition of a business as asset acquisitions based on the cost to acquire the asset or group of assets, which include certain transaction costs. In an asset acquisition, the cost to acquire is allocated to the identifiable assets acquired and liabilities assumed based on their relative fair values as of the acquisition date. No goodwill is recorded in an asset acquisition. Assets that are acquired in an asset acquisition for use in research and development activities that have an alternative future use are capitalized as in process research and development (“IPR&amp;D”). Acquired IPR&amp;D that has no alternative future use as of the acquisition date is recognized as IPR&amp;D expense as of the acquisition date. The Company will recognize additional IPR&amp;D expenses in the future if and when the Company becomes obligated to make contingent milestone payments under the terms of the agreements by which it acquired the IPR&amp;D assets. The Company classifies payments made for the acquisition of IPR&amp;D assets, whether capitalized or expensed, as investing activities on its statement of cash flows.</w:t>
      </w:r>
    </w:p>
    <w:p>
      <w:pPr>
        <w:spacing w:after="0" w:line="234"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Contingent consideration in the form of milestone payments related to IPR&amp;D with no alternative future use are charged to expense when the related milestone is achieved and becomes payable. For the year ended December 31, 2023, the Company recognized $10.0 million of IPR&amp;D expense in connection with the consideration due under the 2021 Xencor Agreement (see Note 9). For the year ended December 31, 2022, the Company recognized $1.0 million of IPR&amp;D expense in connection with the consideration due under the Viridian Agreement (see Note 9).</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Comprehensive Loss</w:t>
      </w:r>
    </w:p>
    <w:p>
      <w:pPr>
        <w:spacing w:after="0" w:line="128"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Comprehensive loss is defined as the change in equity of a business enterprise during a period from transactions and other events and circumstances from non-owner sources. Comprehensive loss consists of net loss and other comprehensive loss. During the years ended December 31, 2023 and 2022, the Company’s only element of other comprehensive loss was foreign currency translation adjustments.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Leases</w:t>
      </w:r>
    </w:p>
    <w:p>
      <w:pPr>
        <w:spacing w:after="0" w:line="117"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Company determines if an arrangement is a lease at inception. Operating leases are included in right-of-use lease assets (“ROU assets”), current portion of lease obligations and long-term lease obligations on the Company’s consolidated balance sheet. Assets subject to finance leases are included in property and equipment, and the related lease obligation is included in other current liabilities and other long-term liabilities on the Company’s consolidated balance sheet. Lease assets are tested for impairment in the same manner as</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7" w:name="page228"/>
    <w:bookmarkEnd w:id="22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 (Continued)</w:t>
      </w:r>
    </w:p>
    <w:p>
      <w:pPr>
        <w:spacing w:after="0" w:line="181"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long-lived assets used in operations. Lease expense for operating leases is recognized on a straight-line basis over the lease term as an operating expense, while expense for financing leases is recognized as depreciation expense (classified as an operating expense) and interest expense (classified as a non-operating expense) using the effective interest method. The Company has elected the short-term lease recognition exemption for short-term leases, which allows the Company not to recognize lease liabilities and ROU assets on the consolidated balance sheet for leases with an original term of twelve months or less.</w:t>
      </w:r>
    </w:p>
    <w:p>
      <w:pPr>
        <w:spacing w:after="0" w:line="97"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ROU assets represent the Company’s right to use an underlying asset for the lease term, and lease obligations represent the Company’s obligation to make lease payments arising from the lease. Operating lease liabilities and their corresponding ROU assets are initially recognized based on the present value of lease payments over the expected remaining lease term. When determining the lease term, the Company includes options to extend or terminate the lease when it is reasonably certain that the Company will exercise the option. Certain adjustments to the ROU asset may be required for items such as incentives received from the lessor. The interest rate implicit in lease contracts is typically not readily determinable. Therefore, the Company utilizes its incremental borrowing rate to discount lease payments. The incremental borrowing rate reflects the fixed rate at which the Company could borrow, on a collateralized basis, the amount of the lease payments in the same currency, for a similar term, in a similar economic environment. Prospectively, the Company will adjust the ROU assets for straight-line rent expense, or any incentives received and remeasures the lease liability at the net present value using the same incremental borrowing rate that was in effect as of the lease commencement or transition date. The Company generally accounts for non-lease components together with lease components. The Company expenses variable payments included in a lease arrangement as such expenses are incurred.</w:t>
      </w:r>
    </w:p>
    <w:p>
      <w:pPr>
        <w:spacing w:after="0" w:line="2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26"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 xml:space="preserve">The Company accounts for income taxes in accordance with ASC Topic 740, </w:t>
      </w:r>
      <w:r>
        <w:rPr>
          <w:rFonts w:ascii="Times New Roman" w:cs="Times New Roman" w:eastAsia="Times New Roman" w:hAnsi="Times New Roman"/>
          <w:sz w:val="15"/>
          <w:szCs w:val="15"/>
          <w:i w:val="1"/>
          <w:iCs w:val="1"/>
          <w:color w:val="auto"/>
        </w:rPr>
        <w:t>Accounting for Income Taxes</w:t>
      </w:r>
      <w:r>
        <w:rPr>
          <w:rFonts w:ascii="Times New Roman" w:cs="Times New Roman" w:eastAsia="Times New Roman" w:hAnsi="Times New Roman"/>
          <w:sz w:val="15"/>
          <w:szCs w:val="15"/>
          <w:color w:val="auto"/>
        </w:rPr>
        <w:t>, which provides for deferred taxes using an asset and liability approach. The Company recognizes deferred tax assets and liabilities for the expected future tax consequences of events that have been included in the financial statements or tax returns. The Company determines its deferred tax assets and liabilities based on differences between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deferred tax assets will not be realized.</w:t>
      </w:r>
    </w:p>
    <w:p>
      <w:pPr>
        <w:spacing w:after="0" w:line="101"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The Company accounts for uncertain tax positions recognized in the consolidated financial statements by prescribing a “more likely than not” threshold for financial statement recognition and measurement of a tax position taken or expected to be taken in a tax return. There are no unrecognized tax benefits included in the Company’s consolidated balance sheets as of December 31, 2023 and 2022. The Company’s policy is to recognize interest and penalties related to income tax matters in income tax expense. The Company has not recognized interest or penalties related to uncertain tax positions in its consolidated statements of operations and comprehensive loss since inception.</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28"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The Company grants stock-based awards to employees, non-employee consultants and members of its board of directors (the “Board”). Stock -based compensation is recognized as expense for each stock -based award based on its estimated fair value. The Company’s share-based payments include stock options and grants of common stock. The value of the award is recognized as expense on a straight-line basis over the requisite service period, and expense is adjusted for pre-vesting forfeitures in the period in which the forfeitures occur. Stock-based compensation expense is classified in the accompanying consolidated statements of operations and comprehensive loss in the same manner in which the award recipient’s payroll costs are classified or in which the award recipients service payments are classified.</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8" w:name="page229"/>
    <w:bookmarkEnd w:id="22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 (Continued)</w:t>
      </w:r>
    </w:p>
    <w:p>
      <w:pPr>
        <w:spacing w:after="0" w:line="181"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The Company determines the fair value of each restricted stock award (“RSA”) at its grant date based on the estimated fair value of the Company’s common stock on that date as determined by the Board. The Company determines the fair value of each stock option award at its grant date using the Black-Scholes option pricing model, which requires inputs based on certain subjective assumptions. The Board determines the fair value of the Company’s common stock, taking into consideration its most recently available third-party valuations of common stock and as well as additional factors which may have changed since the date of the most recent contemporaneous valuation through the grant date. The Company has historically been a private company and lacks company-specific historical and implied volatility information. The Company estimates its expected stock volatility based on the historical volatility of a publicly traded set of representative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 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Convertible Preferred Stock</w:t>
      </w:r>
    </w:p>
    <w:p>
      <w:pPr>
        <w:spacing w:after="0" w:line="117"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The Company has classified convertible preferred stock as temporary equity (between liabilities and stockholders deficit) in the accompanying consolidated balance sheet because it could become redeemable due to certain change in control clauses that are outside of the Company’s control. The convertible preferred stock is not redeemable, except in the event of a deemed liquidation event (see Note 10, “Convertible Preferred Stock”).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Net Loss Per Share</w:t>
      </w:r>
    </w:p>
    <w:p>
      <w:pPr>
        <w:spacing w:after="0" w:line="128"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Basic net loss per share is computed by dividing net loss by the weighted-average number of common shares outstanding during the period. Diluted net loss per share is computed using the weighted-average number of common shares outstanding during the period and, if dilutive, the weighted-average number of potential shares of common stock. Net loss per share attributable to common stockholders is calculated using the two- class method, which is an earnings allocation formula that determines net loss per share for the holders of the Company’s common shares and participating securities. The Company’s convertible preferred stock contains participation rights in any dividend paid by the Company and is deemed to be a participating security. Net loss attributable to common stockholders and participating preferred shares are allocated to each share on an as-converted basis as if all of the earnings for the period had been distributed. The participating securities do not include a contractual obligation to share in losses of the Company and are not included in the calculation of net loss per share in the periods in which a net loss is recorded.</w:t>
      </w:r>
    </w:p>
    <w:p>
      <w:pPr>
        <w:spacing w:after="0" w:line="101"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Diluted net loss per share is computed using the more dilutive of (a) the two-class method or (b) the if-converted method. The Company allocates earnings first to preferred stockholders based on dividend rights and then to common and preferred stockholders based on ownership interests. The weighted-average number of common shares included in the computation of diluted net loss per share gives effect to all potentially dilutive common equivalent shares, including outstanding stock options and preferred stock.</w:t>
      </w:r>
    </w:p>
    <w:p>
      <w:pPr>
        <w:spacing w:after="0" w:line="97"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9" w:name="page230"/>
    <w:bookmarkEnd w:id="22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 (Continued)</w:t>
      </w:r>
    </w:p>
    <w:p>
      <w:pPr>
        <w:spacing w:after="0" w:line="181"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their effect is antidilutive. The Company reported a net loss attributable to common stockholders for the years ended December 31, 2023 and 2022.</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Pronouncements</w:t>
      </w:r>
    </w:p>
    <w:p>
      <w:pPr>
        <w:spacing w:after="0" w:line="128"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The Jumpstart Our Business Startups Act of 2012 (“JOBS Act”) permits an emerging growth company to take advantage of an extended transition period to comply with new or revised accounting standards applicable to public companies until those standards would otherwise apply to private companies. As an emerging growth company (“EGC”), the Company has elected to take advantage of this extended transition period for certain new accounting standards, and as a result of this election, its financial statements may not be comparable to companies that comply with public company effective dates. The JOBS Act also exempts the Company from having to provide an auditor attestation of internal controls over financial reporting under Sarbanes-Oxley Act Section 404(b).</w:t>
      </w:r>
    </w:p>
    <w:p>
      <w:pPr>
        <w:spacing w:after="0" w:line="101"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 xml:space="preserve">In November 2023, the Financial Accounting Standard Board (“FASB”) issued Accounting Standard Update (“ASU”) 2023-07, </w:t>
      </w:r>
      <w:r>
        <w:rPr>
          <w:rFonts w:ascii="Times New Roman" w:cs="Times New Roman" w:eastAsia="Times New Roman" w:hAnsi="Times New Roman"/>
          <w:sz w:val="15"/>
          <w:szCs w:val="15"/>
          <w:i w:val="1"/>
          <w:iCs w:val="1"/>
          <w:color w:val="auto"/>
        </w:rPr>
        <w:t>Segment Reporting (Topic 280)—Improvements to Reportable Segment Disclosures</w:t>
      </w:r>
      <w:r>
        <w:rPr>
          <w:rFonts w:ascii="Times New Roman" w:cs="Times New Roman" w:eastAsia="Times New Roman" w:hAnsi="Times New Roman"/>
          <w:sz w:val="15"/>
          <w:szCs w:val="15"/>
          <w:color w:val="auto"/>
        </w:rPr>
        <w:t>, which is intended to improve reportable segment disclosure requirements, primarily through additional disclosures about significant segment expenses. The standard is effective for the Company beginning in fiscal year 2024, with early adoption permitted. The amendments should be applied retroactively to all prior periods presented in the financial statements. The Company is currently evaluating the impact of ASU 2023-07 on the consolidated financial statements and related disclosures.</w:t>
      </w:r>
    </w:p>
    <w:p>
      <w:pPr>
        <w:spacing w:after="0" w:line="91"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 xml:space="preserve">In December 2023, the FASB issued ASU 2023-09, </w:t>
      </w:r>
      <w:r>
        <w:rPr>
          <w:rFonts w:ascii="Times New Roman" w:cs="Times New Roman" w:eastAsia="Times New Roman" w:hAnsi="Times New Roman"/>
          <w:sz w:val="15"/>
          <w:szCs w:val="15"/>
          <w:i w:val="1"/>
          <w:iCs w:val="1"/>
          <w:color w:val="auto"/>
        </w:rPr>
        <w:t>Income Taxes (Topic 740)—Improvements to Income Tax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Disclosures</w:t>
      </w:r>
      <w:r>
        <w:rPr>
          <w:rFonts w:ascii="Times New Roman" w:cs="Times New Roman" w:eastAsia="Times New Roman" w:hAnsi="Times New Roman"/>
          <w:sz w:val="15"/>
          <w:szCs w:val="15"/>
          <w:color w:val="auto"/>
        </w:rPr>
        <w:t>. The new standard requires a company to expand its existing income tax disclosures,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specifically related to the rate reconciliation and income taxes paid. The standard is effective for the Company beginning in fiscal year 2025, with early adoption permitted. The Company does not expect to early adopt the new standard. The new standard is expected to be applied prospectively, but retrospective application is permitted. The Company is currently evaluating the impact of ASU 2023-09 on the consolidated financial statements and related disclosures.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3. Fair Value Measurement</w:t>
      </w:r>
    </w:p>
    <w:p>
      <w:pPr>
        <w:spacing w:after="0" w:line="126"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The Company had no assets or liabilities utilizing fair value measurements as of December 31, 2022. The following table presents information about the Company’s financial assets and liabilities measured at fair value on a recurring basis (in thousands):</w:t>
      </w:r>
    </w:p>
    <w:p>
      <w:pPr>
        <w:spacing w:after="0" w:line="100"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2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380" w:type="dxa"/>
            <w:vAlign w:val="bottom"/>
          </w:tcPr>
          <w:p>
            <w:pPr>
              <w:ind w:left="6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bottom w:val="single" w:sz="8" w:color="auto"/>
            </w:tcBorders>
            <w:gridSpan w:val="2"/>
          </w:tcPr>
          <w:p>
            <w:pPr>
              <w:spacing w:after="0"/>
              <w:rPr>
                <w:sz w:val="16"/>
                <w:szCs w:val="16"/>
                <w:color w:val="auto"/>
              </w:rPr>
            </w:pPr>
          </w:p>
        </w:tc>
        <w:tc>
          <w:tcPr>
            <w:tcW w:w="1180" w:type="dxa"/>
            <w:vAlign w:val="bottom"/>
            <w:tcBorders>
              <w:bottom w:val="single" w:sz="8" w:color="auto"/>
            </w:tcBorders>
            <w:gridSpan w:val="6"/>
          </w:tcPr>
          <w:p>
            <w:pPr>
              <w:jc w:val="right"/>
              <w:ind w:right="34"/>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Balance Sheet Classification</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Level 1 </w:t>
            </w:r>
            <w:r>
              <w:rPr>
                <w:rFonts w:ascii="Times New Roman" w:cs="Times New Roman" w:eastAsia="Times New Roman" w:hAnsi="Times New Roman"/>
                <w:sz w:val="21"/>
                <w:szCs w:val="21"/>
                <w:b w:val="1"/>
                <w:bCs w:val="1"/>
                <w:color w:val="auto"/>
                <w:vertAlign w:val="subscript"/>
              </w:rPr>
              <w:t>​</w:t>
            </w: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Level 2 </w:t>
            </w:r>
            <w:r>
              <w:rPr>
                <w:rFonts w:ascii="Times New Roman" w:cs="Times New Roman" w:eastAsia="Times New Roman" w:hAnsi="Times New Roman"/>
                <w:sz w:val="21"/>
                <w:szCs w:val="21"/>
                <w:b w:val="1"/>
                <w:bCs w:val="1"/>
                <w:color w:val="auto"/>
                <w:vertAlign w:val="subscript"/>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Total   </w:t>
            </w:r>
            <w:r>
              <w:rPr>
                <w:rFonts w:ascii="Times New Roman" w:cs="Times New Roman" w:eastAsia="Times New Roman" w:hAnsi="Times New Roman"/>
                <w:sz w:val="21"/>
                <w:szCs w:val="21"/>
                <w:b w:val="1"/>
                <w:bCs w:val="1"/>
                <w:color w:val="auto"/>
                <w:vertAlign w:val="subscript"/>
              </w:rPr>
              <w:t>​</w:t>
            </w:r>
          </w:p>
        </w:tc>
      </w:tr>
      <w:tr>
        <w:trPr>
          <w:trHeight w:val="20"/>
        </w:trPr>
        <w:tc>
          <w:tcPr>
            <w:tcW w:w="2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tcBorders>
              <w:left w:val="single" w:sz="8" w:color="CCEEFF"/>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Liabilities: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   ​​​</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 ​   ​​​</w:t>
            </w:r>
          </w:p>
        </w:tc>
        <w:tc>
          <w:tcPr>
            <w:tcW w:w="64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25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BMS Note</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Non-current liability</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ind w:left="20"/>
              <w:spacing w:after="0" w:line="22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w:t>
            </w:r>
          </w:p>
        </w:tc>
        <w:tc>
          <w:tcPr>
            <w:tcW w:w="440" w:type="dxa"/>
            <w:vAlign w:val="bottom"/>
            <w:gridSpan w:val="2"/>
          </w:tcPr>
          <w:p>
            <w:pPr>
              <w:spacing w:after="0" w:line="22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w:t>
            </w:r>
          </w:p>
        </w:tc>
        <w:tc>
          <w:tcPr>
            <w:tcW w:w="740" w:type="dxa"/>
            <w:vAlign w:val="bottom"/>
            <w:gridSpan w:val="4"/>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20,300</w:t>
            </w:r>
            <w:r>
              <w:rPr>
                <w:rFonts w:ascii="Times New Roman" w:cs="Times New Roman" w:eastAsia="Times New Roman" w:hAnsi="Times New Roman"/>
                <w:sz w:val="25"/>
                <w:szCs w:val="25"/>
                <w:color w:val="auto"/>
                <w:vertAlign w:val="subscript"/>
              </w:rPr>
              <w:t>​​</w:t>
            </w:r>
          </w:p>
        </w:tc>
        <w:tc>
          <w:tcPr>
            <w:tcW w:w="680" w:type="dxa"/>
            <w:vAlign w:val="bottom"/>
            <w:gridSpan w:val="4"/>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20,300</w:t>
            </w:r>
            <w:r>
              <w:rPr>
                <w:rFonts w:ascii="Times New Roman" w:cs="Times New Roman" w:eastAsia="Times New Roman" w:hAnsi="Times New Roman"/>
                <w:sz w:val="25"/>
                <w:szCs w:val="25"/>
                <w:color w:val="auto"/>
                <w:vertAlign w:val="subscript"/>
              </w:rPr>
              <w:t>​</w:t>
            </w:r>
          </w:p>
        </w:tc>
      </w:tr>
      <w:tr>
        <w:trPr>
          <w:trHeight w:val="20"/>
        </w:trPr>
        <w:tc>
          <w:tcPr>
            <w:tcW w:w="2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gridSpan w:val="3"/>
            <w:shd w:val="clear" w:color="auto" w:fill="CCEEFF"/>
          </w:tcPr>
          <w:p>
            <w:pPr>
              <w:ind w:left="2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w:t>
            </w:r>
          </w:p>
        </w:tc>
        <w:tc>
          <w:tcPr>
            <w:tcW w:w="440" w:type="dxa"/>
            <w:vAlign w:val="bottom"/>
            <w:gridSpan w:val="2"/>
            <w:shd w:val="clear" w:color="auto" w:fill="CCEEFF"/>
          </w:tcPr>
          <w:p>
            <w:pPr>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w:t>
            </w:r>
          </w:p>
        </w:tc>
        <w:tc>
          <w:tcPr>
            <w:tcW w:w="160" w:type="dxa"/>
            <w:vAlign w:val="bottom"/>
            <w:tcBorders>
              <w:left w:val="single" w:sz="8" w:color="CCEEFF"/>
            </w:tcBorders>
            <w:gridSpan w:val="2"/>
            <w:shd w:val="clear" w:color="auto" w:fill="CCEEFF"/>
          </w:tcPr>
          <w:p>
            <w:pPr>
              <w:ind w:left="20"/>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580" w:type="dxa"/>
            <w:vAlign w:val="bottom"/>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13"/>
                <w:szCs w:val="13"/>
                <w:color w:val="auto"/>
              </w:rPr>
              <w:t>20,300</w:t>
            </w:r>
            <w:r>
              <w:rPr>
                <w:rFonts w:ascii="Times New Roman" w:cs="Times New Roman" w:eastAsia="Times New Roman" w:hAnsi="Times New Roman"/>
                <w:sz w:val="23"/>
                <w:szCs w:val="23"/>
                <w:color w:val="auto"/>
                <w:vertAlign w:val="subscript"/>
              </w:rPr>
              <w:t>​​</w:t>
            </w:r>
          </w:p>
        </w:tc>
        <w:tc>
          <w:tcPr>
            <w:tcW w:w="220" w:type="dxa"/>
            <w:vAlign w:val="bottom"/>
            <w:gridSpan w:val="2"/>
            <w:shd w:val="clear" w:color="auto" w:fill="CCEEFF"/>
          </w:tcPr>
          <w:p>
            <w:pPr>
              <w:ind w:left="20"/>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2"/>
              </w:rPr>
              <w:t>20,300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-173990</wp:posOffset>
            </wp:positionV>
            <wp:extent cx="118745"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3411220"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1122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-452755</wp:posOffset>
            </wp:positionV>
            <wp:extent cx="111760"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-452755</wp:posOffset>
            </wp:positionV>
            <wp:extent cx="111760"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-452755</wp:posOffset>
            </wp:positionV>
            <wp:extent cx="11176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-452755</wp:posOffset>
            </wp:positionV>
            <wp:extent cx="111760"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2364740</wp:posOffset>
            </wp:positionH>
            <wp:positionV relativeFrom="paragraph">
              <wp:posOffset>-452755</wp:posOffset>
            </wp:positionV>
            <wp:extent cx="111760"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63"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During the years ended December 31, 2023 and 2022, there were no transfers between levels. The Company uses the carrying amounts of its prepaid expenses and other current assets, accounts payable and accrued expenses to approximate their fair value due to the short-term nature of these amounts.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Warrant Liability</w:t>
      </w:r>
    </w:p>
    <w:p>
      <w:pPr>
        <w:spacing w:after="0" w:line="117"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In connection with the 2021 Xencor Agreement, the Company issued a warrant to Xencor (the “Xencor Warrant”) that entitled Xencor to receive a number of shares of the Company’s convertible preferred stock in the Company’s next “Qualified Financing” as defined in the Xencor Warrant.</w:t>
      </w: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0" w:name="page231"/>
    <w:bookmarkEnd w:id="23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3. Fair Value Measurement (Continued)</w:t>
      </w:r>
    </w:p>
    <w:p>
      <w:pPr>
        <w:spacing w:after="0" w:line="181"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 xml:space="preserve">The Company concluded that the warrant should be liability classified and accounted for at fair value pursuant to ASC Topic 480, </w:t>
      </w:r>
      <w:r>
        <w:rPr>
          <w:rFonts w:ascii="Times New Roman" w:cs="Times New Roman" w:eastAsia="Times New Roman" w:hAnsi="Times New Roman"/>
          <w:sz w:val="15"/>
          <w:szCs w:val="15"/>
          <w:i w:val="1"/>
          <w:iCs w:val="1"/>
          <w:color w:val="auto"/>
        </w:rPr>
        <w:t>Distinguishing Liabilities from Equity</w:t>
      </w:r>
      <w:r>
        <w:rPr>
          <w:rFonts w:ascii="Times New Roman" w:cs="Times New Roman" w:eastAsia="Times New Roman" w:hAnsi="Times New Roman"/>
          <w:sz w:val="15"/>
          <w:szCs w:val="15"/>
          <w:color w:val="auto"/>
        </w:rPr>
        <w:t>, as it is exercisable into shares that are redeemable outside of the control of the Company. The fair value of the warrant at issuance was determined to be $20.7 million. The Company reassessed the fair value of the Xencor Warrant at each reporting period up to and immediately prior to settlement or exercise and recorded the change in fair value as a component of other income (expense), net in the Company’s consolidated statements of operations and comprehensive loss. The Xencor Warrant was exercised in full in November 2022. Immediately prior to the exercise of the warrant, the Company reassessed the fair value, which was determined to be $34.5 million. For the year ended December 31, 2022, the Company recorded $13.3 million of expense as a result of the change in fair value of the Xencor Warrant.</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Convertible Notes</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2021 Notes</w:t>
      </w:r>
    </w:p>
    <w:p>
      <w:pPr>
        <w:spacing w:after="0" w:line="115"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In November 2021, the Company issued and sold an aggregate of $58.0 million of convertible promissory notes (the “2021 Notes”) to several investors, pursuant to a Note Purchase Agreement with each investor (see Note 7). In November 2022, concurrently with the issuance and sale of the Company’s Series B convertible preferred stock (“Series B Preferred Stock”), which was deemed to be a “Qualified Financing” as defined in the agreements governing the 2021 Notes, all of the outstanding principal plus accrued interest of the 2021 Notes was automatically converted into an aggregate of 37,471,107 shares of Series B Preferred Stock. Prior to the conversion, the 2021 Notes bore interest at a rate of 8.0% per annum, with a maturity date of May 19, 2023. Conversion into shares of preferred stock was mandatory upon the Company’s issuance of a new class or series of its preferred stock which is senior to the Company’s Series A convertible preferred stock (“Series A Preferred Stock”) as approved by the Board and the holders of Series A Preferred Stock, with aggregate gross proceeds of a specified amount (excluding conversion of the 2021 Notes or any other convertible securities).</w:t>
      </w:r>
    </w:p>
    <w:p>
      <w:pPr>
        <w:spacing w:after="0" w:line="96"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 xml:space="preserve">Pursuant to ASC Topic 825, </w:t>
      </w:r>
      <w:r>
        <w:rPr>
          <w:rFonts w:ascii="Times New Roman" w:cs="Times New Roman" w:eastAsia="Times New Roman" w:hAnsi="Times New Roman"/>
          <w:sz w:val="15"/>
          <w:szCs w:val="15"/>
          <w:i w:val="1"/>
          <w:iCs w:val="1"/>
          <w:color w:val="auto"/>
        </w:rPr>
        <w:t>Fair Value Measurement</w:t>
      </w:r>
      <w:r>
        <w:rPr>
          <w:rFonts w:ascii="Times New Roman" w:cs="Times New Roman" w:eastAsia="Times New Roman" w:hAnsi="Times New Roman"/>
          <w:sz w:val="15"/>
          <w:szCs w:val="15"/>
          <w:color w:val="auto"/>
        </w:rPr>
        <w:t>, the Company elected to record the 2021 Notes at fair value upon issuance and at every subsequent reporting date (until the 2021 Notes are converted, repaid or otherwise settled). The 2021 Notes qualified for the fair value option because no component of the 2021 Notes was required to be recorded as a component of stockholders’ deficit. As the Company elected the fair value option for the 2021 Notes, it did not accrue interest expense, as the fair value of the 2021 Notes included consideration of the 8.0% interest element. The Company recorded any change in fair value of the 2021 Notes as a component of other income (expense), net in its consolidated statements of operations and comprehensive loss.</w:t>
      </w:r>
    </w:p>
    <w:p>
      <w:pPr>
        <w:spacing w:after="0" w:line="101"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Company recorded a $29.9 million change in fair value for the 2021 Note as a component of other income (expense), net in the Company’s consolidated statement of operations and comprehensive loss for the year ended December 31, 2022.</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BMS Note</w:t>
      </w:r>
    </w:p>
    <w:p>
      <w:pPr>
        <w:spacing w:after="0" w:line="126"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In August 2023, the Company entered into a $20.0 million convertible promissory note agreement with BMS (the “BMS Note”) in connection with its strategic license and collaboration agreement with BMS (the “BMS Agreement”) (see Note 8). The BMS Note contains various conversion features including mandatory conversion upon the occurrence of a qualified financing event, IPO, reverse merger, or special purpose acquisition company transaction and conversion at the option of BMS upon the occurrence of a non-qualified financing event. If the Company issues and sells its convertible preferred stock to accredited investors with total gross proceeds equal to at least $70.0 million (a “BMS Qualified Financing”), the outstanding principal and accrued interest of the BMS Note shall automatically convert into equity securities sold in the BMS Qualified Financing at a conversion price equal (i) to the outstanding principal and accrued interest under the BMS Note divided by (ii) the lowest cash price paid per equity security. Similarly, automatic conversion of the</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1" w:name="page232"/>
    <w:bookmarkEnd w:id="23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3. Fair Value Measurement (Continued)</w:t>
      </w:r>
    </w:p>
    <w:p>
      <w:pPr>
        <w:spacing w:after="0" w:line="181"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BMS Note upon an IPO would result in a conversion price equal to (i) the outstanding principal and accrued interest under the BMS Note divided by (ii) the price per share listed in the registration statement to be paid by the investors for the Company’s common stock. The Company elected the fair value option to account for the BMS Note. Changes in fair value are recorded as a component of other income (expense), net in the consolidated statements of operations and comprehensive loss.</w:t>
      </w:r>
    </w:p>
    <w:p>
      <w:pPr>
        <w:spacing w:after="0" w:line="101"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The BMS Note is classified as a liability on the Company’s consolidated balance sheet and was initially recorded at fair value. The fair value of the BMS Note was estimated based on significant inputs not observable in the market, representing a Level 3 measurement within the fair value hierarchy. The Company used a scenario-based analysis to incorporate estimates and assumptions concerning the Company’s prospects and market indications into a model to estimate the fair value of the BMS Note. The most significant estimates and assumptions used as inputs were those concerning the timing and probability of possible scenarios for conversion or settlement of the BMS Note and the discount rate. The Company will subsequently remeasure the fair value of the BMS Note at each reporting period.</w:t>
      </w:r>
    </w:p>
    <w:p>
      <w:pPr>
        <w:spacing w:after="0" w:line="101"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The Company recorded a $0.3 million change in fair value for the BMS Note as a component of other income (expense), net in the Company’s consolidated statements of operations and comprehensive loss for the year ended December 31, 2023.</w:t>
      </w:r>
    </w:p>
    <w:p>
      <w:pPr>
        <w:spacing w:after="0" w:line="83"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The table below presents changes in the Company’s liabilities with significant unobservable inputs (Level 3 liabilities) during the years ended December 31, 2023 and 2022 (in thousands):</w:t>
      </w:r>
    </w:p>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308"/>
        </w:trPr>
        <w:tc>
          <w:tcPr>
            <w:tcW w:w="4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060" w:type="dxa"/>
            <w:vAlign w:val="bottom"/>
            <w:gridSpan w:val="8"/>
          </w:tcPr>
          <w:p>
            <w:pPr>
              <w:ind w:left="40"/>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Convertible notes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Warrant liability</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2021</w:t>
            </w:r>
          </w:p>
        </w:tc>
        <w:tc>
          <w:tcPr>
            <w:tcW w:w="16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59,555​ ​​ ​</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29,876​ ​​ ​</w:t>
            </w:r>
          </w:p>
        </w:tc>
        <w:tc>
          <w:tcPr>
            <w:tcW w:w="3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13,268​ ​</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Series B Preferred Stock in exchange for 2021 Notes</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(89,431)​​ ​</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Issuance of Series B Preferred Stock upon exercise of warrants</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19"/>
                <w:szCs w:val="19"/>
                <w:color w:val="auto"/>
              </w:rPr>
            </w:pPr>
          </w:p>
        </w:tc>
        <w:tc>
          <w:tcPr>
            <w:tcW w:w="160" w:type="dxa"/>
            <w:vAlign w:val="bottom"/>
          </w:tcPr>
          <w:p>
            <w:pP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6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w:t>
            </w:r>
          </w:p>
        </w:tc>
        <w:tc>
          <w:tcPr>
            <w:tcW w:w="86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(34,468)</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680" w:type="dxa"/>
            <w:vAlign w:val="bottom"/>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 ​</w:t>
            </w:r>
          </w:p>
        </w:tc>
        <w:tc>
          <w:tcPr>
            <w:tcW w:w="320" w:type="dxa"/>
            <w:vAlign w:val="bottom"/>
            <w:shd w:val="clear" w:color="auto" w:fill="CCEEFF"/>
          </w:tcPr>
          <w:p>
            <w:pPr>
              <w:ind w:left="160"/>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6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Issuance of BMS Note</w:t>
            </w:r>
          </w:p>
        </w:tc>
        <w:tc>
          <w:tcPr>
            <w:tcW w:w="160" w:type="dxa"/>
            <w:vAlign w:val="bottom"/>
          </w:tcPr>
          <w:p>
            <w:pPr>
              <w:ind w:left="40"/>
              <w:spacing w:after="0" w:line="161" w:lineRule="exact"/>
              <w:rPr>
                <w:sz w:val="20"/>
                <w:szCs w:val="20"/>
                <w:color w:val="auto"/>
              </w:rPr>
            </w:pPr>
            <w:r>
              <w:rPr>
                <w:rFonts w:ascii="Times New Roman" w:cs="Times New Roman" w:eastAsia="Times New Roman" w:hAnsi="Times New Roman"/>
                <w:sz w:val="15"/>
                <w:szCs w:val="15"/>
                <w:color w:val="auto"/>
              </w:rPr>
              <w:t>​ ​</w:t>
            </w:r>
          </w:p>
        </w:tc>
        <w:tc>
          <w:tcPr>
            <w:tcW w:w="360" w:type="dxa"/>
            <w:vAlign w:val="bottom"/>
            <w:gridSpan w:val="2"/>
          </w:tcPr>
          <w:p>
            <w:pPr>
              <w:ind w:left="200"/>
              <w:spacing w:after="0" w:line="161" w:lineRule="exact"/>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auto"/>
              </w:rPr>
              <w:t>20,000​ ​​ ​</w:t>
            </w:r>
          </w:p>
        </w:tc>
        <w:tc>
          <w:tcPr>
            <w:tcW w:w="32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fair value</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68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13"/>
                <w:szCs w:val="13"/>
                <w:color w:val="auto"/>
              </w:rPr>
              <w:t xml:space="preserve">300​ </w:t>
            </w:r>
            <w:r>
              <w:rPr>
                <w:rFonts w:ascii="Times New Roman" w:cs="Times New Roman" w:eastAsia="Times New Roman" w:hAnsi="Times New Roman"/>
                <w:sz w:val="25"/>
                <w:szCs w:val="25"/>
                <w:color w:val="auto"/>
                <w:vertAlign w:val="subscript"/>
              </w:rPr>
              <w:t>​​ ​</w:t>
            </w:r>
          </w:p>
        </w:tc>
        <w:tc>
          <w:tcPr>
            <w:tcW w:w="320" w:type="dxa"/>
            <w:vAlign w:val="bottom"/>
            <w:shd w:val="clear" w:color="auto" w:fill="CCEEFF"/>
          </w:tcPr>
          <w:p>
            <w:pPr>
              <w:ind w:left="160"/>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18"/>
                <w:szCs w:val="18"/>
                <w:color w:val="auto"/>
              </w:rPr>
            </w:pPr>
          </w:p>
        </w:tc>
        <w:tc>
          <w:tcPr>
            <w:tcW w:w="160" w:type="dxa"/>
            <w:vAlign w:val="bottom"/>
          </w:tcPr>
          <w:p>
            <w:pPr>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68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3"/>
                <w:szCs w:val="13"/>
                <w:color w:val="auto"/>
              </w:rPr>
              <w:t xml:space="preserve">20,300​ </w:t>
            </w:r>
            <w:r>
              <w:rPr>
                <w:rFonts w:ascii="Times New Roman" w:cs="Times New Roman" w:eastAsia="Times New Roman" w:hAnsi="Times New Roman"/>
                <w:sz w:val="23"/>
                <w:szCs w:val="23"/>
                <w:color w:val="auto"/>
                <w:vertAlign w:val="subscript"/>
              </w:rPr>
              <w:t>​​ ​</w:t>
            </w:r>
          </w:p>
        </w:tc>
        <w:tc>
          <w:tcPr>
            <w:tcW w:w="320" w:type="dxa"/>
            <w:vAlign w:val="bottom"/>
          </w:tcPr>
          <w:p>
            <w:pPr>
              <w:ind w:left="160"/>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54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-613410</wp:posOffset>
            </wp:positionV>
            <wp:extent cx="3718560"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7185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-1157605</wp:posOffset>
            </wp:positionV>
            <wp:extent cx="3718560"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718560" cy="698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4. Other Assets</w:t>
      </w:r>
    </w:p>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 assets consisted of the following (in thousands):</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4241800" cy="1397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Prepaid clinical expenses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Deferred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w:t>
      </w:r>
    </w:p>
    <w:p>
      <w:pPr>
        <w:spacing w:after="0" w:line="6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Total other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2023   </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2022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  5,788</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  4,122​</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00" w:type="dxa"/>
            <w:vAlign w:val="bottom"/>
            <w:gridSpan w:val="5"/>
          </w:tcPr>
          <w:p>
            <w:pPr>
              <w:ind w:left="40"/>
              <w:spacing w:after="0"/>
              <w:rPr>
                <w:sz w:val="20"/>
                <w:szCs w:val="20"/>
                <w:color w:val="auto"/>
              </w:rPr>
            </w:pPr>
            <w:r>
              <w:rPr>
                <w:rFonts w:ascii="Times New Roman" w:cs="Times New Roman" w:eastAsia="Times New Roman" w:hAnsi="Times New Roman"/>
                <w:sz w:val="15"/>
                <w:szCs w:val="15"/>
                <w:color w:val="auto"/>
              </w:rPr>
              <w:t>​ ​​ ​ 1,388</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32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680" w:type="dxa"/>
            <w:vAlign w:val="bottom"/>
            <w:gridSpan w:val="3"/>
          </w:tcPr>
          <w:p>
            <w:pPr>
              <w:ind w:left="140"/>
              <w:spacing w:after="0" w:line="201"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 ​</w:t>
            </w:r>
          </w:p>
        </w:tc>
        <w:tc>
          <w:tcPr>
            <w:tcW w:w="3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126</w:t>
            </w:r>
            <w:r>
              <w:rPr>
                <w:rFonts w:ascii="Times New Roman" w:cs="Times New Roman" w:eastAsia="Times New Roman" w:hAnsi="Times New Roman"/>
                <w:sz w:val="23"/>
                <w:szCs w:val="23"/>
                <w:color w:val="auto"/>
                <w:vertAlign w:val="subscript"/>
              </w:rPr>
              <w:t>​</w:t>
            </w:r>
          </w:p>
        </w:tc>
      </w:tr>
      <w:tr>
        <w:trPr>
          <w:trHeight w:val="20"/>
        </w:trPr>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320" w:type="dxa"/>
            <w:vAlign w:val="bottom"/>
            <w:gridSpan w:val="2"/>
          </w:tcPr>
          <w:p>
            <w:pPr>
              <w:ind w:left="4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680" w:type="dxa"/>
            <w:vAlign w:val="bottom"/>
            <w:gridSpan w:val="3"/>
          </w:tcPr>
          <w:p>
            <w:pPr>
              <w:ind w:left="20"/>
              <w:spacing w:after="0" w:line="200" w:lineRule="exact"/>
              <w:rPr>
                <w:sz w:val="20"/>
                <w:szCs w:val="20"/>
                <w:color w:val="auto"/>
              </w:rPr>
            </w:pPr>
            <w:r>
              <w:rPr>
                <w:rFonts w:ascii="Times New Roman" w:cs="Times New Roman" w:eastAsia="Times New Roman" w:hAnsi="Times New Roman"/>
                <w:sz w:val="13"/>
                <w:szCs w:val="13"/>
                <w:color w:val="auto"/>
              </w:rPr>
              <w:t>7,276</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w:t>
            </w:r>
          </w:p>
        </w:tc>
        <w:tc>
          <w:tcPr>
            <w:tcW w:w="38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3"/>
                <w:szCs w:val="13"/>
                <w:color w:val="auto"/>
              </w:rPr>
              <w:t>4,248</w:t>
            </w:r>
            <w:r>
              <w:rPr>
                <w:rFonts w:ascii="Times New Roman" w:cs="Times New Roman" w:eastAsia="Times New Roman" w:hAnsi="Times New Roman"/>
                <w:sz w:val="23"/>
                <w:szCs w:val="23"/>
                <w:color w:val="auto"/>
                <w:vertAlign w:val="subscript"/>
              </w:rPr>
              <w:t>​</w:t>
            </w:r>
          </w:p>
        </w:tc>
      </w:tr>
      <w:tr>
        <w:trPr>
          <w:trHeight w:val="20"/>
        </w:trPr>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80" w:space="720"/>
            <w:col w:w="2519"/>
          </w:cols>
          <w:pgMar w:left="1440" w:top="98" w:right="1440" w:bottom="1440" w:gutter="0" w:footer="0" w:header="0"/>
          <w:type w:val="continuous"/>
        </w:sect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32" w:name="page233"/>
    <w:bookmarkEnd w:id="23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2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5. Accrued Expenses</w:t>
      </w:r>
    </w:p>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Accrued expenses consisted of the following (in thousands):</w:t>
      </w:r>
    </w:p>
    <w:p>
      <w:pPr>
        <w:sectPr>
          <w:pgSz w:w="11900" w:h="16838" w:orient="portrait"/>
          <w:cols w:equalWidth="0" w:num="1">
            <w:col w:w="9019"/>
          </w:cols>
          <w:pgMar w:left="1440" w:top="98" w:right="1440" w:bottom="1440" w:gutter="0" w:footer="0" w:header="0"/>
        </w:sectPr>
      </w:pP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4241800" cy="1397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Employee compensation and benefits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External research, development and manufacturing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Professional and consultant fees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w:t>
      </w:r>
    </w:p>
    <w:p>
      <w:pPr>
        <w:spacing w:after="0" w:line="6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Total accrued expenses</w:t>
      </w:r>
    </w:p>
    <w:p>
      <w:pPr>
        <w:spacing w:after="0" w:line="3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6. Leases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2"/>
                <w:szCs w:val="12"/>
                <w:b w:val="1"/>
                <w:bCs w:val="1"/>
                <w:color w:val="auto"/>
                <w:w w:val="91"/>
              </w:rPr>
              <w:t>December 31,</w:t>
            </w:r>
          </w:p>
        </w:tc>
        <w:tc>
          <w:tcPr>
            <w:tcW w:w="320" w:type="dxa"/>
            <w:vAlign w:val="bottom"/>
            <w:tcBorders>
              <w:bottom w:val="single" w:sz="8" w:color="auto"/>
            </w:tcBorders>
          </w:tcPr>
          <w:p>
            <w:pPr>
              <w:spacing w:after="0"/>
              <w:rPr>
                <w:sz w:val="16"/>
                <w:szCs w:val="16"/>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1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6"/>
                <w:szCs w:val="16"/>
                <w:color w:val="auto"/>
              </w:rPr>
            </w:pPr>
          </w:p>
        </w:tc>
        <w:tc>
          <w:tcPr>
            <w:tcW w:w="680" w:type="dxa"/>
            <w:vAlign w:val="bottom"/>
            <w:gridSpan w:val="3"/>
          </w:tcPr>
          <w:p>
            <w:pPr>
              <w:jc w:val="right"/>
              <w:ind w:right="10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2023    </w:t>
            </w:r>
            <w:r>
              <w:rPr>
                <w:rFonts w:ascii="Times New Roman" w:cs="Times New Roman" w:eastAsia="Times New Roman" w:hAnsi="Times New Roman"/>
                <w:sz w:val="21"/>
                <w:szCs w:val="21"/>
                <w:b w:val="1"/>
                <w:bCs w:val="1"/>
                <w:color w:val="auto"/>
                <w:vertAlign w:val="subscript"/>
              </w:rPr>
              <w:t>​ ​</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2022   </w:t>
            </w:r>
            <w:r>
              <w:rPr>
                <w:rFonts w:ascii="Times New Roman" w:cs="Times New Roman" w:eastAsia="Times New Roman" w:hAnsi="Times New Roman"/>
                <w:sz w:val="21"/>
                <w:szCs w:val="21"/>
                <w:b w:val="1"/>
                <w:bCs w:val="1"/>
                <w:color w:val="auto"/>
                <w:vertAlign w:val="subscript"/>
              </w:rPr>
              <w:t>​</w:t>
            </w:r>
          </w:p>
        </w:tc>
      </w:tr>
      <w:tr>
        <w:trPr>
          <w:trHeight w:val="20"/>
        </w:trPr>
        <w:tc>
          <w:tcPr>
            <w:tcW w:w="200" w:type="dxa"/>
            <w:vAlign w:val="bottom"/>
            <w:tcBorders>
              <w:right w:val="single" w:sz="8" w:color="auto"/>
            </w:tcBorders>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8"/>
        </w:trPr>
        <w:tc>
          <w:tcPr>
            <w:tcW w:w="3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5,122</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1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4,331​</w:t>
            </w:r>
          </w:p>
        </w:tc>
      </w:tr>
      <w:tr>
        <w:trPr>
          <w:trHeight w:val="209"/>
        </w:trPr>
        <w:tc>
          <w:tcPr>
            <w:tcW w:w="1020" w:type="dxa"/>
            <w:vAlign w:val="bottom"/>
            <w:gridSpan w:val="6"/>
          </w:tcPr>
          <w:p>
            <w:pPr>
              <w:ind w:left="60"/>
              <w:spacing w:after="0"/>
              <w:rPr>
                <w:sz w:val="20"/>
                <w:szCs w:val="20"/>
                <w:color w:val="auto"/>
              </w:rPr>
            </w:pPr>
            <w:r>
              <w:rPr>
                <w:rFonts w:ascii="Times New Roman" w:cs="Times New Roman" w:eastAsia="Times New Roman" w:hAnsi="Times New Roman"/>
                <w:sz w:val="15"/>
                <w:szCs w:val="15"/>
                <w:color w:val="auto"/>
              </w:rPr>
              <w:t>​ ​​ ​  9,398</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14,375​</w:t>
            </w:r>
          </w:p>
        </w:tc>
      </w:tr>
      <w:tr>
        <w:trPr>
          <w:trHeight w:val="209"/>
        </w:trPr>
        <w:tc>
          <w:tcPr>
            <w:tcW w:w="3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2,379</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629​</w:t>
            </w:r>
          </w:p>
        </w:tc>
      </w:tr>
      <w:tr>
        <w:trPr>
          <w:trHeight w:val="209"/>
        </w:trPr>
        <w:tc>
          <w:tcPr>
            <w:tcW w:w="3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301</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680" w:type="dxa"/>
            <w:vAlign w:val="bottom"/>
            <w:gridSpan w:val="3"/>
          </w:tcPr>
          <w:p>
            <w:pPr>
              <w:jc w:val="right"/>
              <w:ind w:right="40"/>
              <w:spacing w:after="0" w:line="201" w:lineRule="exact"/>
              <w:rPr>
                <w:sz w:val="20"/>
                <w:szCs w:val="20"/>
                <w:color w:val="auto"/>
              </w:rPr>
            </w:pPr>
            <w:r>
              <w:rPr>
                <w:rFonts w:ascii="Times New Roman" w:cs="Times New Roman" w:eastAsia="Times New Roman" w:hAnsi="Times New Roman"/>
                <w:sz w:val="23"/>
                <w:szCs w:val="23"/>
                <w:color w:val="auto"/>
                <w:vertAlign w:val="superscript"/>
              </w:rPr>
              <w:t>106</w:t>
            </w:r>
            <w:r>
              <w:rPr>
                <w:rFonts w:ascii="Times New Roman" w:cs="Times New Roman" w:eastAsia="Times New Roman" w:hAnsi="Times New Roman"/>
                <w:sz w:val="13"/>
                <w:szCs w:val="13"/>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102</w:t>
            </w:r>
            <w:r>
              <w:rPr>
                <w:rFonts w:ascii="Times New Roman" w:cs="Times New Roman" w:eastAsia="Times New Roman" w:hAnsi="Times New Roman"/>
                <w:sz w:val="23"/>
                <w:szCs w:val="23"/>
                <w:color w:val="auto"/>
                <w:vertAlign w:val="subscript"/>
              </w:rPr>
              <w:t>​</w:t>
            </w:r>
          </w:p>
        </w:tc>
      </w:tr>
      <w:tr>
        <w:trPr>
          <w:trHeight w:val="20"/>
        </w:trPr>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9"/>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17,306</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19,437</w:t>
            </w:r>
            <w:r>
              <w:rPr>
                <w:rFonts w:ascii="Times New Roman" w:cs="Times New Roman" w:eastAsia="Times New Roman" w:hAnsi="Times New Roman"/>
                <w:sz w:val="23"/>
                <w:szCs w:val="23"/>
                <w:color w:val="auto"/>
                <w:vertAlign w:val="subscript"/>
              </w:rPr>
              <w:t>​</w:t>
            </w:r>
          </w:p>
        </w:tc>
      </w:tr>
      <w:tr>
        <w:trPr>
          <w:trHeight w:val="20"/>
        </w:trPr>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45" w:lineRule="exact"/>
        <w:rPr>
          <w:sz w:val="20"/>
          <w:szCs w:val="20"/>
          <w:color w:val="auto"/>
        </w:rPr>
      </w:pPr>
    </w:p>
    <w:p>
      <w:pPr>
        <w:sectPr>
          <w:pgSz w:w="11900" w:h="16838" w:orient="portrait"/>
          <w:cols w:equalWidth="0" w:num="2">
            <w:col w:w="5620" w:space="720"/>
            <w:col w:w="2679"/>
          </w:cols>
          <w:pgMar w:left="1440" w:top="98" w:right="1440" w:bottom="1440" w:gutter="0" w:footer="0" w:header="0"/>
          <w:type w:val="continuous"/>
        </w:sectPr>
      </w:pPr>
    </w:p>
    <w:p>
      <w:pPr>
        <w:jc w:val="both"/>
        <w:ind w:left="1160" w:right="1179"/>
        <w:spacing w:after="0" w:line="262" w:lineRule="auto"/>
        <w:rPr>
          <w:sz w:val="20"/>
          <w:szCs w:val="20"/>
          <w:color w:val="auto"/>
        </w:rPr>
      </w:pPr>
      <w:r>
        <w:rPr>
          <w:rFonts w:ascii="Times New Roman" w:cs="Times New Roman" w:eastAsia="Times New Roman" w:hAnsi="Times New Roman"/>
          <w:sz w:val="15"/>
          <w:szCs w:val="15"/>
          <w:color w:val="auto"/>
        </w:rPr>
        <w:t>On September 8, 2021, Zenas US entered into a lease agreement for office space in Waltham, Massachusetts (the “Waltham Lease”), commencing on March 1, 2022. The Waltham Lease was classified as an operating lease, and has a lease term of 3.3 years with total fixed payments of approximately $1.8 million over that period. Zenas US has an irrevocable letter of credit agreement for the benefit of its landlord for the Waltham Lease in the amount of $0.1 million.</w:t>
      </w:r>
    </w:p>
    <w:p>
      <w:pPr>
        <w:spacing w:after="0" w:line="91" w:lineRule="exact"/>
        <w:rPr>
          <w:sz w:val="20"/>
          <w:szCs w:val="20"/>
          <w:color w:val="auto"/>
        </w:rPr>
      </w:pPr>
    </w:p>
    <w:p>
      <w:pPr>
        <w:jc w:val="both"/>
        <w:ind w:left="1160" w:right="1179"/>
        <w:spacing w:after="0" w:line="262" w:lineRule="auto"/>
        <w:rPr>
          <w:sz w:val="20"/>
          <w:szCs w:val="20"/>
          <w:color w:val="auto"/>
        </w:rPr>
      </w:pPr>
      <w:r>
        <w:rPr>
          <w:rFonts w:ascii="Times New Roman" w:cs="Times New Roman" w:eastAsia="Times New Roman" w:hAnsi="Times New Roman"/>
          <w:sz w:val="15"/>
          <w:szCs w:val="15"/>
          <w:color w:val="auto"/>
        </w:rPr>
        <w:t>On June 28, 2022, Zenas China entered into a lease agreement for office space in Shanghai, China (the “Shanghai Lease”), commencing on September 10, 2022. The Shanghai Lease was classified as an operating lease, and has a lease term of 3.0 years with total fixed payments of $0.8 million over that period, and an option to extend the lease term for an additional three years. Zenas China’s exercise of the option to extend the lease term was not considered reasonably certain as of the execution of the lease.</w:t>
      </w:r>
    </w:p>
    <w:p>
      <w:pPr>
        <w:spacing w:after="0" w:line="91" w:lineRule="exact"/>
        <w:rPr>
          <w:sz w:val="20"/>
          <w:szCs w:val="20"/>
          <w:color w:val="auto"/>
        </w:rPr>
      </w:pPr>
    </w:p>
    <w:p>
      <w:pPr>
        <w:jc w:val="both"/>
        <w:ind w:left="1160" w:right="1179"/>
        <w:spacing w:after="0" w:line="258" w:lineRule="auto"/>
        <w:rPr>
          <w:sz w:val="20"/>
          <w:szCs w:val="20"/>
          <w:color w:val="auto"/>
        </w:rPr>
      </w:pPr>
      <w:r>
        <w:rPr>
          <w:rFonts w:ascii="Times New Roman" w:cs="Times New Roman" w:eastAsia="Times New Roman" w:hAnsi="Times New Roman"/>
          <w:sz w:val="15"/>
          <w:szCs w:val="15"/>
          <w:color w:val="auto"/>
        </w:rPr>
        <w:t>The Company recognizes monthly operating lease expense on a straight-line basis over the term of the lease as general and administrative expenses in the consolidated statements of operations and comprehensive loss. Variable lease expense relates primarily to office lease common area maintenance, insurance, and property taxes, is expensed as incurred, and is excluded from the calculation of the lease liabilities and right-of-use-assets. Variable lease expense for the years ended December 31, 2023 and 2022 was $0.1 million and less than $0.1 million respectively.</w:t>
      </w:r>
    </w:p>
    <w:p>
      <w:pPr>
        <w:spacing w:after="0" w:line="107"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Supplemental balance sheet information related to operating lease assets and liabilities was as follows (in thousands):</w:t>
      </w:r>
    </w:p>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4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ind w:left="58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89"/>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20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assets</w:t>
            </w:r>
          </w:p>
        </w:tc>
        <w:tc>
          <w:tcPr>
            <w:tcW w:w="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5"/>
                <w:szCs w:val="15"/>
                <w:color w:val="auto"/>
              </w:rPr>
              <w:t>821​</w:t>
            </w:r>
          </w:p>
        </w:tc>
        <w:tc>
          <w:tcPr>
            <w:tcW w:w="8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1,548​</w:t>
            </w: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7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auto"/>
              </w:rPr>
              <w:t>813​</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5"/>
                <w:szCs w:val="15"/>
                <w:color w:val="auto"/>
              </w:rPr>
              <w:t>1,527​</w:t>
            </w: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remaining term in years</w:t>
            </w:r>
          </w:p>
        </w:tc>
        <w:tc>
          <w:tcPr>
            <w:tcW w:w="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5"/>
                <w:szCs w:val="15"/>
                <w:color w:val="auto"/>
              </w:rPr>
              <w:t>1.6​</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5"/>
                <w:szCs w:val="15"/>
                <w:color w:val="auto"/>
              </w:rPr>
              <w:t>2.5​</w:t>
            </w:r>
          </w:p>
        </w:tc>
      </w:tr>
      <w:tr>
        <w:trPr>
          <w:trHeight w:val="231"/>
        </w:trPr>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discount rate used to measure lease liabilities</w:t>
            </w:r>
          </w:p>
        </w:tc>
        <w:tc>
          <w:tcPr>
            <w:tcW w:w="7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​  18.39%</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 18.32%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-550545</wp:posOffset>
            </wp:positionV>
            <wp:extent cx="3844290"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44290" cy="6985"/>
                    </a:xfrm>
                    <a:prstGeom prst="rect">
                      <a:avLst/>
                    </a:prstGeom>
                    <a:noFill/>
                  </pic:spPr>
                </pic:pic>
              </a:graphicData>
            </a:graphic>
          </wp:anchor>
        </w:drawing>
      </w:r>
    </w:p>
    <w:p>
      <w:pPr>
        <w:spacing w:after="0" w:line="75" w:lineRule="exact"/>
        <w:rPr>
          <w:sz w:val="20"/>
          <w:szCs w:val="20"/>
          <w:color w:val="auto"/>
        </w:rPr>
      </w:pPr>
    </w:p>
    <w:p>
      <w:pPr>
        <w:jc w:val="both"/>
        <w:ind w:left="1160" w:right="1179"/>
        <w:spacing w:after="0" w:line="272" w:lineRule="auto"/>
        <w:rPr>
          <w:sz w:val="20"/>
          <w:szCs w:val="20"/>
          <w:color w:val="auto"/>
        </w:rPr>
      </w:pPr>
      <w:r>
        <w:rPr>
          <w:rFonts w:ascii="Times New Roman" w:cs="Times New Roman" w:eastAsia="Times New Roman" w:hAnsi="Times New Roman"/>
          <w:sz w:val="15"/>
          <w:szCs w:val="15"/>
          <w:color w:val="auto"/>
        </w:rPr>
        <w:t>For the years ended December 31, 2023 and 2022, the total lease cost for operating leases (recorded in general and administrative expenses in the Company’s consolidated statements of operations and comprehensive loss) was $0.9 million and $0.7 million, respectively.</w:t>
      </w: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33" w:name="page234"/>
    <w:bookmarkEnd w:id="23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6. Leases (Continued)</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Maturities of the operating lease liabilities as of December 31, 2023 are as follows (in thousands):</w:t>
      </w:r>
    </w:p>
    <w:p>
      <w:pPr>
        <w:spacing w:after="0" w:line="18" w:lineRule="exact"/>
        <w:rPr>
          <w:sz w:val="20"/>
          <w:szCs w:val="20"/>
          <w:color w:val="auto"/>
        </w:rPr>
      </w:pPr>
    </w:p>
    <w:tbl>
      <w:tblPr>
        <w:tblLayout w:type="fixed"/>
        <w:tblInd w:w="1160" w:type="dxa"/>
        <w:tblCellMar>
          <w:top w:w="0" w:type="dxa"/>
          <w:left w:w="0" w:type="dxa"/>
          <w:bottom w:w="0" w:type="dxa"/>
          <w:right w:w="0" w:type="dxa"/>
        </w:tblCellMar>
      </w:tblPr>
      <w:tr>
        <w:trPr>
          <w:trHeight w:val="308"/>
        </w:trPr>
        <w:tc>
          <w:tcPr>
            <w:tcW w:w="5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760" w:type="dxa"/>
            <w:vAlign w:val="bottom"/>
            <w:gridSpan w:val="4"/>
          </w:tcPr>
          <w:p>
            <w:pPr>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Amount </w:t>
            </w:r>
            <w:r>
              <w:rPr>
                <w:rFonts w:ascii="Times New Roman" w:cs="Times New Roman" w:eastAsia="Times New Roman" w:hAnsi="Times New Roman"/>
                <w:sz w:val="23"/>
                <w:szCs w:val="23"/>
                <w:b w:val="1"/>
                <w:bCs w:val="1"/>
                <w:color w:val="auto"/>
                <w:vertAlign w:val="subscript"/>
              </w:rPr>
              <w:t>​</w:t>
            </w:r>
          </w:p>
        </w:tc>
      </w:tr>
      <w:tr>
        <w:trPr>
          <w:trHeight w:val="20"/>
        </w:trPr>
        <w:tc>
          <w:tcPr>
            <w:tcW w:w="5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813​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360" w:type="dxa"/>
            <w:vAlign w:val="bottom"/>
            <w:gridSpan w:val="2"/>
          </w:tcPr>
          <w:p>
            <w:pPr>
              <w:ind w:left="4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13"/>
                <w:szCs w:val="13"/>
                <w:color w:val="auto"/>
              </w:rPr>
              <w:t xml:space="preserve">438​ </w:t>
            </w:r>
            <w:r>
              <w:rPr>
                <w:rFonts w:ascii="Times New Roman" w:cs="Times New Roman" w:eastAsia="Times New Roman" w:hAnsi="Times New Roman"/>
                <w:sz w:val="25"/>
                <w:szCs w:val="25"/>
                <w:color w:val="auto"/>
                <w:vertAlign w:val="subscript"/>
              </w:rPr>
              <w:t>​</w:t>
            </w:r>
          </w:p>
        </w:tc>
      </w:tr>
      <w:tr>
        <w:trPr>
          <w:trHeight w:val="20"/>
        </w:trPr>
        <w:tc>
          <w:tcPr>
            <w:tcW w:w="59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future minimum lease payments</w:t>
            </w:r>
          </w:p>
        </w:tc>
        <w:tc>
          <w:tcPr>
            <w:tcW w:w="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​  1,251​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5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Less: imputed interest</w:t>
            </w:r>
          </w:p>
        </w:tc>
        <w:tc>
          <w:tcPr>
            <w:tcW w:w="360" w:type="dxa"/>
            <w:vAlign w:val="bottom"/>
            <w:gridSpan w:val="2"/>
          </w:tcPr>
          <w:p>
            <w:pPr>
              <w:ind w:left="4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13"/>
                <w:szCs w:val="13"/>
                <w:color w:val="auto"/>
              </w:rPr>
              <w:t>(438)</w:t>
            </w:r>
            <w:r>
              <w:rPr>
                <w:rFonts w:ascii="Times New Roman" w:cs="Times New Roman" w:eastAsia="Times New Roman" w:hAnsi="Times New Roman"/>
                <w:sz w:val="25"/>
                <w:szCs w:val="25"/>
                <w:color w:val="auto"/>
                <w:vertAlign w:val="subscript"/>
              </w:rPr>
              <w:t>​</w:t>
            </w:r>
          </w:p>
        </w:tc>
      </w:tr>
      <w:tr>
        <w:trPr>
          <w:trHeight w:val="20"/>
        </w:trPr>
        <w:tc>
          <w:tcPr>
            <w:tcW w:w="59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operating lease liabilities</w:t>
            </w:r>
          </w:p>
        </w:tc>
        <w:tc>
          <w:tcPr>
            <w:tcW w:w="360" w:type="dxa"/>
            <w:vAlign w:val="bottom"/>
            <w:gridSpan w:val="2"/>
            <w:shd w:val="clear" w:color="auto" w:fill="CCEEFF"/>
          </w:tcPr>
          <w:p>
            <w:pPr>
              <w:ind w:left="4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813​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3899535"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8995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899535"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899535" cy="698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-732155</wp:posOffset>
            </wp:positionV>
            <wp:extent cx="111760"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52"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There were no right-of-use assets obtained under new operating lease arrangements during the year ended December 31, 2023. During the year ended December 31, 2022, the amount of right-of-use assets obtained under new operating lease arrangements was $2.2 million. Cash paid for lease liabilities (included in cash flows used in operating activities in the consolidated statements of cash flow) was $0.9 million and $0.7 million for the years ended December 31, 2023 and 2022, respectively.</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7. Convertible Notes</w:t>
      </w:r>
    </w:p>
    <w:p>
      <w:pPr>
        <w:spacing w:after="0" w:line="126"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On November 19, 2021, the Company issued the 2021 Notes in the principal amount of $58.0 million. In November 2022, concurrently with the issuance and sale of the Company’s Series B Preferred Stock, which was deemed to be a “Qualified Financing” as defined in the agreements governing the 2021 Notes, all of the outstanding principal plus accrued interest of the 2021 Notes was automatically converted into an aggregate of 37,471,107 shares of Series B Preferred Stock. Prior to the conversion, the 2021 Notes bore interest at a rate of 8.0% per annum, with a maturity date of May 19, 2023. Conversion into shares of preferred stock was mandatory upon a Qualified Financing, which is defined as the Company’s issuance of a new class or series of its preferred stock which is senior to the Company’s Series A Preferred Stock as approved by the Board and the holders of Series A Preferred Stock, with aggregate gross proceeds of a specified amount (excluding conversion of the 2021 Notes or any other convertible securities).</w:t>
      </w:r>
    </w:p>
    <w:p>
      <w:pPr>
        <w:spacing w:after="0" w:line="98"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In August 2023, concurrently with the execution of the BMS Agreement (see Note 8), the Company issued the BMS Note in the principal amount of $20.0 million. The BMS Note has a stated interest rate of 8.5% per annum and a maturity date of August 30, 2026. Upon the occurrence a qualified financing, which is an event in which the Company issues and sells its convertible preferred stock to accredited investors with total gross proceeds equal to at least $70.0 million, the outstanding principal and accrued interest of the BMS Note shall automatically convert into the equity securities sold in the qualified financing at a conversion price equal to (i) the outstanding principal and accrued interest under the BMS Note divided by (ii) the lowest cash price paid per equity security.</w:t>
      </w:r>
    </w:p>
    <w:p>
      <w:pPr>
        <w:spacing w:after="0" w:line="99"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color w:val="auto"/>
        </w:rPr>
        <w:t>The Company elected to record the BMS Note at fair value upon issuance and to subsequently remeasure the fair value at every reporting date (until the BMS Note is converted, repaid or otherwise settled). The Company records any change in fair value to the BMS Note as a component of other income (expense), net in its consolidated statements of operations and comprehensive loss. Refer to Note 3 above for the fair value of the BMS Note.</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8. Collaboration Revenue</w:t>
      </w:r>
    </w:p>
    <w:p>
      <w:pPr>
        <w:spacing w:after="0" w:line="126"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In August 2023, the Company entered into a license agreement with Bristol-Myers Squibb (the “BMS Agreement”), under which the Company granted BMS an exclusive license to (i) develop, manufacture (subject to the Company’s rights to be the exclusive manufacturer for BMS for a certain period of time), commercialize or otherwise exploit obexelimab and any biological product (irrespective of presentations, formulations or dosages) containing obexelimab but not any of the Company’s other proprietary active ingredient (the “BMS Product”) into Japan, South Korea, Taiwan, Singapore, Hong Kong and Australia (collectively, the “BMS</w:t>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4" w:name="page235"/>
    <w:bookmarkEnd w:id="23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8. Collaboration Revenue (Continued)</w:t>
      </w:r>
    </w:p>
    <w:p>
      <w:pPr>
        <w:spacing w:after="0" w:line="181"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Territory”) and (ii) develop and manufacture obexelimab and the BMS Product outside the BMS Territory provided that obexelimab and the BMS Product are solely used in the BMS Territory.</w:t>
      </w:r>
    </w:p>
    <w:p>
      <w:pPr>
        <w:spacing w:after="0" w:line="75"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Pursuant to the BMS Agreement, BMS paid the Company a one-time non-refundable upfront cash payment of $50.0 million. The Company is entitled to receive further separate development and regulatory milestone payments from BMS up to approximately $79.5 million. The Company is also entitled to receive one-time sales milestone payments up to $70.0 million upon BMS achieving certain net sales milestones in a given year in the BMS Territory. The Company is also eligible to receive tiered high single-digit to low double-digit royalties on net sales in the BMS Territory, subject to specified reductions.</w:t>
      </w:r>
    </w:p>
    <w:p>
      <w:pPr>
        <w:spacing w:after="0" w:line="99"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The Company will continue to perform and oversee the ongoing Phase 3 Clinical Study of obexelimab in the IgG4-RD indication and BMS will participate in the performance of the study. BMS also has the right to participate in other global clinical studies that the Company chooses to perform. Pursuant to such global studies, including the IgG4-RD study, the Company and BMS have defined roles with specified activities assigned to each party in their respective jurisdictions. These activities are overseen by a joint steering committee, which has equal representation of the parties. BMS will fund their pro rata share of the total global study costs up to a specified percentage of the patients enrolled in the study from the BMS Territory. Should the percentage of patients from the BMS Territory fall below the specified percentage, BMS’s funding would proportionately decrease. BMS is responsible for the development and commercialization of obexelimab within the BMS Territory, including the performance of any local studies within its jurisdiction that it chooses to perform, while the Company retains responsibility for the development and commercialization for the remainder of the world. The Company is responsible for manufacturing the clinical supply and commercial supply of obexelimab, each at cost plus single-digit margin.</w:t>
      </w:r>
    </w:p>
    <w:p>
      <w:pPr>
        <w:spacing w:after="0" w:line="10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Company evaluated the BMS Agreement to determine whether it is a collaborative arrangement in the scope of ASC 808. The Company concluded that the BMS Agreement is a collaborative arrangement under ASC 808 as both parties are active participants in the global clinical trial and are exposed to significant risks and rewards of those activities. The Company determined that the BMS Agreement contained two material components: (i) the license granted to BMS to develop, manufacture and commercialize obexelimab within the BMS Territory, and related activities in the BMS Territory, including manufacturing and (ii) the global development of obexelimab, which at execution, solely relates to the ongoing Phase 3 clinical trial for IgG4-RD. The Company used the criteria specified in ASC 606 to determine whether the components of the BMS Agreement are performance obligations to a customer and concluded that BMS is the Company’s customer for the license and related activities in the BMS Territory under ASC 606. The global development activities under the agreement do not represent a transaction with a customer and reimbursement payments received by the Company for global development activities are accounted for as a reduction of the related research and development expenses. The Company recorded $4.1 million as a reduction to research and development expense during the year ended December 31, 2023, with $1.3 million included in prepaid expenses and other current assets on the Company’s consolidated balance sheet as of December 31, 2023.</w:t>
      </w:r>
    </w:p>
    <w:p>
      <w:pPr>
        <w:spacing w:after="0" w:line="225"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Company evaluated the license and related activities under ASC 606 as these transactions are considered transactions with a customer, and identified four material promises at the outset of the BMS Agreement, which consists of (1) the exclusive license, (2) the initial technology transfer, (3) clinical manufacturing supply related to development in the BMS Territory and (4) commercial manufacturing supply related to commercialization within the BMS Territory. The Company determined that the exclusive license and initial technology transfer were not distinct from each other, as the exclusive license has limited value without the corresponding technology transfer. As such, for the purposes of ASC 606, the Company determined that the two material promises, the exclusive license and the initial technology transfer, should be combined into one distinct performance obligation. The Company further evaluated the material promise associated with the clinical manufacturing supply and the commercial manufacturing supply, within the BMS Territory, concluding that because BMS is not obligated to purchase any minimum amount, the clinical manufacturing supply and commercial manufacturing supply represent a purchase option and not a performance obligation.</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5" w:name="page236"/>
    <w:bookmarkEnd w:id="23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8. Collaboration Revenue (Continued)</w:t>
      </w:r>
    </w:p>
    <w:p>
      <w:pPr>
        <w:spacing w:after="0" w:line="181"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The Company further concluded that the customer option is not priced at a significant and incremental discount at the execution of the arrangement and therefore does not represent a material right. Therefore, each of the clinical and commercial manufacturing activities were excluded as performance obligations at the outset of the arrangement.</w:t>
      </w:r>
    </w:p>
    <w:p>
      <w:pPr>
        <w:spacing w:after="0" w:line="95"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transaction price of the BMS Agreement was determined to be $50.0 million, which consisted of the upfront cash payment, and was allocated to the one combined performance obligation. The other potential consideration, which includes development, regulatory and sales milestone payments that the Company is eligible to receive were excluded from the transaction price, as all milestones were not deemed probable of achievement and were therefore fully constrained. The Company issued the BMS Note in connection with the BMS Agreement, and the BMS Note was recorded at fair value separate from the transaction price of the BMS Agreement (see Note 3). The Company reevaluates the transaction price at the end of each reporting period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spacing w:after="0" w:line="253"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The Company evaluated the license under ASC 606 and concluded that the license is a functional intellectual property license. The Company determined that BMS benefited from the license along with the initial technology transfer at the time of transfer, and therefore the related performance obligation is satisfied at a point in time. The Company satisfied the performance obligation through delivery of the license and initial technology transfer prior to December 31, 2023 and recognized the upfront payment of $50.0 million as revenue during the year ended December 31, 2023. There was no revenue recognized during the year ended December 31, 2022.</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9. License and Option Agreements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Xencor, Inc.</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2020 Xencor Agreement</w:t>
      </w:r>
    </w:p>
    <w:p>
      <w:pPr>
        <w:spacing w:after="0" w:line="126"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In September 2020, the Company entered into a license agreement (the “2020 Xencor Agreement”) with Xencor, Inc. (“Xencor”), to obtain (a) an exclusive, royalty-bearing, sublicensable worldwide license under certain patent rights controlled by Xencor and (b) a non-exclusive payment bearing license under certain know-how controlled by Xencor to research, develop, manufacture, market and sell three antibody product candidates, including ZB002. The 2020 Xencor Agreement became effective in November 2020, upon the Company’s issuance of 5,041,542 shares of its Series A Preferred Stock, which had a fair value of $16.1 million to Xencor as initial consideration. The Company concluded that as no processes or other activities that would constitute a business were acquired, and the acquired assets did not have an alternative future use, the upfront consideration was expensed to acquired IPR&amp;D during the year ended December 31, 2020.</w:t>
      </w:r>
    </w:p>
    <w:p>
      <w:pPr>
        <w:spacing w:after="0" w:line="238"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Company is required to pay Xencor tiered royalties on annual net sales of successfully commercialized products utilizing the licensed assets. The royalty percentage rates vary by geographic areas as defined in the 2020 Xencor Agreement and range from the mid-single digits to the mid-teens.</w:t>
      </w:r>
    </w:p>
    <w:p>
      <w:pPr>
        <w:spacing w:after="0" w:line="89"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The Company is also obligated to reimburse Xencor for third-party costs incurred by Xencor for certain patent filings, prosecution and maintenance as further specified in the 2020 Xencor Agreement. During the years ended December 31, 2023 and 2022, the Company incurred immaterial costs related to the 2020 Xencor Agreement.</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2021 Xencor Agreement</w:t>
      </w:r>
    </w:p>
    <w:p>
      <w:pPr>
        <w:spacing w:after="0" w:line="126"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In May 2021, the Company entered into a license agreement (the “2021 Xencor Agreement”) with Xencor to obtain an (a) exclusive, royalty-bearing, sublicensable worldwide license under certain patent rights controlled</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6" w:name="page237"/>
    <w:bookmarkEnd w:id="23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9. License and Option Agreements (Continued)</w:t>
      </w:r>
    </w:p>
    <w:p>
      <w:pPr>
        <w:spacing w:after="0" w:line="181"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by Xencor and (b) a non-exclusive payment bearing license under certain know-how controlled by Xencor to research, develop, manufacture, market and sell obexelimab. The 2021 Xencor Agreement became effective in November 2021, upon the execution of an amendment to the 2021 Xencor Agreement and the Company’s concurrent issuance of a warrant to Xencor as initial consideration. See Note 3, “Fair Value Measurement” for details regarding the Xencor Warrant. The Company concluded that as no processes or other activities that would constitute a business were acquired, and the acquired assets did not have an alternative future use, the upfront consideration of $20.7 million was expensed to acquired IPR&amp;D during the year ended December 31, 2021.</w:t>
      </w:r>
    </w:p>
    <w:p>
      <w:pPr>
        <w:spacing w:after="0" w:line="98"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Company is obligated to make specified development, regulatory and commercial milestone payments of up to $10.0 million at Xencor’s option either in cash or fully-paid newly issued shares. The Company is obligated to make regulatory milestone payments up to $75.0 million. The Company is also obligated to make one- time sales milestone payments up to $385.0 million upon achieving milestone events of net sales in a given calendar year in the territory equal to certain threshold amounts. In addition, the Company is required to pay Xencor tiered royalties on annual net sales of successfully commercialized products utilizing obexelimab, with the royalty rates varying based on regions and ranging from the mid-single digits to the mid-teens.</w:t>
      </w:r>
    </w:p>
    <w:p>
      <w:pPr>
        <w:spacing w:after="0" w:line="254"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In April 2023, the Company incurred a $10.0 million development milestone pursuant to the 2021 Xencor Agreement, which Xencor elected to receive in the form of the Company’s Series B Preferred Stock. See Note 10, “Convertible Preferred Stock,” for details. The milestone was recorded as acquired in-process research and development expense in the Company’s consolidated statements of operations and comprehensive loss.</w:t>
      </w:r>
    </w:p>
    <w:p>
      <w:pPr>
        <w:spacing w:after="0" w:line="3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Dianthus Therapeutics Inc.</w:t>
      </w:r>
    </w:p>
    <w:p>
      <w:pPr>
        <w:spacing w:after="0" w:line="117"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In September 2020, the Company entered into an agreement (the “Dianthus Option Agreement”) with Dianthus Therapeutics Inc. (“Dianthus”), a therapeutic antibody company. Under the terms of the Dianthus Option Agreement, the Company obtained an exclusive option to negotiate and enter into exclusive license agreements with Dianthus for the rights to research, develop, manufacture, market and sell products related to either or both of two antibody product candidates based on Dianthus’ proprietary technology in China, Hong Kong, Macau and Taiwan (the “Zenas Territories”). Dianthus retains all rights to develop and commercialize the product candidate subjects of the two options outside of the Zenas Territories. Upon execution of the Dianthus Option Agreement, the Company issued 156,848 shares of its common stock to Dianthus as initial consideration, which was recorded to acquired IPR&amp;D expense during the year ended December 31, 2020.</w:t>
      </w:r>
    </w:p>
    <w:p>
      <w:pPr>
        <w:spacing w:after="0" w:line="249"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Under the Dianthus Option Agreement, Dianthus will notify the Company when it has identified each of two antibody product candidates, and the Company will then have sixty (60) days to notify Dianthus if the Company intends to exercise each of the options. In September 2021, Dianthus notified the Company that it had identified the first lead antibody product candidate pursuant to the Dianthus Option Agreement, ZB005 (also known as DNTH103). In October 2021, the Company notified Dianthus of its intention to exercise its option to ZB005 pursuant to the Dianthus Option Agreement. This notification resulted in a $1.0 million milestone obligation to Dianthus, which was expensed in 2021 upon exercise and subsequently paid during the year ended December 31, 2022. The Company and Dianthus executed a license agreement for ZB005 in June 2022 (the “Dianthus License Agreement”). As of December 31, 2023, Dianthus had not notified the Company of its identification of the second antibody product candidate.</w:t>
      </w:r>
    </w:p>
    <w:p>
      <w:pPr>
        <w:spacing w:after="0" w:line="103"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Company is also required to reimburse Dianthus for a specified percentage of certain third-party costs which Dianthus incurs in its initial discovery and development activities related to each of the two options. To date, the Company has only exercised its option with respect to the ZB005 program, and as a result, it has only reimbursed Dianthus with respect to costs associated with the ZB005 program. During the years ended December 31, 2023 and 2022, the Company incurred $3.0 million and $6.9 million of reimbursable expenses, respectively, which are recorded within research and development expenses in the consolidated statements of</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7" w:name="page238"/>
    <w:bookmarkEnd w:id="23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9. License and Option Agreements (Continued)</w:t>
      </w:r>
    </w:p>
    <w:p>
      <w:pPr>
        <w:spacing w:after="0" w:line="181"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operations and comprehensive loss. Of these amounts, less than $0.1 million and $1.6 million were recorded in accounts payable, and $0.4 million and $3.7 million in accrued expenses, on the Company’s consolidated balance sheets as of December 31, 2023 and 2022, respectively.</w:t>
      </w:r>
    </w:p>
    <w:p>
      <w:pPr>
        <w:spacing w:after="0" w:line="94"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The binding key terms included in the Dianthus License Agreement, and that would be included in a future license agreement if the Company exercises its option with respect to a second research program, also include the Company’s obligation to make specified development milestone payments to Dianthus, one time only, regardless of the number of assets the Company in-licenses from Dianthus with respect to such research program. The milestone obligations for each research program would total up to $11.0 million, based on achievement of each of the specified milestone events. If the Company successfully commercializes a product(s) under a license agreement, the Company will be obligated to make tiered royalty payments, on a product-by-product basis, to Dianthus on annual net sales of such products. Royalties will be calculated as specified percentages of annual net sales, ranging from the mid-single digits to the low-double digits, with each specified tiered level of annual net sales having a specified percentage.</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Viridian Therapeutics, Inc.</w:t>
      </w:r>
    </w:p>
    <w:p>
      <w:pPr>
        <w:spacing w:after="0" w:line="128"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In October 2020, the Company entered into a license agreement (the “Viridian Agreement”) with Viridian Therapeutics, Inc. (“Viridian”), to obtain an exclusive, royalty-bearing, sublicensable license to research, develop, manufacture, market and sell certain antibody product candidates based on Viridian’s proprietary technology. The Company’s license rights are limited to non-oncology indications and to the Zenas Territories. Viridian retains its rights to develop and commercialize such product candidates outside of the Zenas Territories. Upon execution of the Viridian Agreement, the Company issued 336,103 shares of its common stock to Viridian as initial consideration which was recorded as acquired in-process research and development expense in its consolidated statements of operations and comprehensive loss for the year ended December 31, 2020.</w:t>
      </w:r>
    </w:p>
    <w:p>
      <w:pPr>
        <w:spacing w:after="0" w:line="94"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The Company is obligated to make development milestone payments to Viridian, totaling up to $12.0 million, based on achievement of each of the specified milestone events. The Company is also required to pay Viridian tiered royalties on annual net sales of successfully commercialized products utilizing the licensed technology. The royalty percentage rates range from the mid-single digits to the low-double digits. During the year ended December 31, 2023, the Company incurred and paid no milestones to Viridian. During the year ended December 31, 2022, the Company incurred and paid to Viridian a milestone of $1.0 million, which is recorded as acquired in-process research and development expense in the Company’s consolidated statements of operations and comprehensive loss.</w:t>
      </w:r>
    </w:p>
    <w:p>
      <w:pPr>
        <w:spacing w:after="0" w:line="101"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During the year ended December 31, 2021, the Company and Viridian entered into two letter agreements to authorize initiation of certain manufacturing and development activities related to the licensed product candidate, ZB001 (also known as VRDN-001). In each of the letter agreements the Company requested, and Viridian agreed, to engage a third-party contract manufacturer (the “CMO”) to initiate certain work with respect to activities pursuant to one or more statements of work under existing agreements between Viridian and the two CMOs. In May 2022, the Company entered into a manufacturing development and supply agreement with Viridian. The Company paid Viridian for all amounts the CMOs invoice to Viridian for the specified activities. The first letter agreement subsequently was amended three times to add further activities and costs to those detailed in the original letter agreement. During the years ended December 31, 2023 and 2022, the Company recognized an immaterial amount and $1.3 million of expenses, respectively, which were recorded in research and development expenses in the consolidated statements of operations. Of these amounts, less than $0.1 million was included in accrued expenses on the Company’s consolidated balance sheet as of December 31, 2023. There were no research and development expenses included in accrued expenses as of December 31, 2022. As of December 31, 2023, Viridian had not notified the Company of any additional antibody product candidate.</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8" w:name="page239"/>
    <w:bookmarkEnd w:id="23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10. Convertible Preferred Stock</w:t>
      </w:r>
    </w:p>
    <w:p>
      <w:pPr>
        <w:spacing w:after="0" w:line="126"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In September 2020, the Company issued and sold 1,785,714 shares of Series Seed convertible preferred stock (“Series Seed”) in a private financing transaction, at a purchase price of $0.56 per share, for total net cash proceeds of $1.0 million.</w:t>
      </w:r>
    </w:p>
    <w:p>
      <w:pPr>
        <w:spacing w:after="0" w:line="78"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In November 2020, the Company issued 5,041,542 shares of Series A Preferred Stock to Xencor as initial consideration for the 2020 Xencor Agreement (which is more fully described in Note 9, “License and Option Agreements”). Also in November 2020, the Company issued and sold 12,547,838 shares of Series A Preferred Stock in a private financing transaction, at a purchase price of $3.1878 per share, for total net cash proceeds of $39.9 million.</w:t>
      </w:r>
    </w:p>
    <w:p>
      <w:pPr>
        <w:spacing w:after="0" w:line="86"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In November 2022, the Company issued and sold 25,139,732 shares of Series B Preferred Stock in a private financing transaction, at a purchase price of $2.38666 per share, for total net cash proceeds of $59.4 million. Concurrent with the issuance and sale of the Series B Preferred Stock, which was deemed to be a qualified financing as defined in the convertible note agreement and resulted in the principal plus accrued interest being automatically converted into Series B Preferred Stock, the outstanding convertible notes were exchanged for 37,471,107 shares of Series B Preferred Stock. At the same time, the Xencor Warrant, which was issued as initial consideration for the 2021 Xencor Agreement, was deemed exercised for 14,441,793 shares of Series B Preferred Stock.</w:t>
      </w:r>
    </w:p>
    <w:p>
      <w:pPr>
        <w:spacing w:after="0" w:line="88"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In April 2023, the Company incurred a $10.0 million development milestone pursuant to the 2021 Xencor Agreement. See Note 9, “License and Option Agreements,” for details. Xencor elected to receive payment in the form of the Company’s Series B Preferred Stock and the Company issued 4,189,955 shares of Series B Preferred Stock as payment for the development milestone in June 2023.</w:t>
      </w:r>
    </w:p>
    <w:p>
      <w:pPr>
        <w:spacing w:after="0" w:line="84"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Upon the issuance of Series Seed, Series A and Series B Preferred Stock (collectively “Preferred Stock”), the Company assessed the embedded conversion and liquidation features of the shares and determined that such features did not require the Company to separately account for these features.</w:t>
      </w:r>
    </w:p>
    <w:p>
      <w:pPr>
        <w:spacing w:after="0" w:line="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Preferred Stock consisted of the following (in thousands, except share amounts):</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1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180" w:type="dxa"/>
            <w:vAlign w:val="bottom"/>
          </w:tcPr>
          <w:p>
            <w:pPr>
              <w:ind w:left="110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36"/>
        </w:trPr>
        <w:tc>
          <w:tcPr>
            <w:tcW w:w="1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1"/>
              </w:rPr>
              <w:t>Preferred</w:t>
            </w:r>
          </w:p>
        </w:tc>
        <w:tc>
          <w:tcPr>
            <w:tcW w:w="180" w:type="dxa"/>
            <w:vAlign w:val="bottom"/>
          </w:tcPr>
          <w:p>
            <w:pPr>
              <w:spacing w:after="0"/>
              <w:rPr>
                <w:sz w:val="11"/>
                <w:szCs w:val="11"/>
                <w:color w:val="auto"/>
              </w:rPr>
            </w:pPr>
          </w:p>
        </w:tc>
        <w:tc>
          <w:tcPr>
            <w:tcW w:w="7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3"/>
              </w:rPr>
              <w:t>Preferred Stock</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1"/>
              <w:spacing w:after="0" w:line="137" w:lineRule="exact"/>
              <w:rPr>
                <w:sz w:val="20"/>
                <w:szCs w:val="20"/>
                <w:color w:val="auto"/>
              </w:rPr>
            </w:pPr>
            <w:r>
              <w:rPr>
                <w:rFonts w:ascii="Times New Roman" w:cs="Times New Roman" w:eastAsia="Times New Roman" w:hAnsi="Times New Roman"/>
                <w:sz w:val="12"/>
                <w:szCs w:val="12"/>
                <w:b w:val="1"/>
                <w:bCs w:val="1"/>
                <w:color w:val="auto"/>
                <w:w w:val="93"/>
              </w:rPr>
              <w:t>Common Stock</w:t>
            </w:r>
          </w:p>
        </w:tc>
      </w:tr>
      <w:tr>
        <w:trPr>
          <w:trHeight w:val="132"/>
        </w:trPr>
        <w:tc>
          <w:tcPr>
            <w:tcW w:w="1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0"/>
              </w:rPr>
              <w:t>Stock</w:t>
            </w:r>
          </w:p>
        </w:tc>
        <w:tc>
          <w:tcPr>
            <w:tcW w:w="180" w:type="dxa"/>
            <w:vAlign w:val="bottom"/>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Issued and</w:t>
            </w:r>
          </w:p>
        </w:tc>
        <w:tc>
          <w:tcPr>
            <w:tcW w:w="180" w:type="dxa"/>
            <w:vAlign w:val="bottom"/>
          </w:tcPr>
          <w:p>
            <w:pPr>
              <w:spacing w:after="0"/>
              <w:rPr>
                <w:sz w:val="11"/>
                <w:szCs w:val="11"/>
                <w:color w:val="auto"/>
              </w:rPr>
            </w:pPr>
          </w:p>
        </w:tc>
        <w:tc>
          <w:tcPr>
            <w:tcW w:w="6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Carrying</w:t>
            </w:r>
          </w:p>
        </w:tc>
        <w:tc>
          <w:tcPr>
            <w:tcW w:w="180" w:type="dxa"/>
            <w:vAlign w:val="bottom"/>
          </w:tcPr>
          <w:p>
            <w:pPr>
              <w:spacing w:after="0"/>
              <w:rPr>
                <w:sz w:val="11"/>
                <w:szCs w:val="11"/>
                <w:color w:val="auto"/>
              </w:rPr>
            </w:pPr>
          </w:p>
        </w:tc>
        <w:tc>
          <w:tcPr>
            <w:tcW w:w="6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Liquidation</w:t>
            </w:r>
          </w:p>
        </w:tc>
        <w:tc>
          <w:tcPr>
            <w:tcW w:w="180" w:type="dxa"/>
            <w:vAlign w:val="bottom"/>
          </w:tcPr>
          <w:p>
            <w:pPr>
              <w:spacing w:after="0"/>
              <w:rPr>
                <w:sz w:val="11"/>
                <w:szCs w:val="11"/>
                <w:color w:val="auto"/>
              </w:rPr>
            </w:pPr>
          </w:p>
        </w:tc>
        <w:tc>
          <w:tcPr>
            <w:tcW w:w="820" w:type="dxa"/>
            <w:vAlign w:val="bottom"/>
            <w:gridSpan w:val="2"/>
          </w:tcPr>
          <w:p>
            <w:pPr>
              <w:jc w:val="right"/>
              <w:ind w:right="41"/>
              <w:spacing w:after="0" w:line="132" w:lineRule="exact"/>
              <w:rPr>
                <w:sz w:val="20"/>
                <w:szCs w:val="20"/>
                <w:color w:val="auto"/>
              </w:rPr>
            </w:pPr>
            <w:r>
              <w:rPr>
                <w:rFonts w:ascii="Times New Roman" w:cs="Times New Roman" w:eastAsia="Times New Roman" w:hAnsi="Times New Roman"/>
                <w:sz w:val="12"/>
                <w:szCs w:val="12"/>
                <w:b w:val="1"/>
                <w:bCs w:val="1"/>
                <w:color w:val="auto"/>
                <w:w w:val="95"/>
              </w:rPr>
              <w:t>Issuable Upon</w:t>
            </w:r>
          </w:p>
        </w:tc>
      </w:tr>
      <w:tr>
        <w:trPr>
          <w:trHeight w:val="173"/>
        </w:trPr>
        <w:tc>
          <w:tcPr>
            <w:tcW w:w="1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180" w:type="dxa"/>
            <w:vAlign w:val="bottom"/>
          </w:tcPr>
          <w:p>
            <w:pPr>
              <w:ind w:left="1140"/>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Authorized</w:t>
            </w:r>
          </w:p>
        </w:tc>
        <w:tc>
          <w:tcPr>
            <w:tcW w:w="96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Outstanding</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6"/>
              </w:rPr>
              <w:t>Value</w:t>
            </w:r>
          </w:p>
        </w:tc>
        <w:tc>
          <w:tcPr>
            <w:tcW w:w="100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Conversion  </w:t>
            </w:r>
            <w:r>
              <w:rPr>
                <w:rFonts w:ascii="Times New Roman" w:cs="Times New Roman" w:eastAsia="Times New Roman" w:hAnsi="Times New Roman"/>
                <w:sz w:val="20"/>
                <w:szCs w:val="20"/>
                <w:b w:val="1"/>
                <w:bCs w:val="1"/>
                <w:color w:val="auto"/>
                <w:vertAlign w:val="subscript"/>
              </w:rPr>
              <w:t>​</w:t>
            </w:r>
          </w:p>
        </w:tc>
      </w:tr>
      <w:tr>
        <w:trPr>
          <w:trHeight w:val="20"/>
        </w:trPr>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-6350</wp:posOffset>
            </wp:positionV>
            <wp:extent cx="4241800" cy="1397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209"/>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Series Seed Preferred Stock</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1,785,714​​</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1,785,714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956​​</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1,785,714</w:t>
            </w:r>
            <w:r>
              <w:rPr>
                <w:rFonts w:ascii="Times New Roman" w:cs="Times New Roman" w:eastAsia="Times New Roman" w:hAnsi="Times New Roman"/>
                <w:sz w:val="15"/>
                <w:szCs w:val="15"/>
                <w:b w:val="1"/>
                <w:bCs w:val="1"/>
                <w:color w:val="auto"/>
              </w:rPr>
              <w:t>​</w:t>
            </w:r>
          </w:p>
        </w:tc>
      </w:tr>
      <w:tr>
        <w:trPr>
          <w:trHeight w:val="190"/>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Series A Preferred Stock</w:t>
            </w: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 ​​ 17,589,380​​</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17,589,380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55,840​​</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56,071​​</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17,589,380</w:t>
            </w:r>
            <w:r>
              <w:rPr>
                <w:rFonts w:ascii="Times New Roman" w:cs="Times New Roman" w:eastAsia="Times New Roman" w:hAnsi="Times New Roman"/>
                <w:sz w:val="15"/>
                <w:szCs w:val="15"/>
                <w:b w:val="1"/>
                <w:bCs w:val="1"/>
                <w:color w:val="auto"/>
              </w:rPr>
              <w:t>​</w:t>
            </w:r>
          </w:p>
        </w:tc>
      </w:tr>
      <w:tr>
        <w:trPr>
          <w:trHeight w:val="22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B Preferred Stock</w:t>
            </w:r>
          </w:p>
        </w:tc>
        <w:tc>
          <w:tcPr>
            <w:tcW w:w="1020" w:type="dxa"/>
            <w:vAlign w:val="bottom"/>
            <w:gridSpan w:val="5"/>
            <w:shd w:val="clear" w:color="auto" w:fill="CCEEFF"/>
          </w:tcPr>
          <w:p>
            <w:pPr>
              <w:jc w:val="right"/>
              <w:ind w:right="20"/>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81,242,587</w:t>
            </w:r>
            <w:r>
              <w:rPr>
                <w:rFonts w:ascii="Times New Roman" w:cs="Times New Roman" w:eastAsia="Times New Roman" w:hAnsi="Times New Roman"/>
                <w:sz w:val="25"/>
                <w:szCs w:val="25"/>
                <w:color w:val="auto"/>
                <w:vertAlign w:val="subscript"/>
              </w:rPr>
              <w:t>​​</w:t>
            </w:r>
          </w:p>
        </w:tc>
        <w:tc>
          <w:tcPr>
            <w:tcW w:w="960" w:type="dxa"/>
            <w:vAlign w:val="bottom"/>
            <w:gridSpan w:val="4"/>
            <w:shd w:val="clear" w:color="auto" w:fill="CCEEFF"/>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81,242,587 </w:t>
            </w:r>
            <w:r>
              <w:rPr>
                <w:rFonts w:ascii="Times New Roman" w:cs="Times New Roman" w:eastAsia="Times New Roman" w:hAnsi="Times New Roman"/>
                <w:sz w:val="25"/>
                <w:szCs w:val="25"/>
                <w:color w:val="auto"/>
                <w:vertAlign w:val="subscript"/>
              </w:rPr>
              <w:t>​​</w:t>
            </w:r>
          </w:p>
        </w:tc>
        <w:tc>
          <w:tcPr>
            <w:tcW w:w="840" w:type="dxa"/>
            <w:vAlign w:val="bottom"/>
            <w:gridSpan w:val="4"/>
            <w:shd w:val="clear" w:color="auto" w:fill="CCEEFF"/>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193,290</w:t>
            </w:r>
            <w:r>
              <w:rPr>
                <w:rFonts w:ascii="Times New Roman" w:cs="Times New Roman" w:eastAsia="Times New Roman" w:hAnsi="Times New Roman"/>
                <w:sz w:val="25"/>
                <w:szCs w:val="25"/>
                <w:color w:val="auto"/>
                <w:vertAlign w:val="subscript"/>
              </w:rPr>
              <w:t>​​</w:t>
            </w:r>
          </w:p>
        </w:tc>
        <w:tc>
          <w:tcPr>
            <w:tcW w:w="800" w:type="dxa"/>
            <w:vAlign w:val="bottom"/>
            <w:tcBorders>
              <w:left w:val="single" w:sz="8" w:color="CCEEFF"/>
            </w:tcBorders>
            <w:gridSpan w:val="3"/>
            <w:shd w:val="clear" w:color="auto" w:fill="CCEEFF"/>
          </w:tcPr>
          <w:p>
            <w:pP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193,898</w:t>
            </w:r>
            <w:r>
              <w:rPr>
                <w:rFonts w:ascii="Times New Roman" w:cs="Times New Roman" w:eastAsia="Times New Roman" w:hAnsi="Times New Roman"/>
                <w:sz w:val="25"/>
                <w:szCs w:val="25"/>
                <w:color w:val="auto"/>
                <w:vertAlign w:val="subscript"/>
              </w:rPr>
              <w:t>​​</w:t>
            </w:r>
          </w:p>
        </w:tc>
        <w:tc>
          <w:tcPr>
            <w:tcW w:w="12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81,242,587</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22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gridSpan w:val="2"/>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tcBorders>
              <w:lef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1"/>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020" w:type="dxa"/>
            <w:vAlign w:val="bottom"/>
            <w:gridSpan w:val="5"/>
          </w:tcPr>
          <w:p>
            <w:pPr>
              <w:jc w:val="right"/>
              <w:ind w:right="2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​100,617,681</w:t>
            </w:r>
            <w:r>
              <w:rPr>
                <w:rFonts w:ascii="Times New Roman" w:cs="Times New Roman" w:eastAsia="Times New Roman" w:hAnsi="Times New Roman"/>
                <w:sz w:val="23"/>
                <w:szCs w:val="23"/>
                <w:color w:val="auto"/>
                <w:vertAlign w:val="subscript"/>
              </w:rPr>
              <w:t>​​</w:t>
            </w:r>
          </w:p>
        </w:tc>
        <w:tc>
          <w:tcPr>
            <w:tcW w:w="960" w:type="dxa"/>
            <w:vAlign w:val="bottom"/>
            <w:gridSpan w:val="4"/>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​100,617,681 </w:t>
            </w:r>
            <w:r>
              <w:rPr>
                <w:rFonts w:ascii="Times New Roman" w:cs="Times New Roman" w:eastAsia="Times New Roman" w:hAnsi="Times New Roman"/>
                <w:sz w:val="23"/>
                <w:szCs w:val="23"/>
                <w:color w:val="auto"/>
                <w:vertAlign w:val="subscript"/>
              </w:rPr>
              <w:t>​​</w:t>
            </w:r>
          </w:p>
        </w:tc>
        <w:tc>
          <w:tcPr>
            <w:tcW w:w="840" w:type="dxa"/>
            <w:vAlign w:val="bottom"/>
            <w:gridSpan w:val="4"/>
          </w:tcPr>
          <w:p>
            <w:pPr>
              <w:ind w:left="4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250,086</w:t>
            </w:r>
            <w:r>
              <w:rPr>
                <w:rFonts w:ascii="Times New Roman" w:cs="Times New Roman" w:eastAsia="Times New Roman" w:hAnsi="Times New Roman"/>
                <w:sz w:val="23"/>
                <w:szCs w:val="23"/>
                <w:color w:val="auto"/>
                <w:vertAlign w:val="subscript"/>
              </w:rPr>
              <w:t>​​</w:t>
            </w:r>
          </w:p>
        </w:tc>
        <w:tc>
          <w:tcPr>
            <w:tcW w:w="800" w:type="dxa"/>
            <w:vAlign w:val="bottom"/>
            <w:gridSpan w:val="3"/>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250,969</w:t>
            </w:r>
            <w:r>
              <w:rPr>
                <w:rFonts w:ascii="Times New Roman" w:cs="Times New Roman" w:eastAsia="Times New Roman" w:hAnsi="Times New Roman"/>
                <w:sz w:val="23"/>
                <w:szCs w:val="23"/>
                <w:color w:val="auto"/>
                <w:vertAlign w:val="subscript"/>
              </w:rPr>
              <w:t>​​</w:t>
            </w:r>
          </w:p>
        </w:tc>
        <w:tc>
          <w:tcPr>
            <w:tcW w:w="880" w:type="dxa"/>
            <w:vAlign w:val="bottom"/>
            <w:gridSpan w:val="5"/>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​100,617,681</w:t>
            </w:r>
            <w:r>
              <w:rPr>
                <w:rFonts w:ascii="Times New Roman" w:cs="Times New Roman" w:eastAsia="Times New Roman" w:hAnsi="Times New Roman"/>
                <w:sz w:val="23"/>
                <w:szCs w:val="23"/>
                <w:b w:val="1"/>
                <w:bCs w:val="1"/>
                <w:color w:val="auto"/>
                <w:vertAlign w:val="subscript"/>
              </w:rPr>
              <w:t>​</w:t>
            </w:r>
          </w:p>
        </w:tc>
      </w:tr>
      <w:tr>
        <w:trPr>
          <w:trHeight w:val="20"/>
        </w:trPr>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2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gridSpan w:val="2"/>
          </w:tcPr>
          <w:p>
            <w:pPr>
              <w:jc w:val="right"/>
              <w:ind w:right="13"/>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December 31, 2022</w:t>
            </w: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36"/>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20"/>
              <w:spacing w:after="0" w:line="137"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80" w:type="dxa"/>
            <w:vAlign w:val="bottom"/>
          </w:tcPr>
          <w:p>
            <w:pPr>
              <w:spacing w:after="0"/>
              <w:rPr>
                <w:sz w:val="11"/>
                <w:szCs w:val="11"/>
                <w:color w:val="auto"/>
              </w:rPr>
            </w:pPr>
          </w:p>
        </w:tc>
        <w:tc>
          <w:tcPr>
            <w:tcW w:w="880" w:type="dxa"/>
            <w:vAlign w:val="bottom"/>
            <w:gridSpan w:val="3"/>
          </w:tcPr>
          <w:p>
            <w:pPr>
              <w:jc w:val="center"/>
              <w:ind w:right="61"/>
              <w:spacing w:after="0" w:line="137" w:lineRule="exact"/>
              <w:rPr>
                <w:sz w:val="20"/>
                <w:szCs w:val="20"/>
                <w:color w:val="auto"/>
              </w:rPr>
            </w:pPr>
            <w:r>
              <w:rPr>
                <w:rFonts w:ascii="Times New Roman" w:cs="Times New Roman" w:eastAsia="Times New Roman" w:hAnsi="Times New Roman"/>
                <w:sz w:val="12"/>
                <w:szCs w:val="12"/>
                <w:b w:val="1"/>
                <w:bCs w:val="1"/>
                <w:color w:val="auto"/>
                <w:w w:val="93"/>
              </w:rPr>
              <w:t>Preferred Stock</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Common Stock</w:t>
            </w:r>
          </w:p>
        </w:tc>
      </w:tr>
      <w:tr>
        <w:trPr>
          <w:trHeight w:val="132"/>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320"/>
              <w:spacing w:after="0" w:line="132" w:lineRule="exact"/>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jc w:val="center"/>
              <w:ind w:right="101"/>
              <w:spacing w:after="0" w:line="132" w:lineRule="exact"/>
              <w:rPr>
                <w:sz w:val="20"/>
                <w:szCs w:val="20"/>
                <w:color w:val="auto"/>
              </w:rPr>
            </w:pPr>
            <w:r>
              <w:rPr>
                <w:rFonts w:ascii="Times New Roman" w:cs="Times New Roman" w:eastAsia="Times New Roman" w:hAnsi="Times New Roman"/>
                <w:sz w:val="12"/>
                <w:szCs w:val="12"/>
                <w:b w:val="1"/>
                <w:bCs w:val="1"/>
                <w:color w:val="auto"/>
                <w:w w:val="94"/>
              </w:rPr>
              <w:t>Issued and</w:t>
            </w:r>
          </w:p>
        </w:tc>
        <w:tc>
          <w:tcPr>
            <w:tcW w:w="80" w:type="dxa"/>
            <w:vAlign w:val="bottom"/>
          </w:tcPr>
          <w:p>
            <w:pPr>
              <w:spacing w:after="0"/>
              <w:rPr>
                <w:sz w:val="11"/>
                <w:szCs w:val="11"/>
                <w:color w:val="auto"/>
              </w:rPr>
            </w:pPr>
          </w:p>
        </w:tc>
        <w:tc>
          <w:tcPr>
            <w:tcW w:w="64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Carrying</w:t>
            </w:r>
          </w:p>
        </w:tc>
        <w:tc>
          <w:tcPr>
            <w:tcW w:w="120" w:type="dxa"/>
            <w:vAlign w:val="bottom"/>
          </w:tcPr>
          <w:p>
            <w:pPr>
              <w:spacing w:after="0"/>
              <w:rPr>
                <w:sz w:val="11"/>
                <w:szCs w:val="11"/>
                <w:color w:val="auto"/>
              </w:rPr>
            </w:pPr>
          </w:p>
        </w:tc>
        <w:tc>
          <w:tcPr>
            <w:tcW w:w="6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Liquidation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jc w:val="right"/>
              <w:ind w:right="30"/>
              <w:spacing w:after="0" w:line="132" w:lineRule="exact"/>
              <w:rPr>
                <w:sz w:val="20"/>
                <w:szCs w:val="20"/>
                <w:color w:val="auto"/>
              </w:rPr>
            </w:pPr>
            <w:r>
              <w:rPr>
                <w:rFonts w:ascii="Times New Roman" w:cs="Times New Roman" w:eastAsia="Times New Roman" w:hAnsi="Times New Roman"/>
                <w:sz w:val="12"/>
                <w:szCs w:val="12"/>
                <w:b w:val="1"/>
                <w:bCs w:val="1"/>
                <w:color w:val="auto"/>
                <w:w w:val="87"/>
              </w:rPr>
              <w:t>Issuable Upon</w:t>
            </w:r>
          </w:p>
        </w:tc>
      </w:tr>
      <w:tr>
        <w:trPr>
          <w:trHeight w:val="173"/>
        </w:trPr>
        <w:tc>
          <w:tcPr>
            <w:tcW w:w="2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gridSpan w:val="2"/>
          </w:tcPr>
          <w:p>
            <w:pPr>
              <w:jc w:val="right"/>
              <w:ind w:right="40"/>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Authorized  </w:t>
            </w:r>
            <w:r>
              <w:rPr>
                <w:rFonts w:ascii="Times New Roman" w:cs="Times New Roman" w:eastAsia="Times New Roman" w:hAnsi="Times New Roman"/>
                <w:sz w:val="20"/>
                <w:szCs w:val="20"/>
                <w:b w:val="1"/>
                <w:bCs w:val="1"/>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5"/>
                <w:szCs w:val="15"/>
                <w:color w:val="auto"/>
              </w:rPr>
            </w:pPr>
          </w:p>
        </w:tc>
        <w:tc>
          <w:tcPr>
            <w:tcW w:w="84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Outstanding  </w:t>
            </w:r>
            <w:r>
              <w:rPr>
                <w:rFonts w:ascii="Times New Roman" w:cs="Times New Roman" w:eastAsia="Times New Roman" w:hAnsi="Times New Roman"/>
                <w:sz w:val="20"/>
                <w:szCs w:val="20"/>
                <w:b w:val="1"/>
                <w:bCs w:val="1"/>
                <w:color w:val="auto"/>
                <w:vertAlign w:val="subscript"/>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jc w:val="center"/>
              <w:ind w:right="70"/>
              <w:spacing w:after="0"/>
              <w:rPr>
                <w:sz w:val="20"/>
                <w:szCs w:val="20"/>
                <w:color w:val="auto"/>
              </w:rPr>
            </w:pPr>
            <w:r>
              <w:rPr>
                <w:rFonts w:ascii="Times New Roman" w:cs="Times New Roman" w:eastAsia="Times New Roman" w:hAnsi="Times New Roman"/>
                <w:sz w:val="12"/>
                <w:szCs w:val="12"/>
                <w:b w:val="1"/>
                <w:bCs w:val="1"/>
                <w:color w:val="auto"/>
                <w:w w:val="86"/>
              </w:rPr>
              <w:t>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gridSpan w:val="4"/>
          </w:tcPr>
          <w:p>
            <w:pPr>
              <w:jc w:val="right"/>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Conversion  </w:t>
            </w:r>
            <w:r>
              <w:rPr>
                <w:rFonts w:ascii="Times New Roman" w:cs="Times New Roman" w:eastAsia="Times New Roman" w:hAnsi="Times New Roman"/>
                <w:sz w:val="20"/>
                <w:szCs w:val="20"/>
                <w:b w:val="1"/>
                <w:bCs w:val="1"/>
                <w:color w:val="auto"/>
                <w:vertAlign w:val="subscript"/>
              </w:rPr>
              <w:t>​</w:t>
            </w:r>
          </w:p>
        </w:tc>
      </w:tr>
      <w:tr>
        <w:trPr>
          <w:trHeight w:val="20"/>
        </w:trPr>
        <w:tc>
          <w:tcPr>
            <w:tcW w:w="2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tcBorders>
              <w:left w:val="single" w:sz="8" w:color="CCEEFF"/>
            </w:tcBorders>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Seed Preferred Stock</w:t>
            </w:r>
          </w:p>
        </w:tc>
        <w:tc>
          <w:tcPr>
            <w:tcW w:w="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1,785,714​​</w:t>
            </w:r>
          </w:p>
        </w:tc>
        <w:tc>
          <w:tcPr>
            <w:tcW w:w="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1,785,714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956​​</w:t>
            </w:r>
          </w:p>
        </w:tc>
        <w:tc>
          <w:tcPr>
            <w:tcW w:w="2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840" w:type="dxa"/>
            <w:vAlign w:val="bottom"/>
            <w:tcBorders>
              <w:lef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1,785,714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Series A Preferred Stock</w:t>
            </w:r>
          </w:p>
        </w:tc>
        <w:tc>
          <w:tcPr>
            <w:tcW w:w="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​​17,589,380​​</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17,589,380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55,840​​</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56,071​​</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​17,589,380 ​</w:t>
            </w:r>
          </w:p>
        </w:tc>
      </w:tr>
      <w:tr>
        <w:trPr>
          <w:trHeight w:val="22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B Preferred Stock</w:t>
            </w:r>
          </w:p>
        </w:tc>
        <w:tc>
          <w:tcPr>
            <w:tcW w:w="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​77,052,632</w:t>
            </w:r>
            <w:r>
              <w:rPr>
                <w:rFonts w:ascii="Times New Roman" w:cs="Times New Roman" w:eastAsia="Times New Roman" w:hAnsi="Times New Roman"/>
                <w:sz w:val="25"/>
                <w:szCs w:val="25"/>
                <w:color w:val="auto"/>
                <w:vertAlign w:val="subscript"/>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CCEEFF"/>
            </w:tcBorders>
            <w:shd w:val="clear" w:color="auto" w:fill="CCEEFF"/>
          </w:tcPr>
          <w:p>
            <w:pPr>
              <w:spacing w:after="0"/>
              <w:rPr>
                <w:sz w:val="19"/>
                <w:szCs w:val="19"/>
                <w:color w:val="auto"/>
              </w:rPr>
            </w:pPr>
          </w:p>
        </w:tc>
        <w:tc>
          <w:tcPr>
            <w:tcW w:w="84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77,052,632 </w:t>
            </w:r>
            <w:r>
              <w:rPr>
                <w:rFonts w:ascii="Times New Roman" w:cs="Times New Roman" w:eastAsia="Times New Roman" w:hAnsi="Times New Roman"/>
                <w:sz w:val="25"/>
                <w:szCs w:val="25"/>
                <w:color w:val="auto"/>
                <w:vertAlign w:val="subscript"/>
              </w:rPr>
              <w:t>​​</w:t>
            </w:r>
          </w:p>
        </w:tc>
        <w:tc>
          <w:tcPr>
            <w:tcW w:w="840" w:type="dxa"/>
            <w:vAlign w:val="bottom"/>
            <w:gridSpan w:val="4"/>
            <w:shd w:val="clear" w:color="auto" w:fill="CCEEFF"/>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183,290</w:t>
            </w:r>
            <w:r>
              <w:rPr>
                <w:rFonts w:ascii="Times New Roman" w:cs="Times New Roman" w:eastAsia="Times New Roman" w:hAnsi="Times New Roman"/>
                <w:sz w:val="25"/>
                <w:szCs w:val="25"/>
                <w:color w:val="auto"/>
                <w:vertAlign w:val="subscript"/>
              </w:rPr>
              <w:t>​​</w:t>
            </w:r>
          </w:p>
        </w:tc>
        <w:tc>
          <w:tcPr>
            <w:tcW w:w="800" w:type="dxa"/>
            <w:vAlign w:val="bottom"/>
            <w:tcBorders>
              <w:left w:val="single" w:sz="8" w:color="CCEEFF"/>
            </w:tcBorders>
            <w:gridSpan w:val="3"/>
            <w:shd w:val="clear" w:color="auto" w:fill="CCEEFF"/>
          </w:tcPr>
          <w:p>
            <w:pP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183,898</w:t>
            </w:r>
            <w:r>
              <w:rPr>
                <w:rFonts w:ascii="Times New Roman" w:cs="Times New Roman" w:eastAsia="Times New Roman" w:hAnsi="Times New Roman"/>
                <w:sz w:val="25"/>
                <w:szCs w:val="25"/>
                <w:color w:val="auto"/>
                <w:vertAlign w:val="subscript"/>
              </w:rPr>
              <w:t>​​</w:t>
            </w:r>
          </w:p>
        </w:tc>
        <w:tc>
          <w:tcPr>
            <w:tcW w:w="840" w:type="dxa"/>
            <w:vAlign w:val="bottom"/>
            <w:tcBorders>
              <w:left w:val="single" w:sz="8" w:color="CCEEFF"/>
            </w:tcBorders>
            <w:gridSpan w:val="4"/>
            <w:shd w:val="clear" w:color="auto" w:fill="CCEEFF"/>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​77,052,632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tcBorders>
              <w:lef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840" w:type="dxa"/>
            <w:vAlign w:val="bottom"/>
            <w:gridSpan w:val="3"/>
          </w:tcPr>
          <w:p>
            <w:pPr>
              <w:jc w:val="right"/>
              <w:ind w:right="2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​96,427,726</w:t>
            </w:r>
            <w:r>
              <w:rPr>
                <w:rFonts w:ascii="Times New Roman" w:cs="Times New Roman" w:eastAsia="Times New Roman" w:hAnsi="Times New Roman"/>
                <w:sz w:val="23"/>
                <w:szCs w:val="23"/>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40" w:type="dxa"/>
            <w:vAlign w:val="bottom"/>
            <w:gridSpan w:val="2"/>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​96,427,726 </w:t>
            </w:r>
            <w:r>
              <w:rPr>
                <w:rFonts w:ascii="Times New Roman" w:cs="Times New Roman" w:eastAsia="Times New Roman" w:hAnsi="Times New Roman"/>
                <w:sz w:val="23"/>
                <w:szCs w:val="23"/>
                <w:color w:val="auto"/>
                <w:vertAlign w:val="subscript"/>
              </w:rPr>
              <w:t>​​</w:t>
            </w:r>
          </w:p>
        </w:tc>
        <w:tc>
          <w:tcPr>
            <w:tcW w:w="840" w:type="dxa"/>
            <w:vAlign w:val="bottom"/>
            <w:gridSpan w:val="4"/>
          </w:tcPr>
          <w:p>
            <w:pPr>
              <w:ind w:left="4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240,086</w:t>
            </w:r>
            <w:r>
              <w:rPr>
                <w:rFonts w:ascii="Times New Roman" w:cs="Times New Roman" w:eastAsia="Times New Roman" w:hAnsi="Times New Roman"/>
                <w:sz w:val="23"/>
                <w:szCs w:val="23"/>
                <w:color w:val="auto"/>
                <w:vertAlign w:val="subscript"/>
              </w:rPr>
              <w:t>​​</w:t>
            </w:r>
          </w:p>
        </w:tc>
        <w:tc>
          <w:tcPr>
            <w:tcW w:w="800" w:type="dxa"/>
            <w:vAlign w:val="bottom"/>
            <w:gridSpan w:val="3"/>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240,969</w:t>
            </w:r>
            <w:r>
              <w:rPr>
                <w:rFonts w:ascii="Times New Roman" w:cs="Times New Roman" w:eastAsia="Times New Roman" w:hAnsi="Times New Roman"/>
                <w:sz w:val="23"/>
                <w:szCs w:val="23"/>
                <w:color w:val="auto"/>
                <w:vertAlign w:val="subscript"/>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4"/>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​96,427,726 </w:t>
            </w:r>
            <w:r>
              <w:rPr>
                <w:rFonts w:ascii="Times New Roman" w:cs="Times New Roman" w:eastAsia="Times New Roman" w:hAnsi="Times New Roman"/>
                <w:sz w:val="23"/>
                <w:szCs w:val="23"/>
                <w:color w:val="auto"/>
                <w:vertAlign w:val="subscript"/>
              </w:rPr>
              <w:t>​</w:t>
            </w:r>
          </w:p>
        </w:tc>
      </w:tr>
      <w:tr>
        <w:trPr>
          <w:trHeight w:val="20"/>
        </w:trPr>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-1290320</wp:posOffset>
            </wp:positionV>
            <wp:extent cx="13970"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-585470</wp:posOffset>
            </wp:positionV>
            <wp:extent cx="111760"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-585470</wp:posOffset>
            </wp:positionV>
            <wp:extent cx="111760"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-585470</wp:posOffset>
            </wp:positionV>
            <wp:extent cx="111760"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-585470</wp:posOffset>
            </wp:positionV>
            <wp:extent cx="2099945"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099945" cy="6985"/>
                    </a:xfrm>
                    <a:prstGeom prst="rect">
                      <a:avLst/>
                    </a:prstGeom>
                    <a:noFill/>
                  </pic:spPr>
                </pic:pic>
              </a:graphicData>
            </a:graphic>
          </wp:anchor>
        </w:drawing>
      </w:r>
    </w:p>
    <w:p>
      <w:pPr>
        <w:spacing w:after="0" w:line="1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holders of preferred stock have the following rights, preferences and privileges:</w:t>
      </w:r>
    </w:p>
    <w:p>
      <w:pPr>
        <w:spacing w:after="0" w:line="1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Voting</w:t>
      </w:r>
    </w:p>
    <w:p>
      <w:pPr>
        <w:spacing w:after="0" w:line="126" w:lineRule="exact"/>
        <w:rPr>
          <w:sz w:val="20"/>
          <w:szCs w:val="20"/>
          <w:color w:val="auto"/>
        </w:rPr>
      </w:pPr>
    </w:p>
    <w:p>
      <w:pPr>
        <w:ind w:left="1160" w:right="1179"/>
        <w:spacing w:after="0" w:line="254" w:lineRule="auto"/>
        <w:rPr>
          <w:sz w:val="20"/>
          <w:szCs w:val="20"/>
          <w:color w:val="auto"/>
        </w:rPr>
      </w:pPr>
      <w:r>
        <w:rPr>
          <w:rFonts w:ascii="Times New Roman" w:cs="Times New Roman" w:eastAsia="Times New Roman" w:hAnsi="Times New Roman"/>
          <w:sz w:val="15"/>
          <w:szCs w:val="15"/>
          <w:color w:val="auto"/>
        </w:rPr>
        <w:t>The holder of each share of Preferred Stock is entitled to one vote for each share of common stock into which it would convert and to vote with the common stock on all matters.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9" w:name="page240"/>
    <w:bookmarkEnd w:id="23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10. Convertible Preferred Stock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Conversion</w:t>
      </w:r>
    </w:p>
    <w:p>
      <w:pPr>
        <w:spacing w:after="0" w:line="126"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Each share of convertible preferred stock shall be automatically converted into a share of common stock, upon affirmative vote of majority of the holders of each series or upon the closing of an initial public offering of the Company’s common stock which results in a specified minimum amount of gross cash proceeds. The conversion ratio is initially one share of common stock for each share of convertible preferred stock and shall be adjusted in the event of a split or reverse split of the Company’s common stock, an issuance or declaration of dividends to holders of the Company’s common stock, a reorganization or merger transaction, or certain issuances of shares of common stock which are dilutive to holders of the Company’s preferred stock. Holders of preferred stock have the right to one vote for each share of the Company’s common stock into which such holder’s shares of preferred stock could then convert.</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Dividends</w:t>
      </w:r>
    </w:p>
    <w:p>
      <w:pPr>
        <w:spacing w:after="0" w:line="126"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Holders of Series B Preferred Stock will be entitled to receive dividends, only when, as and if declared by the Board, at the annual rate of 6% of the Series B Preferred Stock issue price, payable in preference to and satisfied before any dividend or distribution on any other class or series of the Company’s shares (except for certain exempted distributions) . If any assets or funds remain after dividends have been distributed to holders of Series B Preferred Stock, holders of Series A Preferred Stock will be entitled to receive dividends, only when, as and if declared by the Board, at the annual rate of 6% of the Series A issue price, payable in preference to and satisfied before any dividend or distribution on any other class or series of the Company’s shares (except for certain exempted distributions). If any assets or funds remain after dividends have been distributed to holders of Series A Preferred Stock, holders of Series Seed Preferred Stock will be entitled to receive dividends, only when, as and if declared by the Board, at the annual rate of 6% of the Series Seed issue price, payable in preference to and satisfied before any dividend or distribution on any other class or series of the Company’s shares (except for certain exempted distributions). The right to receive dividends on shares of all series of preferred stock is not cumulative, and no such right accrues to holders of such shares. There have been no dividends declared or paid as of December 31, 2023.</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Liquidation Preference</w:t>
      </w:r>
    </w:p>
    <w:p>
      <w:pPr>
        <w:spacing w:after="0" w:line="126"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In the event of a voluntary or involuntary liquidation, dissolution or winding up of the Company or a deemed liquidation event, holders of Series B Preferred Stock prior and in preference to any distribution to holders of Series A Preferred Stock, Series Seed Preferred Stock and common shares, would be entitled to be paid the issue price they originally paid to acquire their shares, plus any declared but unpaid dividends. After full payment to holders of Series B Preferred Stock, holders of Series A Preferred Stock prior and in preference to any distribution to holders of Series Seed Preferred Stock and common shares, would be entitled to be paid the issue price they originally paid to acquire their shares, plus any declared and unpaid dividends. After full payment to holders of Series B Preferred Stock and Series A Preferred Stock, holders of Series Seed Preferred Stock prior and in preference to any distribution to holders of common shares, would be entitled to be paid the issue price they originally paid to acquire their shares, plus any declared and unpaid dividends. Any remaining amounts after payment to holders of preferred stock, would be paid to holders of common shares. A deemed liquidation event is defined (in the Company’s Third Amended Articles of Association) as any consolidation, amalgamation, scheme of arrangement or merger of the Company (and any of its subsidiaries) or other reorganization resulting in loss of more than 50% voting power; the sale, transfer, lease or other disposition of all or substantially all of the Company’s assets; or the exclusive licensing of all or substantially all of the Company’s intellectual property.</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Redemption</w:t>
      </w:r>
    </w:p>
    <w:p>
      <w:pPr>
        <w:spacing w:after="0" w:line="126"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The Preferred Stock does not have redemption rights, except for the contingent redemption upon the occurrence of a Liquidation Event.</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0" w:name="page241"/>
    <w:bookmarkEnd w:id="24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11. Common Stock</w:t>
      </w:r>
    </w:p>
    <w:p>
      <w:pPr>
        <w:spacing w:after="0" w:line="126" w:lineRule="exact"/>
        <w:rPr>
          <w:sz w:val="20"/>
          <w:szCs w:val="20"/>
          <w:color w:val="auto"/>
        </w:rPr>
      </w:pPr>
    </w:p>
    <w:p>
      <w:pPr>
        <w:jc w:val="both"/>
        <w:ind w:left="1160" w:right="1179"/>
        <w:spacing w:after="0" w:line="258" w:lineRule="auto"/>
        <w:rPr>
          <w:sz w:val="20"/>
          <w:szCs w:val="20"/>
          <w:color w:val="auto"/>
        </w:rPr>
      </w:pPr>
      <w:r>
        <w:rPr>
          <w:rFonts w:ascii="Times New Roman" w:cs="Times New Roman" w:eastAsia="Times New Roman" w:hAnsi="Times New Roman"/>
          <w:sz w:val="15"/>
          <w:szCs w:val="15"/>
          <w:color w:val="auto"/>
        </w:rPr>
        <w:t>In August 2023, all outstanding shares of ordinary stock of Zenas Cayman were exchanged for shares of common stock upon the Redomicile and incorporation in the State of Delaware as Zenas BioPharma, Inc. The Company was authorized to issue 175,000,000 and 403,572,274 shares of $0.0001 par value common stock and ordinary stock as of December 31, 2023 and 2022, respectively. The voting, dividend and liquidation rights of the holders of the Company’s common stock are subject to and qualified by the rights, powers and preference of the holders of the preferred stock set forth above.</w:t>
      </w:r>
    </w:p>
    <w:p>
      <w:pPr>
        <w:spacing w:after="0" w:line="107" w:lineRule="exact"/>
        <w:rPr>
          <w:sz w:val="20"/>
          <w:szCs w:val="20"/>
          <w:color w:val="auto"/>
        </w:rPr>
      </w:pPr>
    </w:p>
    <w:p>
      <w:pPr>
        <w:jc w:val="both"/>
        <w:ind w:left="1160" w:right="1179"/>
        <w:spacing w:after="0" w:line="258" w:lineRule="auto"/>
        <w:rPr>
          <w:sz w:val="20"/>
          <w:szCs w:val="20"/>
          <w:color w:val="auto"/>
        </w:rPr>
      </w:pPr>
      <w:r>
        <w:rPr>
          <w:rFonts w:ascii="Times New Roman" w:cs="Times New Roman" w:eastAsia="Times New Roman" w:hAnsi="Times New Roman"/>
          <w:sz w:val="15"/>
          <w:szCs w:val="15"/>
          <w:color w:val="auto"/>
        </w:rPr>
        <w:t>The holders of the common stock are entitled to one vote for each share of common stock held at all meetings of stockholders (and written actions in lieu of meetings), and there are not any cumulative voting rights. The number of authorized shares of common stock may be increased or decreased by the affirmative vote of the holders of shares of capital stock of the Company; however, the issuance of common stock may be subject to the vote of the holders of one or more series of convertible preferred stock.</w:t>
      </w:r>
    </w:p>
    <w:p>
      <w:pPr>
        <w:spacing w:after="0" w:line="106"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The Company had reserved the following shares of common stock for the potential conversion of outstanding convertible preferred stock and exercise of stock options:</w:t>
      </w:r>
    </w:p>
    <w:p>
      <w:pPr>
        <w:spacing w:after="0" w:line="103"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500" w:type="dxa"/>
            <w:vAlign w:val="bottom"/>
            <w:tcBorders>
              <w:bottom w:val="single" w:sz="8" w:color="auto"/>
            </w:tcBorders>
          </w:tcPr>
          <w:p>
            <w:pPr>
              <w:spacing w:after="0"/>
              <w:rPr>
                <w:sz w:val="16"/>
                <w:szCs w:val="16"/>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 ​</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Conversion of outstanding shares of convertible preferred stock</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​​100,617,681​​ ​​ 96,427,726</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Options to purchase common stock</w:t>
            </w:r>
          </w:p>
        </w:tc>
        <w:tc>
          <w:tcPr>
            <w:tcW w:w="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gridSpan w:val="9"/>
          </w:tcPr>
          <w:p>
            <w:pPr>
              <w:jc w:val="right"/>
              <w:spacing w:after="0"/>
              <w:rPr>
                <w:sz w:val="20"/>
                <w:szCs w:val="20"/>
                <w:color w:val="auto"/>
              </w:rPr>
            </w:pPr>
            <w:r>
              <w:rPr>
                <w:rFonts w:ascii="Times New Roman" w:cs="Times New Roman" w:eastAsia="Times New Roman" w:hAnsi="Times New Roman"/>
                <w:sz w:val="15"/>
                <w:szCs w:val="15"/>
                <w:color w:val="auto"/>
              </w:rPr>
              <w:t>​​ 20,691,247​​ ​​ 17,774,295​</w:t>
            </w:r>
          </w:p>
        </w:tc>
      </w:tr>
      <w:tr>
        <w:trPr>
          <w:trHeight w:val="22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Remaining shares reserved for future issuance</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1520" w:type="dxa"/>
            <w:vAlign w:val="bottom"/>
            <w:gridSpan w:val="5"/>
            <w:shd w:val="clear" w:color="auto" w:fill="CCEEFF"/>
          </w:tcPr>
          <w:p>
            <w:pPr>
              <w:ind w:left="120"/>
              <w:spacing w:after="0" w:line="220" w:lineRule="exact"/>
              <w:rPr>
                <w:sz w:val="20"/>
                <w:szCs w:val="20"/>
                <w:color w:val="auto"/>
              </w:rPr>
            </w:pPr>
            <w:r>
              <w:rPr>
                <w:rFonts w:ascii="Times New Roman" w:cs="Times New Roman" w:eastAsia="Times New Roman" w:hAnsi="Times New Roman"/>
                <w:sz w:val="13"/>
                <w:szCs w:val="13"/>
                <w:color w:val="auto"/>
              </w:rPr>
              <w:t>527,876</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2,234,328</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1"/>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gridSpan w:val="9"/>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​121,836,804</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​116,436,349</w:t>
            </w:r>
            <w:r>
              <w:rPr>
                <w:rFonts w:ascii="Times New Roman" w:cs="Times New Roman" w:eastAsia="Times New Roman" w:hAnsi="Times New Roman"/>
                <w:sz w:val="23"/>
                <w:szCs w:val="23"/>
                <w:color w:val="auto"/>
                <w:vertAlign w:val="subscript"/>
              </w:rPr>
              <w:t>​</w:t>
            </w: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-585470</wp:posOffset>
            </wp:positionV>
            <wp:extent cx="3767455"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767455" cy="6985"/>
                    </a:xfrm>
                    <a:prstGeom prst="rect">
                      <a:avLst/>
                    </a:prstGeom>
                    <a:noFill/>
                  </pic:spPr>
                </pic:pic>
              </a:graphicData>
            </a:graphic>
          </wp:anchor>
        </w:drawing>
      </w:r>
    </w:p>
    <w:p>
      <w:pPr>
        <w:spacing w:after="0" w:line="2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12. Stock-Based Compensation</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2020 Plan</w:t>
      </w:r>
    </w:p>
    <w:p>
      <w:pPr>
        <w:spacing w:after="0" w:line="128"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On August 21, 2020, the Company’s sole director and member approved the 2020 Plan. The 2020 Plan initially allowed the Company to grant awards for up to 314,000 shares of the Company’s common stock. The 2020 Plan allows for grants of stock options, restricted stock awards, restricted stock units, and other stock-based awards to employees, officers, directors and consultants of the Company and its subsidiaries. The exercise price per share of stock options granted under the 2020 Plan must be no less than the fair value of a share of the Company’s common stock on the grant date. If the Company’s common stock is traded on a national securities exchange, then fair value is based on the stock’s closing price as reported by that exchange. Otherwise, fair value is determined by the Board (or its Compensation Committee), consistent with the applicable rules of the U.S. Internal Revenue Code of 1986 (the “IRC”), or any successor statute.</w:t>
      </w:r>
    </w:p>
    <w:p>
      <w:pPr>
        <w:spacing w:after="0" w:line="106" w:lineRule="exact"/>
        <w:rPr>
          <w:sz w:val="20"/>
          <w:szCs w:val="20"/>
          <w:color w:val="auto"/>
        </w:rPr>
      </w:pPr>
    </w:p>
    <w:p>
      <w:pPr>
        <w:jc w:val="both"/>
        <w:ind w:left="1160" w:right="1179"/>
        <w:spacing w:after="0" w:line="258" w:lineRule="auto"/>
        <w:rPr>
          <w:sz w:val="20"/>
          <w:szCs w:val="20"/>
          <w:color w:val="auto"/>
        </w:rPr>
      </w:pPr>
      <w:r>
        <w:rPr>
          <w:rFonts w:ascii="Times New Roman" w:cs="Times New Roman" w:eastAsia="Times New Roman" w:hAnsi="Times New Roman"/>
          <w:sz w:val="15"/>
          <w:szCs w:val="15"/>
          <w:color w:val="auto"/>
        </w:rPr>
        <w:t>Terms of stock award agreements, including vesting requirements, are determined by the Board, subject to the provisions of the 2020 Plan. The Company may grant stock awards to employees, non-employee consultants, and members of the Board, and all grantees must be providing services to the Company or its subsidiaries on the date of grant. Since inception of the 2020 Plan, the Company has granted RSAs and stock options. RSAs and stock options granted by the Company generally vest over four years, with 25% of the total shares granted vesting on the anniversary of the vesting commencement date and the remaining 75% vesting in equal monthly installments over the subsequent thirty-six (36) months.</w:t>
      </w:r>
    </w:p>
    <w:p>
      <w:pPr>
        <w:spacing w:after="0" w:line="97" w:lineRule="exact"/>
        <w:rPr>
          <w:sz w:val="20"/>
          <w:szCs w:val="20"/>
          <w:color w:val="auto"/>
        </w:rPr>
      </w:pPr>
    </w:p>
    <w:p>
      <w:pPr>
        <w:jc w:val="both"/>
        <w:ind w:left="1160" w:right="1179"/>
        <w:spacing w:after="0" w:line="264" w:lineRule="auto"/>
        <w:rPr>
          <w:sz w:val="20"/>
          <w:szCs w:val="20"/>
          <w:color w:val="auto"/>
        </w:rPr>
      </w:pPr>
      <w:r>
        <w:rPr>
          <w:rFonts w:ascii="Times New Roman" w:cs="Times New Roman" w:eastAsia="Times New Roman" w:hAnsi="Times New Roman"/>
          <w:sz w:val="15"/>
          <w:szCs w:val="15"/>
          <w:color w:val="auto"/>
        </w:rPr>
        <w:t>The 2020 Plan was subsequently amended by the Board and provided for the issuance of 22,232,224 shares of common stock as of December 31, 2023, of which 527,876 shares of common stock remain available for future grant under the 2020 Plan.</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1" w:name="page242"/>
    <w:bookmarkEnd w:id="24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12. Stock-Based Compensation (Continued)</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Restricted Stock Awards</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following table presents a summary of the Company’s RSA activity and related information:</w:t>
      </w:r>
    </w:p>
    <w:p>
      <w:pPr>
        <w:spacing w:after="0" w:line="135"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Weighted-Average</w:t>
            </w:r>
          </w:p>
        </w:tc>
        <w:tc>
          <w:tcPr>
            <w:tcW w:w="40" w:type="dxa"/>
            <w:vAlign w:val="bottom"/>
          </w:tcPr>
          <w:p>
            <w:pPr>
              <w:spacing w:after="0"/>
              <w:rPr>
                <w:sz w:val="12"/>
                <w:szCs w:val="12"/>
                <w:color w:val="auto"/>
              </w:rPr>
            </w:pPr>
          </w:p>
        </w:tc>
      </w:tr>
      <w:tr>
        <w:trPr>
          <w:trHeight w:val="132"/>
        </w:trPr>
        <w:tc>
          <w:tcPr>
            <w:tcW w:w="35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9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0"/>
              </w:rPr>
              <w:t>Grant-Date</w:t>
            </w:r>
          </w:p>
        </w:tc>
        <w:tc>
          <w:tcPr>
            <w:tcW w:w="40" w:type="dxa"/>
            <w:vAlign w:val="bottom"/>
          </w:tcPr>
          <w:p>
            <w:pPr>
              <w:spacing w:after="0"/>
              <w:rPr>
                <w:sz w:val="11"/>
                <w:szCs w:val="11"/>
                <w:color w:val="auto"/>
              </w:rPr>
            </w:pPr>
          </w:p>
        </w:tc>
      </w:tr>
      <w:tr>
        <w:trPr>
          <w:trHeight w:val="173"/>
        </w:trPr>
        <w:tc>
          <w:tcPr>
            <w:tcW w:w="3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60" w:type="dxa"/>
            <w:vAlign w:val="bottom"/>
            <w:gridSpan w:val="3"/>
          </w:tcPr>
          <w:p>
            <w:pPr>
              <w:ind w:left="136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Shares   </w:t>
            </w:r>
            <w:r>
              <w:rPr>
                <w:rFonts w:ascii="Times New Roman" w:cs="Times New Roman" w:eastAsia="Times New Roman" w:hAnsi="Times New Roman"/>
                <w:sz w:val="20"/>
                <w:szCs w:val="20"/>
                <w:b w:val="1"/>
                <w:bCs w:val="1"/>
                <w:color w:val="auto"/>
                <w:vertAlign w:val="subscript"/>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Fair Value</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3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Unvested as of December 31, 2022</w:t>
            </w:r>
          </w:p>
        </w:tc>
        <w:tc>
          <w:tcPr>
            <w:tcW w:w="2260" w:type="dxa"/>
            <w:vAlign w:val="bottom"/>
            <w:gridSpan w:val="3"/>
          </w:tcPr>
          <w:p>
            <w:pPr>
              <w:ind w:left="1360"/>
              <w:spacing w:after="0"/>
              <w:rPr>
                <w:sz w:val="20"/>
                <w:szCs w:val="20"/>
                <w:color w:val="auto"/>
              </w:rPr>
            </w:pPr>
            <w:r>
              <w:rPr>
                <w:rFonts w:ascii="Times New Roman" w:cs="Times New Roman" w:eastAsia="Times New Roman" w:hAnsi="Times New Roman"/>
                <w:sz w:val="15"/>
                <w:szCs w:val="15"/>
                <w:color w:val="auto"/>
              </w:rPr>
              <w:t>​ ​​406,596​ ​​ ​</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​$ 0.27​</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35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Vested</w:t>
            </w:r>
          </w:p>
        </w:tc>
        <w:tc>
          <w:tcPr>
            <w:tcW w:w="2260" w:type="dxa"/>
            <w:vAlign w:val="bottom"/>
            <w:gridSpan w:val="3"/>
          </w:tcPr>
          <w:p>
            <w:pPr>
              <w:ind w:left="1360"/>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​(170,420)</w:t>
            </w:r>
            <w:r>
              <w:rPr>
                <w:rFonts w:ascii="Times New Roman" w:cs="Times New Roman" w:eastAsia="Times New Roman" w:hAnsi="Times New Roman"/>
                <w:sz w:val="25"/>
                <w:szCs w:val="25"/>
                <w:color w:val="auto"/>
                <w:vertAlign w:val="subscript"/>
              </w:rPr>
              <w:t>​​ ​</w:t>
            </w:r>
          </w:p>
        </w:tc>
        <w:tc>
          <w:tcPr>
            <w:tcW w:w="920" w:type="dxa"/>
            <w:vAlign w:val="bottom"/>
          </w:tcPr>
          <w:p>
            <w:pPr>
              <w:jc w:val="cente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0.22​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Unvested as of December 31, 2023</w:t>
            </w:r>
          </w:p>
        </w:tc>
        <w:tc>
          <w:tcPr>
            <w:tcW w:w="2260" w:type="dxa"/>
            <w:vAlign w:val="bottom"/>
            <w:gridSpan w:val="3"/>
          </w:tcPr>
          <w:p>
            <w:pPr>
              <w:ind w:left="136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​236,176​ </w:t>
            </w:r>
            <w:r>
              <w:rPr>
                <w:rFonts w:ascii="Times New Roman" w:cs="Times New Roman" w:eastAsia="Times New Roman" w:hAnsi="Times New Roman"/>
                <w:sz w:val="23"/>
                <w:szCs w:val="23"/>
                <w:color w:val="auto"/>
                <w:vertAlign w:val="subscript"/>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0.31​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4"/>
        </w:trPr>
        <w:tc>
          <w:tcPr>
            <w:tcW w:w="35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1606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241800" cy="16065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4241800" cy="1397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119"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There were no RSAs granted during the year ended December 31, 2023. The total fair value of RSAs vested during the year ended December 31, 2023 was immaterial. As of December 31, 2023, unrecognized compensation cost related to unvested restricted stock awards was $0.1 million, which is expected to be recognized over a weighted average period of 1.2 years.</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Stock Options</w:t>
      </w:r>
    </w:p>
    <w:p>
      <w:pPr>
        <w:spacing w:after="0" w:line="117"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The Company has granted stock options with service-based vesting conditions. Stock options typically vest over four years and have a maximum term of ten years. The Company typically grants stock options to employees and non-employees at exercise prices deemed by the Board to be equal to the fair value of the common stock at the time of grant.</w:t>
      </w:r>
    </w:p>
    <w:p>
      <w:pPr>
        <w:spacing w:after="0" w:line="95"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The table below presents the weighted-average assumptions used in estimating the fair values of stock options granted during the years ended December 31, 2023 and 2022:</w:t>
      </w:r>
    </w:p>
    <w:p>
      <w:pPr>
        <w:spacing w:after="0" w:line="102"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3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0" w:type="dxa"/>
            <w:vAlign w:val="bottom"/>
          </w:tcPr>
          <w:p>
            <w:pPr>
              <w:ind w:left="2080"/>
              <w:spacing w:after="0"/>
              <w:rPr>
                <w:sz w:val="20"/>
                <w:szCs w:val="20"/>
                <w:color w:val="auto"/>
              </w:rPr>
            </w:pPr>
            <w:r>
              <w:rPr>
                <w:rFonts w:ascii="Times New Roman" w:cs="Times New Roman" w:eastAsia="Times New Roman" w:hAnsi="Times New Roman"/>
                <w:sz w:val="12"/>
                <w:szCs w:val="12"/>
                <w:b w:val="1"/>
                <w:bCs w:val="1"/>
                <w:color w:val="auto"/>
              </w:rPr>
              <w:t>​ ​</w:t>
            </w:r>
          </w:p>
        </w:tc>
        <w:tc>
          <w:tcPr>
            <w:tcW w:w="40" w:type="dxa"/>
            <w:vAlign w:val="bottom"/>
          </w:tcPr>
          <w:p>
            <w:pPr>
              <w:spacing w:after="0"/>
              <w:rPr>
                <w:sz w:val="16"/>
                <w:szCs w:val="16"/>
                <w:color w:val="auto"/>
              </w:rPr>
            </w:pPr>
          </w:p>
        </w:tc>
        <w:tc>
          <w:tcPr>
            <w:tcW w:w="8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0" w:type="dxa"/>
            <w:vAlign w:val="bottom"/>
          </w:tcPr>
          <w:p>
            <w:pPr>
              <w:ind w:left="212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2023  </w:t>
            </w:r>
            <w:r>
              <w:rPr>
                <w:rFonts w:ascii="Times New Roman" w:cs="Times New Roman" w:eastAsia="Times New Roman" w:hAnsi="Times New Roman"/>
                <w:sz w:val="21"/>
                <w:szCs w:val="21"/>
                <w:b w:val="1"/>
                <w:bCs w:val="1"/>
                <w:color w:val="auto"/>
                <w:vertAlign w:val="subscript"/>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Risk-free interest rate</w:t>
            </w:r>
          </w:p>
        </w:tc>
        <w:tc>
          <w:tcPr>
            <w:tcW w:w="2200" w:type="dxa"/>
            <w:vAlign w:val="bottom"/>
            <w:vMerge w:val="restart"/>
            <w:shd w:val="clear" w:color="auto" w:fill="CCEEFF"/>
          </w:tcPr>
          <w:p>
            <w:pPr>
              <w:ind w:left="2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 4.13%</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 3.49</w:t>
            </w:r>
          </w:p>
        </w:tc>
        <w:tc>
          <w:tcPr>
            <w:tcW w:w="1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44"/>
        </w:trPr>
        <w:tc>
          <w:tcPr>
            <w:tcW w:w="3580" w:type="dxa"/>
            <w:vAlign w:val="bottom"/>
            <w:shd w:val="clear" w:color="auto" w:fill="CCEEFF"/>
          </w:tcPr>
          <w:p>
            <w:pPr>
              <w:spacing w:after="0"/>
              <w:rPr>
                <w:sz w:val="3"/>
                <w:szCs w:val="3"/>
                <w:color w:val="auto"/>
              </w:rPr>
            </w:pPr>
          </w:p>
        </w:tc>
        <w:tc>
          <w:tcPr>
            <w:tcW w:w="2200" w:type="dxa"/>
            <w:vAlign w:val="bottom"/>
            <w:vMerge w:val="continue"/>
            <w:shd w:val="clear" w:color="auto" w:fill="CCEEFF"/>
          </w:tcPr>
          <w:p>
            <w:pPr>
              <w:spacing w:after="0"/>
              <w:rPr>
                <w:sz w:val="3"/>
                <w:szCs w:val="3"/>
                <w:color w:val="auto"/>
              </w:rPr>
            </w:pPr>
          </w:p>
        </w:tc>
        <w:tc>
          <w:tcPr>
            <w:tcW w:w="40" w:type="dxa"/>
            <w:vAlign w:val="bottom"/>
            <w:vMerge w:val="continue"/>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40" w:type="dxa"/>
            <w:vAlign w:val="bottom"/>
            <w:vMerge w:val="continue"/>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Expected term (in years)</w:t>
            </w:r>
          </w:p>
        </w:tc>
        <w:tc>
          <w:tcPr>
            <w:tcW w:w="2760" w:type="dxa"/>
            <w:vAlign w:val="bottom"/>
            <w:gridSpan w:val="5"/>
          </w:tcPr>
          <w:p>
            <w:pPr>
              <w:ind w:left="2120"/>
              <w:spacing w:after="0"/>
              <w:rPr>
                <w:sz w:val="20"/>
                <w:szCs w:val="20"/>
                <w:color w:val="auto"/>
              </w:rPr>
            </w:pPr>
            <w:r>
              <w:rPr>
                <w:rFonts w:ascii="Times New Roman" w:cs="Times New Roman" w:eastAsia="Times New Roman" w:hAnsi="Times New Roman"/>
                <w:sz w:val="15"/>
                <w:szCs w:val="15"/>
                <w:color w:val="auto"/>
              </w:rPr>
              <w:t>​ ​​ 6.04​​ ​</w:t>
            </w:r>
          </w:p>
        </w:tc>
        <w:tc>
          <w:tcPr>
            <w:tcW w:w="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6.08​</w:t>
            </w:r>
          </w:p>
        </w:tc>
        <w:tc>
          <w:tcPr>
            <w:tcW w:w="0" w:type="dxa"/>
            <w:vAlign w:val="bottom"/>
          </w:tcPr>
          <w:p>
            <w:pPr>
              <w:spacing w:after="0"/>
              <w:rPr>
                <w:sz w:val="1"/>
                <w:szCs w:val="1"/>
                <w:color w:val="auto"/>
              </w:rPr>
            </w:pPr>
          </w:p>
        </w:tc>
      </w:tr>
      <w:tr>
        <w:trPr>
          <w:trHeight w:val="165"/>
        </w:trPr>
        <w:tc>
          <w:tcPr>
            <w:tcW w:w="35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Expected volatility</w:t>
            </w:r>
          </w:p>
        </w:tc>
        <w:tc>
          <w:tcPr>
            <w:tcW w:w="2200" w:type="dxa"/>
            <w:vAlign w:val="bottom"/>
            <w:vMerge w:val="restart"/>
            <w:shd w:val="clear" w:color="auto" w:fill="CCEEFF"/>
          </w:tcPr>
          <w:p>
            <w:pPr>
              <w:ind w:left="2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CEEFF"/>
          </w:tcPr>
          <w:p>
            <w:pPr>
              <w:jc w:val="center"/>
              <w:spacing w:after="0" w:line="165" w:lineRule="exact"/>
              <w:rPr>
                <w:sz w:val="20"/>
                <w:szCs w:val="20"/>
                <w:color w:val="auto"/>
              </w:rPr>
            </w:pPr>
            <w:r>
              <w:rPr>
                <w:rFonts w:ascii="Times New Roman" w:cs="Times New Roman" w:eastAsia="Times New Roman" w:hAnsi="Times New Roman"/>
                <w:sz w:val="15"/>
                <w:szCs w:val="15"/>
                <w:color w:val="auto"/>
                <w:w w:val="95"/>
              </w:rPr>
              <w:t>​87.86%</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w w:val="94"/>
              </w:rPr>
              <w:t>​89.07</w:t>
            </w:r>
          </w:p>
        </w:tc>
        <w:tc>
          <w:tcPr>
            <w:tcW w:w="12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44"/>
        </w:trPr>
        <w:tc>
          <w:tcPr>
            <w:tcW w:w="3580" w:type="dxa"/>
            <w:vAlign w:val="bottom"/>
            <w:shd w:val="clear" w:color="auto" w:fill="CCEEFF"/>
          </w:tcPr>
          <w:p>
            <w:pPr>
              <w:spacing w:after="0"/>
              <w:rPr>
                <w:sz w:val="3"/>
                <w:szCs w:val="3"/>
                <w:color w:val="auto"/>
              </w:rPr>
            </w:pPr>
          </w:p>
        </w:tc>
        <w:tc>
          <w:tcPr>
            <w:tcW w:w="2200" w:type="dxa"/>
            <w:vAlign w:val="bottom"/>
            <w:vMerge w:val="continue"/>
            <w:shd w:val="clear" w:color="auto" w:fill="CCEEFF"/>
          </w:tcPr>
          <w:p>
            <w:pPr>
              <w:spacing w:after="0"/>
              <w:rPr>
                <w:sz w:val="3"/>
                <w:szCs w:val="3"/>
                <w:color w:val="auto"/>
              </w:rPr>
            </w:pPr>
          </w:p>
        </w:tc>
        <w:tc>
          <w:tcPr>
            <w:tcW w:w="40" w:type="dxa"/>
            <w:vAlign w:val="bottom"/>
            <w:vMerge w:val="continue"/>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40" w:type="dxa"/>
            <w:vAlign w:val="bottom"/>
            <w:vMerge w:val="continue"/>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165"/>
        </w:trPr>
        <w:tc>
          <w:tcPr>
            <w:tcW w:w="35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Expected dividend yield</w:t>
            </w:r>
          </w:p>
        </w:tc>
        <w:tc>
          <w:tcPr>
            <w:tcW w:w="2200" w:type="dxa"/>
            <w:vAlign w:val="bottom"/>
            <w:vMerge w:val="restart"/>
          </w:tcPr>
          <w:p>
            <w:pPr>
              <w:ind w:left="2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5"/>
                <w:szCs w:val="15"/>
                <w:color w:val="auto"/>
              </w:rPr>
              <w:t>​ 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 0.00%</w:t>
            </w: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220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-586105</wp:posOffset>
            </wp:positionV>
            <wp:extent cx="4025265"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025265" cy="698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color w:val="auto"/>
        </w:rPr>
        <w:t>The following table presents a summary of the Company’s stock option activity and related information:</w:t>
      </w:r>
    </w:p>
    <w:p>
      <w:pPr>
        <w:spacing w:after="0" w:line="119"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140" w:type="dxa"/>
            <w:vAlign w:val="bottom"/>
          </w:tcPr>
          <w:p>
            <w:pPr>
              <w:spacing w:after="0"/>
              <w:rPr>
                <w:sz w:val="12"/>
                <w:szCs w:val="12"/>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Weighted-Average</w:t>
            </w:r>
          </w:p>
        </w:tc>
        <w:tc>
          <w:tcPr>
            <w:tcW w:w="16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Aggregate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center"/>
              <w:ind w:right="38"/>
              <w:spacing w:after="0" w:line="132"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160" w:type="dxa"/>
            <w:vAlign w:val="bottom"/>
          </w:tcPr>
          <w:p>
            <w:pPr>
              <w:spacing w:after="0"/>
              <w:rPr>
                <w:sz w:val="11"/>
                <w:szCs w:val="11"/>
                <w:color w:val="auto"/>
              </w:rPr>
            </w:pPr>
          </w:p>
        </w:tc>
        <w:tc>
          <w:tcPr>
            <w:tcW w:w="720" w:type="dxa"/>
            <w:vAlign w:val="bottom"/>
            <w:gridSpan w:val="2"/>
          </w:tcPr>
          <w:p>
            <w:pPr>
              <w:ind w:left="140"/>
              <w:spacing w:after="0" w:line="132"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40" w:type="dxa"/>
            <w:vAlign w:val="bottom"/>
          </w:tcPr>
          <w:p>
            <w:pPr>
              <w:spacing w:after="0"/>
              <w:rPr>
                <w:sz w:val="11"/>
                <w:szCs w:val="11"/>
                <w:color w:val="auto"/>
              </w:rPr>
            </w:pPr>
          </w:p>
        </w:tc>
        <w:tc>
          <w:tcPr>
            <w:tcW w:w="92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6"/>
              </w:rPr>
              <w:t>Remaining</w:t>
            </w:r>
          </w:p>
        </w:tc>
        <w:tc>
          <w:tcPr>
            <w:tcW w:w="160" w:type="dxa"/>
            <w:vAlign w:val="bottom"/>
          </w:tcPr>
          <w:p>
            <w:pPr>
              <w:spacing w:after="0"/>
              <w:rPr>
                <w:sz w:val="11"/>
                <w:szCs w:val="11"/>
                <w:color w:val="auto"/>
              </w:rPr>
            </w:pPr>
          </w:p>
        </w:tc>
        <w:tc>
          <w:tcPr>
            <w:tcW w:w="70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0"/>
              </w:rPr>
              <w:t>Intrinsic</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880" w:type="dxa"/>
            <w:vAlign w:val="bottom"/>
            <w:gridSpan w:val="3"/>
          </w:tcPr>
          <w:p>
            <w:pPr>
              <w:ind w:left="4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Exercise Price</w:t>
            </w:r>
          </w:p>
        </w:tc>
        <w:tc>
          <w:tcPr>
            <w:tcW w:w="106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Contractual Term</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 ​</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(in years)</w:t>
            </w:r>
          </w:p>
        </w:tc>
        <w:tc>
          <w:tcPr>
            <w:tcW w:w="90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(in thousands)</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December 31, 2022</w:t>
            </w: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​​17,774,295​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0.86​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right w:val="single" w:sz="8" w:color="CCEEFF"/>
            </w:tcBorders>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30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Granted</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9,155,000​</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 1.18​</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Exercised</w:t>
            </w:r>
          </w:p>
        </w:tc>
        <w:tc>
          <w:tcPr>
            <w:tcW w:w="2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(239,500)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 0.48​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right w:val="single" w:sz="8" w:color="CCEEFF"/>
            </w:tcBorders>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0"/>
        </w:trPr>
        <w:tc>
          <w:tcPr>
            <w:tcW w:w="30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Forfeited or cancelled</w:t>
            </w:r>
          </w:p>
        </w:tc>
        <w:tc>
          <w:tcPr>
            <w:tcW w:w="880" w:type="dxa"/>
            <w:vAlign w:val="bottom"/>
            <w:gridSpan w:val="2"/>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​(5,998,548)</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ind w:left="14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0.94​</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300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outstanding at December 31, 2023</w:t>
            </w:r>
          </w:p>
        </w:tc>
        <w:tc>
          <w:tcPr>
            <w:tcW w:w="1040" w:type="dxa"/>
            <w:vAlign w:val="bottom"/>
            <w:gridSpan w:val="3"/>
            <w:shd w:val="clear" w:color="auto" w:fill="CCEEFF"/>
          </w:tcPr>
          <w:p>
            <w:pPr>
              <w:ind w:left="4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​20,691,247​ </w:t>
            </w:r>
            <w:r>
              <w:rPr>
                <w:rFonts w:ascii="Times New Roman" w:cs="Times New Roman" w:eastAsia="Times New Roman" w:hAnsi="Times New Roman"/>
                <w:sz w:val="23"/>
                <w:szCs w:val="23"/>
                <w:color w:val="auto"/>
                <w:vertAlign w:val="subscript"/>
              </w:rPr>
              <w:t>​​ ​</w:t>
            </w:r>
          </w:p>
        </w:tc>
        <w:tc>
          <w:tcPr>
            <w:tcW w:w="7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0.98​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tcBorders>
              <w:right w:val="single" w:sz="8" w:color="CCEEFF"/>
            </w:tcBorders>
            <w:gridSpan w:val="2"/>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8.23​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8,084​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spacing w:after="0" w:line="165" w:lineRule="exact"/>
              <w:rPr>
                <w:sz w:val="20"/>
                <w:szCs w:val="20"/>
                <w:color w:val="auto"/>
              </w:rPr>
            </w:pPr>
            <w:r>
              <w:rPr>
                <w:rFonts w:ascii="Times New Roman" w:cs="Times New Roman" w:eastAsia="Times New Roman" w:hAnsi="Times New Roman"/>
                <w:sz w:val="15"/>
                <w:szCs w:val="15"/>
                <w:color w:val="auto"/>
              </w:rPr>
              <w:t>Options vested and exercisable at December 31,</w:t>
            </w: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0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30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2023</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5,866,164​ ​​ ​</w:t>
            </w:r>
          </w:p>
        </w:tc>
        <w:tc>
          <w:tcPr>
            <w:tcW w:w="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0.73​</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gridSpan w:val="2"/>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5.57​</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vested and expected to vest at</w:t>
            </w:r>
          </w:p>
        </w:tc>
        <w:tc>
          <w:tcPr>
            <w:tcW w:w="22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December 31, 2023</w:t>
            </w:r>
          </w:p>
        </w:tc>
        <w:tc>
          <w:tcPr>
            <w:tcW w:w="1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20,691,247​ ​​ ​</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0.98​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tcBorders>
              <w:right w:val="single" w:sz="8" w:color="CCEEFF"/>
            </w:tcBorders>
            <w:gridSpan w:val="2"/>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8.23​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-655320</wp:posOffset>
            </wp:positionV>
            <wp:extent cx="424180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4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The aggregate intrinsic value of stock options is calculated as the difference between the exercise price of the options and the fair value of the Company’s common stock for those stock options that had an exercise price</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2" w:name="page243"/>
    <w:bookmarkEnd w:id="24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12. Stock-Based Compensation (Continued)</w:t>
      </w:r>
    </w:p>
    <w:p>
      <w:pPr>
        <w:spacing w:after="0" w:line="181"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lower than the fair value of the Company’s common stock as of the measurement date of December 31, 2023. The aggregate intrinsic value of options exercised during the year ended December 31, 2023 was $0.2 million. There were no stock options exercised during the year ended December 31, 2022.</w:t>
      </w:r>
    </w:p>
    <w:p>
      <w:pPr>
        <w:spacing w:after="0" w:line="89"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The weighted- average grant date fair value of the Company’s stock options granted during the year ended December 31, 2023 and 2022 was $0.93 and $0.78 per option, respectively. As of December 31, 2023, unrecognized compensation cost related to unvested stock options was $11.6 million, which is expected to be recognized over a weighted average period of 3.2 years. The total fair value of options vested during the years ended December 31, 2023 and 2022 was $2.6 million and $0.7 million, respectively.</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 Expense</w:t>
      </w:r>
    </w:p>
    <w:p>
      <w:pPr>
        <w:spacing w:after="0" w:line="117"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following table presents stock-based compensation expense as reflected in the Company’s consolidated statements of operations and comprehensive loss for the years ended December 31, 2023 and 2022 (in thousands):</w:t>
      </w:r>
    </w:p>
    <w:p>
      <w:pPr>
        <w:spacing w:after="0" w:line="107"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3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0" w:type="dxa"/>
            <w:vAlign w:val="bottom"/>
          </w:tcPr>
          <w:p>
            <w:pPr>
              <w:ind w:left="148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3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0" w:type="dxa"/>
            <w:vAlign w:val="bottom"/>
          </w:tcPr>
          <w:p>
            <w:pPr>
              <w:ind w:left="15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6"/>
                <w:szCs w:val="16"/>
                <w:color w:val="auto"/>
              </w:rPr>
            </w:pPr>
          </w:p>
        </w:tc>
        <w:tc>
          <w:tcPr>
            <w:tcW w:w="9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2023   </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2022</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39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60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1,600</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​​$ 357</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600" w:type="dxa"/>
            <w:vAlign w:val="bottom"/>
          </w:tcPr>
          <w:p>
            <w:pPr>
              <w:ind w:left="15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6"/>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1,895</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 380</w:t>
            </w:r>
            <w:r>
              <w:rPr>
                <w:rFonts w:ascii="Times New Roman" w:cs="Times New Roman" w:eastAsia="Times New Roman" w:hAnsi="Times New Roman"/>
                <w:sz w:val="25"/>
                <w:szCs w:val="25"/>
                <w:color w:val="auto"/>
                <w:vertAlign w:val="subscript"/>
              </w:rPr>
              <w:t>​</w:t>
            </w:r>
          </w:p>
        </w:tc>
      </w:tr>
      <w:tr>
        <w:trPr>
          <w:trHeight w:val="20"/>
        </w:trPr>
        <w:tc>
          <w:tcPr>
            <w:tcW w:w="39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stock-based compensation expense</w:t>
            </w:r>
          </w:p>
        </w:tc>
        <w:tc>
          <w:tcPr>
            <w:tcW w:w="160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5"/>
            <w:shd w:val="clear" w:color="auto" w:fill="CCEEFF"/>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3,495</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737</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004310"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0043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997325"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997325" cy="6985"/>
                    </a:xfrm>
                    <a:prstGeom prst="rect">
                      <a:avLst/>
                    </a:prstGeom>
                    <a:noFill/>
                  </pic:spPr>
                </pic:pic>
              </a:graphicData>
            </a:graphic>
          </wp:anchor>
        </w:drawing>
      </w:r>
    </w:p>
    <w:p>
      <w:pPr>
        <w:spacing w:after="0" w:line="20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13. Net Loss Per Share</w:t>
      </w:r>
    </w:p>
    <w:p>
      <w:pPr>
        <w:spacing w:after="0" w:line="126"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Basic and diluted net loss per share attributable to common stockholders was calculated as follows (in thousands, except share and per share amounts):</w:t>
      </w:r>
    </w:p>
    <w:p>
      <w:pPr>
        <w:spacing w:after="0" w:line="102"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4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December 31,</w:t>
            </w: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280" w:type="dxa"/>
            <w:vAlign w:val="bottom"/>
            <w:tcBorders>
              <w:bottom w:val="single" w:sz="8" w:color="auto"/>
            </w:tcBorders>
          </w:tcPr>
          <w:p>
            <w:pPr>
              <w:spacing w:after="0"/>
              <w:rPr>
                <w:sz w:val="16"/>
                <w:szCs w:val="16"/>
                <w:color w:val="auto"/>
              </w:rPr>
            </w:pPr>
          </w:p>
        </w:tc>
        <w:tc>
          <w:tcPr>
            <w:tcW w:w="18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rPr>
              <w:t>​ ​</w:t>
            </w:r>
          </w:p>
        </w:tc>
        <w:tc>
          <w:tcPr>
            <w:tcW w:w="280" w:type="dxa"/>
            <w:vAlign w:val="bottom"/>
            <w:tcBorders>
              <w:bottom w:val="single" w:sz="8" w:color="auto"/>
            </w:tcBorders>
            <w:gridSpan w:val="2"/>
          </w:tcPr>
          <w:p>
            <w:pPr>
              <w:spacing w:after="0"/>
              <w:rPr>
                <w:sz w:val="16"/>
                <w:szCs w:val="16"/>
                <w:color w:val="auto"/>
              </w:rPr>
            </w:pPr>
          </w:p>
        </w:tc>
        <w:tc>
          <w:tcPr>
            <w:tcW w:w="4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2"/>
                <w:szCs w:val="12"/>
                <w:b w:val="1"/>
                <w:bCs w:val="1"/>
                <w:color w:val="auto"/>
              </w:rPr>
              <w:t>2022</w:t>
            </w:r>
          </w:p>
        </w:tc>
        <w:tc>
          <w:tcPr>
            <w:tcW w:w="18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0"/>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Numerator:</w:t>
            </w:r>
          </w:p>
        </w:tc>
        <w:tc>
          <w:tcPr>
            <w:tcW w:w="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tcPr>
          <w:p>
            <w:pPr>
              <w:spacing w:after="0"/>
              <w:rPr>
                <w:sz w:val="17"/>
                <w:szCs w:val="17"/>
                <w:color w:val="auto"/>
              </w:rPr>
            </w:pP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 ​​ ​</w:t>
            </w:r>
          </w:p>
        </w:tc>
        <w:tc>
          <w:tcPr>
            <w:tcW w:w="4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1100" w:type="dxa"/>
            <w:vAlign w:val="bottom"/>
            <w:gridSpan w:val="5"/>
          </w:tcPr>
          <w:p>
            <w:pPr>
              <w:jc w:val="right"/>
              <w:ind w:right="180"/>
              <w:spacing w:after="0" w:line="200" w:lineRule="exact"/>
              <w:rPr>
                <w:sz w:val="20"/>
                <w:szCs w:val="20"/>
                <w:color w:val="auto"/>
              </w:rPr>
            </w:pPr>
            <w:r>
              <w:rPr>
                <w:rFonts w:ascii="Times New Roman" w:cs="Times New Roman" w:eastAsia="Times New Roman" w:hAnsi="Times New Roman"/>
                <w:sz w:val="13"/>
                <w:szCs w:val="13"/>
                <w:color w:val="auto"/>
              </w:rPr>
              <w:t>(37,124)</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w:t>
            </w:r>
          </w:p>
        </w:tc>
        <w:tc>
          <w:tcPr>
            <w:tcW w:w="640" w:type="dxa"/>
            <w:vAlign w:val="bottom"/>
            <w:gridSpan w:val="3"/>
          </w:tcPr>
          <w:p>
            <w:pPr>
              <w:jc w:val="right"/>
              <w:spacing w:after="0" w:line="200" w:lineRule="exact"/>
              <w:rPr>
                <w:sz w:val="20"/>
                <w:szCs w:val="20"/>
                <w:color w:val="auto"/>
              </w:rPr>
            </w:pPr>
            <w:r>
              <w:rPr>
                <w:rFonts w:ascii="Times New Roman" w:cs="Times New Roman" w:eastAsia="Times New Roman" w:hAnsi="Times New Roman"/>
                <w:sz w:val="13"/>
                <w:szCs w:val="13"/>
                <w:color w:val="auto"/>
              </w:rPr>
              <w:t>(119,282)</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44"/>
        </w:trPr>
        <w:tc>
          <w:tcPr>
            <w:tcW w:w="45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Denominator:</w:t>
            </w: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4540" w:type="dxa"/>
            <w:vAlign w:val="bottom"/>
            <w:vMerge w:val="continue"/>
          </w:tcPr>
          <w:p>
            <w:pPr>
              <w:spacing w:after="0"/>
              <w:rPr>
                <w:sz w:val="15"/>
                <w:szCs w:val="15"/>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tcPr>
          <w:p>
            <w:pPr>
              <w:spacing w:after="0"/>
              <w:rPr>
                <w:sz w:val="15"/>
                <w:szCs w:val="15"/>
                <w:color w:val="auto"/>
              </w:rPr>
            </w:pP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 ​​ ​</w:t>
            </w:r>
          </w:p>
        </w:tc>
        <w:tc>
          <w:tcPr>
            <w:tcW w:w="42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common stock outstanding–basic and diluted</w:t>
            </w:r>
          </w:p>
        </w:tc>
        <w:tc>
          <w:tcPr>
            <w:tcW w:w="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020" w:type="dxa"/>
            <w:vAlign w:val="bottom"/>
            <w:gridSpan w:val="10"/>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​  13,295,456​ </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 ​  12,956,618​ </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per share attributable to common stockholders–basic and diluted</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perscript"/>
              </w:rPr>
              <w:t>$</w:t>
            </w:r>
          </w:p>
        </w:tc>
        <w:tc>
          <w:tcPr>
            <w:tcW w:w="1100" w:type="dxa"/>
            <w:vAlign w:val="bottom"/>
            <w:gridSpan w:val="5"/>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2"/>
                <w:szCs w:val="12"/>
                <w:color w:val="auto"/>
              </w:rPr>
              <w:t>(2.79)</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-452755</wp:posOffset>
            </wp:positionV>
            <wp:extent cx="4241800" cy="1257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241800" cy="12573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-746125</wp:posOffset>
            </wp:positionV>
            <wp:extent cx="4241800" cy="1397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15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The Company’s potentially dilutive securities, which include convertible preferred stock,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shares from the computation of diluted net loss per share attributable to common stockholders as of December 31, 2023 and 2022 because including them would have had an anti-dilutive effect:</w:t>
      </w:r>
    </w:p>
    <w:p>
      <w:pPr>
        <w:spacing w:after="0" w:line="11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360" w:type="dxa"/>
            <w:vAlign w:val="bottom"/>
          </w:tcPr>
          <w:p>
            <w:pPr>
              <w:ind w:left="224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2"/>
                <w:szCs w:val="12"/>
                <w:b w:val="1"/>
                <w:bCs w:val="1"/>
                <w:color w:val="auto"/>
                <w:w w:val="91"/>
              </w:rPr>
              <w:t>December 31,</w:t>
            </w:r>
          </w:p>
        </w:tc>
        <w:tc>
          <w:tcPr>
            <w:tcW w:w="460" w:type="dxa"/>
            <w:vAlign w:val="bottom"/>
            <w:tcBorders>
              <w:bottom w:val="single" w:sz="8" w:color="auto"/>
            </w:tcBorders>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1020" w:type="dxa"/>
            <w:vAlign w:val="bottom"/>
          </w:tcPr>
          <w:p>
            <w:pPr>
              <w:spacing w:after="0"/>
              <w:rPr>
                <w:sz w:val="17"/>
                <w:szCs w:val="17"/>
                <w:color w:val="auto"/>
              </w:rPr>
            </w:pPr>
          </w:p>
        </w:tc>
        <w:tc>
          <w:tcPr>
            <w:tcW w:w="2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360" w:type="dxa"/>
            <w:vAlign w:val="bottom"/>
            <w:tcBorders>
              <w:bottom w:val="single" w:sz="8" w:color="CCEEFF"/>
            </w:tcBorders>
          </w:tcPr>
          <w:p>
            <w:pPr>
              <w:ind w:left="228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1020" w:type="dxa"/>
            <w:vAlign w:val="bottom"/>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preferred stock</w:t>
            </w:r>
          </w:p>
        </w:tc>
        <w:tc>
          <w:tcPr>
            <w:tcW w:w="236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100,617,681​​</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96,427,726​</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5"/>
                <w:szCs w:val="15"/>
                <w:color w:val="auto"/>
              </w:rPr>
              <w:t>Unvested restricted stock</w:t>
            </w:r>
          </w:p>
        </w:tc>
        <w:tc>
          <w:tcPr>
            <w:tcW w:w="2360" w:type="dxa"/>
            <w:vAlign w:val="bottom"/>
          </w:tcPr>
          <w:p>
            <w:pPr>
              <w:ind w:left="2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236,176​​</w:t>
            </w: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406,594​</w:t>
            </w:r>
          </w:p>
        </w:tc>
      </w:tr>
      <w:tr>
        <w:trPr>
          <w:trHeight w:val="198"/>
        </w:trPr>
        <w:tc>
          <w:tcPr>
            <w:tcW w:w="1020" w:type="dxa"/>
            <w:vAlign w:val="bottom"/>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to purchase common stock</w:t>
            </w:r>
          </w:p>
        </w:tc>
        <w:tc>
          <w:tcPr>
            <w:tcW w:w="4000" w:type="dxa"/>
            <w:vAlign w:val="bottom"/>
            <w:gridSpan w:val="8"/>
            <w:shd w:val="clear" w:color="auto" w:fill="CCEEFF"/>
          </w:tcPr>
          <w:p>
            <w:pPr>
              <w:ind w:left="228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20,691,247​​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17,774,295​</w:t>
            </w:r>
          </w:p>
        </w:tc>
        <w:tc>
          <w:tcPr>
            <w:tcW w:w="1020" w:type="dxa"/>
            <w:vAlign w:val="bottom"/>
          </w:tcPr>
          <w:p>
            <w:pPr>
              <w:spacing w:after="0"/>
              <w:rPr>
                <w:sz w:val="17"/>
                <w:szCs w:val="17"/>
                <w:color w:val="auto"/>
              </w:rPr>
            </w:pPr>
          </w:p>
        </w:tc>
      </w:tr>
      <w:tr>
        <w:trPr>
          <w:trHeight w:val="527"/>
        </w:trPr>
        <w:tc>
          <w:tcPr>
            <w:tcW w:w="10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3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F-29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-934085</wp:posOffset>
            </wp:positionV>
            <wp:extent cx="3816350"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3" w:name="page244"/>
    <w:bookmarkEnd w:id="24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13. Net Loss Per Share (Continued)</w:t>
      </w:r>
    </w:p>
    <w:p>
      <w:pPr>
        <w:spacing w:after="0" w:line="181" w:lineRule="exact"/>
        <w:rPr>
          <w:sz w:val="20"/>
          <w:szCs w:val="20"/>
          <w:color w:val="auto"/>
        </w:rPr>
      </w:pPr>
    </w:p>
    <w:p>
      <w:pPr>
        <w:jc w:val="both"/>
        <w:ind w:left="1160" w:right="1179"/>
        <w:spacing w:after="0" w:line="261" w:lineRule="auto"/>
        <w:rPr>
          <w:sz w:val="20"/>
          <w:szCs w:val="20"/>
          <w:color w:val="auto"/>
        </w:rPr>
      </w:pPr>
      <w:r>
        <w:rPr>
          <w:rFonts w:ascii="Times New Roman" w:cs="Times New Roman" w:eastAsia="Times New Roman" w:hAnsi="Times New Roman"/>
          <w:sz w:val="15"/>
          <w:szCs w:val="15"/>
          <w:color w:val="auto"/>
        </w:rPr>
        <w:t>The BMS Note was also outstanding as of December 31, 2023, which could obligate the Company to issue preferred shares or common shares upon the occurrence of various future events at prices and in amounts that are not determinable until the occurrence of those future events. Because the necessary conditions for the conversion of the BMS Note had not been satisfied as of December 31, 2023, the Company has excluded the BMS Note from the table above and the calculation of diluted net loss per share. See Note 7 for additional details.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14. Income Taxes</w:t>
      </w:r>
    </w:p>
    <w:p>
      <w:pPr>
        <w:spacing w:after="0" w:line="126" w:lineRule="exact"/>
        <w:rPr>
          <w:sz w:val="20"/>
          <w:szCs w:val="20"/>
          <w:color w:val="auto"/>
        </w:rPr>
      </w:pPr>
    </w:p>
    <w:p>
      <w:pPr>
        <w:jc w:val="both"/>
        <w:ind w:left="1160" w:right="1179"/>
        <w:spacing w:after="0" w:line="284" w:lineRule="auto"/>
        <w:rPr>
          <w:sz w:val="20"/>
          <w:szCs w:val="20"/>
          <w:color w:val="auto"/>
        </w:rPr>
      </w:pPr>
      <w:r>
        <w:rPr>
          <w:rFonts w:ascii="Times New Roman" w:cs="Times New Roman" w:eastAsia="Times New Roman" w:hAnsi="Times New Roman"/>
          <w:sz w:val="15"/>
          <w:szCs w:val="15"/>
          <w:color w:val="auto"/>
        </w:rPr>
        <w:t>The following table presents the components of loss before the provision for (benefit from) income taxes during the years ended December 31, 2023 and 2022 (in thousands):</w:t>
      </w:r>
    </w:p>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3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40" w:type="dxa"/>
            <w:vAlign w:val="bottom"/>
          </w:tcPr>
          <w:p>
            <w:pPr>
              <w:ind w:left="150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3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40" w:type="dxa"/>
            <w:vAlign w:val="bottom"/>
            <w:tcBorders>
              <w:bottom w:val="single" w:sz="8" w:color="CCEEFF"/>
            </w:tcBorders>
          </w:tcPr>
          <w:p>
            <w:pPr>
              <w:ind w:left="156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U.S.</w:t>
            </w:r>
          </w:p>
        </w:tc>
        <w:tc>
          <w:tcPr>
            <w:tcW w:w="16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(10,845)</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(52,210)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Non-U.S.</w:t>
            </w:r>
          </w:p>
        </w:tc>
        <w:tc>
          <w:tcPr>
            <w:tcW w:w="1640" w:type="dxa"/>
            <w:vAlign w:val="bottom"/>
          </w:tcPr>
          <w:p>
            <w:pPr>
              <w:ind w:left="15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(25,978)</w:t>
            </w:r>
          </w:p>
        </w:tc>
        <w:tc>
          <w:tcPr>
            <w:tcW w:w="340" w:type="dxa"/>
            <w:vAlign w:val="bottom"/>
            <w:gridSpan w:val="2"/>
          </w:tcPr>
          <w:p>
            <w:pPr>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(67,072)</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4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Loss before taxes on income</w:t>
            </w:r>
          </w:p>
        </w:tc>
        <w:tc>
          <w:tcPr>
            <w:tcW w:w="16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shd w:val="clear" w:color="auto" w:fill="CCEEFF"/>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(36,823)</w:t>
            </w:r>
          </w:p>
        </w:tc>
        <w:tc>
          <w:tcPr>
            <w:tcW w:w="900" w:type="dxa"/>
            <w:vAlign w:val="bottom"/>
            <w:gridSpan w:val="3"/>
            <w:shd w:val="clear" w:color="auto" w:fill="CCEEFF"/>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(119,282)</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3781425"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7814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774440"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774440" cy="6985"/>
                    </a:xfrm>
                    <a:prstGeom prst="rect">
                      <a:avLst/>
                    </a:prstGeom>
                    <a:noFill/>
                  </pic:spPr>
                </pic:pic>
              </a:graphicData>
            </a:graphic>
          </wp:anchor>
        </w:drawing>
      </w:r>
    </w:p>
    <w:p>
      <w:pPr>
        <w:spacing w:after="0" w:line="163" w:lineRule="exact"/>
        <w:rPr>
          <w:sz w:val="20"/>
          <w:szCs w:val="20"/>
          <w:color w:val="auto"/>
        </w:rPr>
      </w:pPr>
    </w:p>
    <w:p>
      <w:pPr>
        <w:ind w:left="1160" w:right="1179"/>
        <w:spacing w:after="0" w:line="269" w:lineRule="auto"/>
        <w:rPr>
          <w:sz w:val="20"/>
          <w:szCs w:val="20"/>
          <w:color w:val="auto"/>
        </w:rPr>
      </w:pPr>
      <w:r>
        <w:rPr>
          <w:rFonts w:ascii="Times New Roman" w:cs="Times New Roman" w:eastAsia="Times New Roman" w:hAnsi="Times New Roman"/>
          <w:sz w:val="15"/>
          <w:szCs w:val="15"/>
          <w:color w:val="auto"/>
        </w:rPr>
        <w:t>The components of the income tax provision for the years ended December 31, 2023 and 2022 are as follows (in thousands):</w:t>
      </w:r>
    </w:p>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2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620" w:type="dxa"/>
            <w:vAlign w:val="bottom"/>
          </w:tcPr>
          <w:p>
            <w:pPr>
              <w:ind w:left="25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0" w:type="dxa"/>
            <w:vAlign w:val="bottom"/>
            <w:tcBorders>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620" w:type="dxa"/>
            <w:vAlign w:val="bottom"/>
          </w:tcPr>
          <w:p>
            <w:pPr>
              <w:ind w:left="258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-6350</wp:posOffset>
            </wp:positionV>
            <wp:extent cx="4241800" cy="1397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Current income tax provision:</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State</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397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3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Total current income tax provision</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Deferred income tax provision:</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16"/>
                <w:szCs w:val="16"/>
                <w:color w:val="auto"/>
              </w:rPr>
            </w:pPr>
          </w:p>
        </w:tc>
        <w:tc>
          <w:tcPr>
            <w:tcW w:w="460" w:type="dxa"/>
            <w:vAlign w:val="bottom"/>
            <w:gridSpan w:val="2"/>
          </w:tcPr>
          <w:p>
            <w:pPr>
              <w:jc w:val="right"/>
              <w:ind w:right="87"/>
              <w:spacing w:after="0"/>
              <w:rPr>
                <w:sz w:val="20"/>
                <w:szCs w:val="20"/>
                <w:color w:val="auto"/>
              </w:rPr>
            </w:pPr>
            <w:r>
              <w:rPr>
                <w:rFonts w:ascii="Times New Roman" w:cs="Times New Roman" w:eastAsia="Times New Roman" w:hAnsi="Times New Roman"/>
                <w:sz w:val="15"/>
                <w:szCs w:val="15"/>
                <w:color w:val="auto"/>
              </w:rPr>
              <w:t>​ ​​ ​</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ind w:right="5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  289​</w:t>
            </w:r>
          </w:p>
        </w:tc>
        <w:tc>
          <w:tcPr>
            <w:tcW w:w="38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5"/>
                <w:szCs w:val="15"/>
                <w:color w:val="auto"/>
                <w:w w:val="99"/>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12​</w:t>
            </w:r>
          </w:p>
        </w:tc>
        <w:tc>
          <w:tcPr>
            <w:tcW w:w="38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5"/>
                <w:szCs w:val="15"/>
                <w:color w:val="auto"/>
              </w:rPr>
              <w:t>​ ​ —​</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7"/>
                <w:szCs w:val="17"/>
                <w:color w:val="auto"/>
              </w:rPr>
            </w:pPr>
          </w:p>
        </w:tc>
        <w:tc>
          <w:tcPr>
            <w:tcW w:w="840" w:type="dxa"/>
            <w:vAlign w:val="bottom"/>
            <w:gridSpan w:val="4"/>
          </w:tcPr>
          <w:p>
            <w:pPr>
              <w:jc w:val="right"/>
              <w:ind w:right="87"/>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 ​</w:t>
            </w:r>
          </w:p>
        </w:tc>
        <w:tc>
          <w:tcPr>
            <w:tcW w:w="380" w:type="dxa"/>
            <w:vAlign w:val="bottom"/>
            <w:gridSpan w:val="2"/>
          </w:tcPr>
          <w:p>
            <w:pPr>
              <w:jc w:val="right"/>
              <w:ind w:right="55"/>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 —​</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9"/>
                <w:szCs w:val="19"/>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 301​</w:t>
            </w:r>
          </w:p>
        </w:tc>
        <w:tc>
          <w:tcPr>
            <w:tcW w:w="38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5"/>
                <w:szCs w:val="15"/>
                <w:color w:val="auto"/>
              </w:rPr>
              <w:t>​ ​ —​</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16"/>
                <w:szCs w:val="16"/>
                <w:color w:val="auto"/>
              </w:rPr>
            </w:pPr>
          </w:p>
        </w:tc>
        <w:tc>
          <w:tcPr>
            <w:tcW w:w="460" w:type="dxa"/>
            <w:vAlign w:val="bottom"/>
            <w:gridSpan w:val="2"/>
          </w:tcPr>
          <w:p>
            <w:pPr>
              <w:jc w:val="right"/>
              <w:ind w:right="87"/>
              <w:spacing w:after="0"/>
              <w:rPr>
                <w:sz w:val="20"/>
                <w:szCs w:val="20"/>
                <w:color w:val="auto"/>
              </w:rPr>
            </w:pPr>
            <w:r>
              <w:rPr>
                <w:rFonts w:ascii="Times New Roman" w:cs="Times New Roman" w:eastAsia="Times New Roman" w:hAnsi="Times New Roman"/>
                <w:sz w:val="15"/>
                <w:szCs w:val="15"/>
                <w:color w:val="auto"/>
              </w:rPr>
              <w:t>​ ​​ ​</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ind w:right="5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bl>
    <w:p>
      <w:pPr>
        <w:spacing w:after="0" w:line="1" w:lineRule="exact"/>
        <w:rPr>
          <w:sz w:val="20"/>
          <w:szCs w:val="20"/>
          <w:color w:val="auto"/>
        </w:rPr>
      </w:pPr>
    </w:p>
    <w:p>
      <w:pPr>
        <w:sectPr>
          <w:pgSz w:w="11900" w:h="16838" w:orient="portrait"/>
          <w:cols w:equalWidth="0" w:num="2">
            <w:col w:w="5600" w:space="720"/>
            <w:col w:w="2699"/>
          </w:cols>
          <w:pgMar w:left="1440" w:top="98" w:right="1440" w:bottom="1440" w:gutter="0" w:footer="0" w:header="0"/>
          <w:type w:val="continuous"/>
        </w:sectPr>
      </w:pPr>
    </w:p>
    <w:tbl>
      <w:tblPr>
        <w:tblLayout w:type="fixed"/>
        <w:tblInd w:w="1160" w:type="dxa"/>
        <w:tblCellMar>
          <w:top w:w="0" w:type="dxa"/>
          <w:left w:w="0" w:type="dxa"/>
          <w:bottom w:w="0" w:type="dxa"/>
          <w:right w:w="0" w:type="dxa"/>
        </w:tblCellMar>
      </w:tblPr>
      <w:tr>
        <w:trPr>
          <w:trHeight w:val="222"/>
        </w:trPr>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Federal, state and foreign</w:t>
            </w:r>
          </w:p>
        </w:tc>
        <w:tc>
          <w:tcPr>
            <w:tcW w:w="2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2"/>
            <w:shd w:val="clear" w:color="auto" w:fill="CCEEFF"/>
          </w:tcPr>
          <w:p>
            <w:pPr>
              <w:spacing w:after="0" w:line="222"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deferred income tax provision</w:t>
            </w:r>
          </w:p>
        </w:tc>
        <w:tc>
          <w:tcPr>
            <w:tcW w:w="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tcPr>
          <w:p>
            <w:pPr>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2"/>
          </w:tcPr>
          <w:p>
            <w:pPr>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income tax provision</w:t>
            </w:r>
          </w:p>
        </w:tc>
        <w:tc>
          <w:tcPr>
            <w:tcW w:w="2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3"/>
            <w:shd w:val="clear" w:color="auto" w:fill="CCEEFF"/>
          </w:tcPr>
          <w:p>
            <w:pPr>
              <w:jc w:val="right"/>
              <w:ind w:right="4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$ 301​</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2"/>
            <w:shd w:val="clear" w:color="auto" w:fill="CCEEFF"/>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A reconciliation of the income tax expense computed using the federal statutory income tax rate to the</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Company’s effective income tax rate is as follows:</w:t>
      </w:r>
    </w:p>
    <w:p>
      <w:pPr>
        <w:spacing w:after="0" w:line="138"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60" w:type="dxa"/>
            <w:vAlign w:val="bottom"/>
          </w:tcPr>
          <w:p>
            <w:pPr>
              <w:ind w:left="218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60" w:type="dxa"/>
            <w:vAlign w:val="bottom"/>
            <w:tcBorders>
              <w:bottom w:val="single" w:sz="8" w:color="CCEEFF"/>
            </w:tcBorders>
          </w:tcPr>
          <w:p>
            <w:pPr>
              <w:ind w:left="222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6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8"/>
        </w:trPr>
        <w:tc>
          <w:tcPr>
            <w:tcW w:w="102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Federal statutory income tax rate</w:t>
            </w:r>
          </w:p>
        </w:tc>
        <w:tc>
          <w:tcPr>
            <w:tcW w:w="2420" w:type="dxa"/>
            <w:vAlign w:val="bottom"/>
            <w:tcBorders>
              <w:right w:val="single" w:sz="8" w:color="CCEEFF"/>
            </w:tcBorders>
            <w:gridSpan w:val="2"/>
            <w:shd w:val="clear" w:color="auto" w:fill="CCEEFF"/>
          </w:tcPr>
          <w:p>
            <w:pPr>
              <w:ind w:left="22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21.0%</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State income taxes, net of federal benefit</w:t>
            </w:r>
          </w:p>
        </w:tc>
        <w:tc>
          <w:tcPr>
            <w:tcW w:w="2420" w:type="dxa"/>
            <w:vAlign w:val="bottom"/>
            <w:gridSpan w:val="2"/>
          </w:tcPr>
          <w:p>
            <w:pPr>
              <w:ind w:left="22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5"/>
                <w:szCs w:val="15"/>
                <w:color w:val="auto"/>
              </w:rPr>
              <w:t>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2.9​</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Change in valuation allowance</w:t>
            </w:r>
          </w:p>
        </w:tc>
        <w:tc>
          <w:tcPr>
            <w:tcW w:w="2420" w:type="dxa"/>
            <w:vAlign w:val="bottom"/>
            <w:tcBorders>
              <w:right w:val="single" w:sz="8" w:color="CCEEFF"/>
            </w:tcBorders>
            <w:gridSpan w:val="2"/>
            <w:shd w:val="clear" w:color="auto" w:fill="CCEEFF"/>
          </w:tcPr>
          <w:p>
            <w:pPr>
              <w:ind w:left="22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(26.4)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(18.1)</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Research and development tax credits</w:t>
            </w:r>
          </w:p>
        </w:tc>
        <w:tc>
          <w:tcPr>
            <w:tcW w:w="2420" w:type="dxa"/>
            <w:vAlign w:val="bottom"/>
            <w:gridSpan w:val="2"/>
          </w:tcPr>
          <w:p>
            <w:pPr>
              <w:ind w:left="22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5"/>
                <w:szCs w:val="15"/>
                <w:color w:val="auto"/>
              </w:rPr>
              <w:t>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2.6​</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Foreign tax rate differential</w:t>
            </w:r>
          </w:p>
        </w:tc>
        <w:tc>
          <w:tcPr>
            <w:tcW w:w="2420" w:type="dxa"/>
            <w:vAlign w:val="bottom"/>
            <w:tcBorders>
              <w:right w:val="single" w:sz="8" w:color="CCEEFF"/>
            </w:tcBorders>
            <w:gridSpan w:val="2"/>
            <w:shd w:val="clear" w:color="auto" w:fill="CCEEFF"/>
          </w:tcPr>
          <w:p>
            <w:pPr>
              <w:ind w:left="22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(8.2)</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adjustments</w:t>
            </w:r>
          </w:p>
        </w:tc>
        <w:tc>
          <w:tcPr>
            <w:tcW w:w="2420" w:type="dxa"/>
            <w:vAlign w:val="bottom"/>
            <w:gridSpan w:val="2"/>
          </w:tcPr>
          <w:p>
            <w:pPr>
              <w:ind w:left="22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2"/>
          </w:tcPr>
          <w:p>
            <w:pPr>
              <w:ind w:left="8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(0.2)</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2420" w:type="dxa"/>
            <w:vAlign w:val="bottom"/>
            <w:tcBorders>
              <w:right w:val="single" w:sz="8" w:color="CCEEFF"/>
            </w:tcBorders>
            <w:gridSpan w:val="2"/>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20" w:type="dxa"/>
            <w:vAlign w:val="bottom"/>
          </w:tcPr>
          <w:p>
            <w:pPr>
              <w:spacing w:after="0"/>
              <w:rPr>
                <w:sz w:val="21"/>
                <w:szCs w:val="21"/>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Effective income tax rate</w:t>
            </w:r>
          </w:p>
        </w:tc>
        <w:tc>
          <w:tcPr>
            <w:tcW w:w="2420" w:type="dxa"/>
            <w:vAlign w:val="bottom"/>
            <w:tcBorders>
              <w:right w:val="single" w:sz="8" w:color="CCEEFF"/>
            </w:tcBorders>
            <w:gridSpan w:val="2"/>
            <w:shd w:val="clear" w:color="auto" w:fill="CCEEFF"/>
          </w:tcPr>
          <w:p>
            <w:pPr>
              <w:ind w:left="22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shd w:val="clear" w:color="auto" w:fill="CCEEFF"/>
          </w:tcPr>
          <w:p>
            <w:pPr>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(0.8)%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Borders>
              <w:right w:val="single" w:sz="8" w:color="CCEEFF"/>
            </w:tcBorders>
            <w:gridSpan w:val="2"/>
            <w:shd w:val="clear" w:color="auto" w:fill="CCEEFF"/>
          </w:tcPr>
          <w:p>
            <w:pPr>
              <w:ind w:left="80"/>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(0.0)%</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5"/>
                <w:szCs w:val="15"/>
                <w:color w:val="auto"/>
              </w:rPr>
              <w:t>F-30</w:t>
            </w: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10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-732155</wp:posOffset>
            </wp:positionV>
            <wp:extent cx="4241800"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-1506220</wp:posOffset>
            </wp:positionV>
            <wp:extent cx="3851275"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851275"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44" w:name="page245"/>
    <w:bookmarkEnd w:id="24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14. Income Taxes (Continued)</w:t>
      </w:r>
    </w:p>
    <w:p>
      <w:pPr>
        <w:spacing w:after="0" w:line="181" w:lineRule="exact"/>
        <w:rPr>
          <w:sz w:val="20"/>
          <w:szCs w:val="20"/>
          <w:color w:val="auto"/>
        </w:rPr>
      </w:pPr>
    </w:p>
    <w:p>
      <w:pPr>
        <w:ind w:left="1160" w:right="1179"/>
        <w:spacing w:after="0" w:line="269" w:lineRule="auto"/>
        <w:rPr>
          <w:sz w:val="20"/>
          <w:szCs w:val="20"/>
          <w:color w:val="auto"/>
        </w:rPr>
      </w:pPr>
      <w:r>
        <w:rPr>
          <w:rFonts w:ascii="Times New Roman" w:cs="Times New Roman" w:eastAsia="Times New Roman" w:hAnsi="Times New Roman"/>
          <w:sz w:val="15"/>
          <w:szCs w:val="15"/>
          <w:color w:val="auto"/>
        </w:rPr>
        <w:t>The Company’s change in effective tax rate for the year ended December 31, 2023 compared to the year ended December 31, 2022 increased primarily due to income earned in the U.S.</w:t>
      </w:r>
    </w:p>
    <w:p>
      <w:pPr>
        <w:spacing w:after="0" w:line="86" w:lineRule="exact"/>
        <w:rPr>
          <w:sz w:val="20"/>
          <w:szCs w:val="20"/>
          <w:color w:val="auto"/>
        </w:rPr>
      </w:pPr>
    </w:p>
    <w:p>
      <w:pPr>
        <w:ind w:left="1160" w:right="1179"/>
        <w:spacing w:after="0" w:line="269" w:lineRule="auto"/>
        <w:rPr>
          <w:sz w:val="20"/>
          <w:szCs w:val="20"/>
          <w:color w:val="auto"/>
        </w:rPr>
      </w:pPr>
      <w:r>
        <w:rPr>
          <w:rFonts w:ascii="Times New Roman" w:cs="Times New Roman" w:eastAsia="Times New Roman" w:hAnsi="Times New Roman"/>
          <w:sz w:val="15"/>
          <w:szCs w:val="15"/>
          <w:color w:val="auto"/>
        </w:rPr>
        <w:t>The following table presents the components of the Company’s deferred tax assets and liabilities (in thousands):</w:t>
      </w:r>
    </w:p>
    <w:p>
      <w:pPr>
        <w:sectPr>
          <w:pgSz w:w="11900" w:h="16838" w:orient="portrait"/>
          <w:cols w:equalWidth="0" w:num="1">
            <w:col w:w="9019"/>
          </w:cols>
          <w:pgMar w:left="1440" w:top="98" w:right="1440" w:bottom="1440" w:gutter="0" w:footer="0" w:header="0"/>
        </w:sectPr>
      </w:pPr>
    </w:p>
    <w:p>
      <w:pPr>
        <w:spacing w:after="0" w:line="1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4241800" cy="1397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Deferred tax assets: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Net operating loss carryforwards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Capitalized research and development</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Research and development tax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Accruals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Milestone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Lease liability</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Intangibles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Fair value adjustment–debt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Other</w:t>
      </w:r>
    </w:p>
    <w:p>
      <w:pPr>
        <w:spacing w:after="0" w:line="5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Deferred tax liabilities:</w:t>
      </w:r>
    </w:p>
    <w:p>
      <w:pPr>
        <w:spacing w:after="0" w:line="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ROU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97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Amortization and other</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676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241800" cy="167640"/>
                    </a:xfrm>
                    <a:prstGeom prst="rect">
                      <a:avLst/>
                    </a:prstGeom>
                    <a:noFill/>
                  </pic:spPr>
                </pic:pic>
              </a:graphicData>
            </a:graphic>
          </wp:anchor>
        </w:drawing>
      </w:r>
    </w:p>
    <w:p>
      <w:pPr>
        <w:spacing w:after="0" w:line="6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Net deferred tax assets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7"/>
          </w:tcPr>
          <w:p>
            <w:pPr>
              <w:jc w:val="right"/>
              <w:ind w:right="148"/>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0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bottom w:val="single" w:sz="8" w:color="auto"/>
            </w:tcBorders>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9,960​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13,073​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19,573​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10,795​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6,547​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4,112​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1,424​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1,068​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719​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777​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147​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262​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1,188​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258​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320​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81​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280" w:type="dxa"/>
            <w:vAlign w:val="bottom"/>
          </w:tcPr>
          <w:p>
            <w:pPr>
              <w:spacing w:after="0"/>
              <w:rPr>
                <w:sz w:val="17"/>
                <w:szCs w:val="17"/>
                <w:color w:val="auto"/>
              </w:rPr>
            </w:pPr>
          </w:p>
        </w:tc>
        <w:tc>
          <w:tcPr>
            <w:tcW w:w="3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2​ </w:t>
            </w:r>
            <w:r>
              <w:rPr>
                <w:rFonts w:ascii="Times New Roman" w:cs="Times New Roman" w:eastAsia="Times New Roman" w:hAnsi="Times New Roman"/>
                <w:sz w:val="23"/>
                <w:szCs w:val="23"/>
                <w:color w:val="auto"/>
                <w:vertAlign w:val="subscript"/>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2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r>
      <w:tr>
        <w:trPr>
          <w:trHeight w:val="20"/>
        </w:trPr>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39,961​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30,345​ ​</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(258)​</w:t>
            </w:r>
          </w:p>
        </w:tc>
      </w:tr>
      <w:tr>
        <w:trPr>
          <w:trHeight w:val="220"/>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5"/>
          </w:tcPr>
          <w:p>
            <w:pPr>
              <w:spacing w:after="0" w:line="209"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(39,761)</w:t>
            </w:r>
            <w:r>
              <w:rPr>
                <w:rFonts w:ascii="Times New Roman" w:cs="Times New Roman" w:eastAsia="Times New Roman" w:hAnsi="Times New Roman"/>
                <w:sz w:val="24"/>
                <w:szCs w:val="24"/>
                <w:color w:val="auto"/>
                <w:vertAlign w:val="subscript"/>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13"/>
                <w:szCs w:val="13"/>
                <w:color w:val="auto"/>
              </w:rPr>
              <w:t>​  (30,082)</w:t>
            </w:r>
            <w:r>
              <w:rPr>
                <w:rFonts w:ascii="Times New Roman" w:cs="Times New Roman" w:eastAsia="Times New Roman" w:hAnsi="Times New Roman"/>
                <w:sz w:val="24"/>
                <w:szCs w:val="24"/>
                <w:color w:val="auto"/>
                <w:vertAlign w:val="subscript"/>
              </w:rPr>
              <w:t>​</w:t>
            </w: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line="21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perscript"/>
              </w:rPr>
              <w:t>$</w:t>
            </w:r>
          </w:p>
        </w:tc>
        <w:tc>
          <w:tcPr>
            <w:tcW w:w="280" w:type="dxa"/>
            <w:vAlign w:val="bottom"/>
          </w:tcPr>
          <w:p>
            <w:pPr>
              <w:spacing w:after="0"/>
              <w:rPr>
                <w:sz w:val="19"/>
                <w:szCs w:val="19"/>
                <w:color w:val="auto"/>
              </w:rPr>
            </w:pPr>
          </w:p>
        </w:tc>
        <w:tc>
          <w:tcPr>
            <w:tcW w:w="320" w:type="dxa"/>
            <w:vAlign w:val="bottom"/>
            <w:gridSpan w:val="2"/>
          </w:tcPr>
          <w:p>
            <w:pPr>
              <w:jc w:val="right"/>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w:t>
            </w:r>
          </w:p>
        </w:tc>
        <w:tc>
          <w:tcPr>
            <w:tcW w:w="160" w:type="dxa"/>
            <w:vAlign w:val="bottom"/>
            <w:gridSpan w:val="2"/>
          </w:tcPr>
          <w:p>
            <w:pPr>
              <w:ind w:left="40"/>
              <w:spacing w:after="0" w:line="21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perscript"/>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gridSpan w:val="2"/>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bscript"/>
              </w:rPr>
              <w:t>​</w:t>
            </w: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3" w:lineRule="exact"/>
        <w:rPr>
          <w:sz w:val="20"/>
          <w:szCs w:val="20"/>
          <w:color w:val="auto"/>
        </w:rPr>
      </w:pPr>
    </w:p>
    <w:p>
      <w:pPr>
        <w:sectPr>
          <w:pgSz w:w="11900" w:h="16838" w:orient="portrait"/>
          <w:cols w:equalWidth="0" w:num="2">
            <w:col w:w="5440" w:space="720"/>
            <w:col w:w="2859"/>
          </w:cols>
          <w:pgMar w:left="1440" w:top="98" w:right="1440" w:bottom="1440" w:gutter="0" w:footer="0" w:header="0"/>
          <w:type w:val="continuous"/>
        </w:sect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ASC Topic 740 requires a valuation allowance to reduce the deferred tax assets reported if, based on the weight of available evidence, it is more likely than not that some portion or all of the deferred tax assets will not be realized. After consideration of all the evidence, both positive and negative, the Company has recorded full valuation allowances against its domestic and foreign deferred tax assets as of December 31, 2023, because management has determined that it is more likely than not that these assets will not be realized. The valuation allowance increased by $9.7 million from December 31, 2022 to December 31, 2023, primarily due to the capitalization of research and development expenses under Internal Revenue Code Section 174 (“Section 174”) at the U.S. entity.</w:t>
      </w:r>
    </w:p>
    <w:p>
      <w:pPr>
        <w:spacing w:after="0" w:line="90"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Beginning on or after January 1, 2022, Section 174 of the U.S. internal revenue code was amended as part of the Tax Cuts and Jobs Act of 2017 (the “TCJA”) to no longer permit an immediate deduction for research and development expenditures in the tax year that such costs are incurred. Rather, the research and development expenses must be capitalized and amortized over five years for research performed in the U.S. and 15 years for research performed outside the U.S. As a result of this provision, the Company capitalized applicable costs resulting in a deferred tax asset of $19.6 million as of December 31, 2023.</w:t>
      </w:r>
    </w:p>
    <w:p>
      <w:pPr>
        <w:spacing w:after="0" w:line="10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As of December 31, 2023, the Company had approximately $2.3 million of U.S. federal net operating loss (“NOL”) carryforwards. The Company had no state NOL carryforwards as of December 31, 2023. As of December 31, 2022, the Company had approximately $22.9 million and $22.2 million of U.S. federal and state NOL carryforwards, respectively. The Company utilized previous net operating loss carryforwards to offset the taxable income created from the mandatory capitalization of research and development expenses under</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45" w:name="page246"/>
    <w:bookmarkEnd w:id="24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14. Income Taxes (Continued)</w:t>
      </w:r>
    </w:p>
    <w:p>
      <w:pPr>
        <w:spacing w:after="0" w:line="181"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Section 174. The federal NOL carryforwards do not expire, but they may be limited in their usage to an annual deduction equal to 80% of annual taxable income. The Company anticipates the utilization of their state NOL carryforwards to occur in the period ending December 31, 2023. The federal and state NOL carryforwards are fully offset by valuation allowances.</w:t>
      </w:r>
    </w:p>
    <w:p>
      <w:pPr>
        <w:spacing w:after="0" w:line="100"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As of December 31, 2023, the Company had $5.9 million and $0.8 million in federal and state general business or research and development tax credit carryforwards. As of December 31, 2022, the Company had $3.6 million and $0.6 million in federal and state general business or research and development tax credit carryforwards. These carryforwards are subject to review and possible adjustment by the appropriate taxing authorities. The federal and state research credit carryforwards expire in 20 years and 15 years, respectively, starting in 2036. The federal and state tax credit carryforwards are fully offset by valuation allowances.</w:t>
      </w:r>
    </w:p>
    <w:p>
      <w:pPr>
        <w:spacing w:after="0" w:line="102"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As of December 31, 2023 and 2022, the Company had $53.7 million and $39.3 million of foreign NOL carryforwards, respectively. The foreign NOL carryforwards are fully offset by valuation allowances. The Zenas China net operating loss carryforwards expire at various dates beginning in 2026 through 2028 for tax purposes. The Zenas HK net operating losses may be carried forward indefinitely for tax purposes. The foreign NOL carryforwards are fully offset by valuation allowances.</w:t>
      </w:r>
    </w:p>
    <w:p>
      <w:pPr>
        <w:spacing w:after="0" w:line="90"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The Company files income tax returns in the jurisdictions in which it operates. In the normal course of business, the Company may be subject to examinations by taxing authorities. The Company is not currently under any income tax examinations. Due to the Company’s net operating losses, all tax years generally remain open in each jurisdiction.</w:t>
      </w:r>
    </w:p>
    <w:p>
      <w:pPr>
        <w:spacing w:after="0" w:line="100"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There have been no unrecognized tax benefits since the Company’s inception. The Company’s policy is to record estimated interest and penalties related to the underpayment of income taxes as a component of its income tax provision. As of December 31, 2023 and 2022, the Company had no accrued interest or penalties related to uncertain tax positions and since inception, no amounts have been recognized in the Company’s consolidated statements of operations and comprehensive loss.</w:t>
      </w:r>
    </w:p>
    <w:p>
      <w:pPr>
        <w:spacing w:after="0" w:line="112" w:lineRule="exact"/>
        <w:rPr>
          <w:sz w:val="20"/>
          <w:szCs w:val="20"/>
          <w:color w:val="auto"/>
        </w:rPr>
      </w:pPr>
    </w:p>
    <w:p>
      <w:pPr>
        <w:jc w:val="both"/>
        <w:ind w:left="1160" w:right="1179"/>
        <w:spacing w:after="0" w:line="273" w:lineRule="auto"/>
        <w:rPr>
          <w:sz w:val="20"/>
          <w:szCs w:val="20"/>
          <w:color w:val="auto"/>
        </w:rPr>
      </w:pPr>
      <w:r>
        <w:rPr>
          <w:rFonts w:ascii="Times New Roman" w:cs="Times New Roman" w:eastAsia="Times New Roman" w:hAnsi="Times New Roman"/>
          <w:sz w:val="15"/>
          <w:szCs w:val="15"/>
          <w:color w:val="auto"/>
        </w:rPr>
        <w:t>Under the provisions of Section 382 of the Internal Revenue Code of 1986, as amended, certain substantial changes in the Company’s ownership, including a sale of the Company, or significant changes in ownership due to sales of equity, may have limited, or may limit in the future, the amount of net operating loss carryforwards and tax credits, which could be used annually to offset future taxable income.</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15. Commitments and Contingencies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Operating Leases</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Company has entered into arrangements for leases of office space; see Note 6, “Leases,” for details.</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License and Option Agreements</w:t>
      </w:r>
    </w:p>
    <w:p>
      <w:pPr>
        <w:spacing w:after="0" w:line="128"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The Company entered into licenses agreements under which it is obligated to make fixed and contingent payments; see Note 9 “License and Option Agreements,” for details.</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Other Contracts</w:t>
      </w:r>
    </w:p>
    <w:p>
      <w:pPr>
        <w:spacing w:after="0" w:line="117"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The Company has entered into agreements with certain vendors for the provision of services that the Company is not contractually able to terminate for convenience and thereby avoid any and all future obligations to the vendors. Under such agreements, the Company is contractually obligated to make certain minimum payments to the vendors, with the exact amounts in the event of termination to be based on the timing of the termination and the exact terms of the agreement.</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6" w:name="page247"/>
    <w:bookmarkEnd w:id="24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15. Commitments and Contingencies (Continued)</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Indemnification Agreements</w:t>
      </w:r>
    </w:p>
    <w:p>
      <w:pPr>
        <w:spacing w:after="0" w:line="128"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services as directors. 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had not accrued any liabilities related to such obligations in its financial statements as of December 31, 2023.</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Litigation and Other Proceedings</w:t>
      </w:r>
    </w:p>
    <w:p>
      <w:pPr>
        <w:spacing w:after="0" w:line="128"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The Company may periodically become subject to legal proceedings and claims arising in connection with ongoing business activities, including claims or disputes related to patents that have been issued or that are pending in the field of research on which the Company is focused.</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16. Employee Benefit Plans</w:t>
      </w:r>
    </w:p>
    <w:p>
      <w:pPr>
        <w:spacing w:after="0" w:line="115"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Effective June 2020, the Company adopted the Zenas BioPharma 401(k) Plan (the “401(k) Plan”) for its employees, which is designed to be qualified under Section 401(k) of the Internal Revenue Code. Eligible employees are permitted to contribute to the 401(k) Plan within statutory and 401(k) Plan limits. Since inception of the 401(k) Plan and through the year ended December 31, 2023, the Company has not made any contributions to the 401(k) Plan.</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17. Related Party Transactions</w:t>
      </w:r>
    </w:p>
    <w:p>
      <w:pPr>
        <w:spacing w:after="0" w:line="126"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As further described above in Note 9, “License and Option Agreements,” the Company has obtained exclusive, worldwide licenses from Xencor to research, develop, manufacture, market and sell four antibody product candidates pursuant to two license agreements. The Company has concluded that Xencor is a related party, because as initial consideration for the 2020 Xencor Agreement, the Company issued 5,041,542 shares of its Series A Preferred Stock to Xencor during the year ended December 31, 2020. In April 2023, Xencor elected to receive payment for a development milestone in the form of the Company’s Series B Preferred Stock and the Company issued 4,189,955 shares of Series B Preferred Stock as payment for the development milestone in June 2023. As of that date, Xencor’s equity interest in Zenas was approximately 24% of all outstanding shares of all classes of the Company’s stock (common stock and convertible preferred stock). The Company recorded an immaterial amount to general and administrative expenses in the consolidated statements of operations and comprehensive loss during each of the years ended December 31, 2023 and 2022, relating to reimbursable patent-related costs owed to Xencor.</w:t>
      </w:r>
    </w:p>
    <w:p>
      <w:pPr>
        <w:spacing w:after="0" w:line="109"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As further described above in Note 9, “License and Option Agreements,” the Company has obtained a license from Viridian to research, develop, manufacture, market and sell an antibody product candidate in China. The Company has concluded that Viridian is a related party because Fairmount Funds Management LLC owns more than 5% of capital stock of the Company, has a seat on the Board and is also a 10% or greater stockholder of Viridian and has two seats on Viridian’s board of directors. As initial consideration for this license, the Company issued 336,103 shares of its common stock to Viridian during the year ended December 31, 2020. As of that date, Viridian’s equity interest in the Company was approximately 1% of all outstanding shares of all classes of the Company’s stock (assuming conversion of all outstanding shares of convertible preferred stock).</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7" w:name="page248"/>
    <w:bookmarkEnd w:id="24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17. Related Party Transactions (Continued)</w:t>
      </w:r>
    </w:p>
    <w:p>
      <w:pPr>
        <w:spacing w:after="0" w:line="181"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As further described above in Note 9, “License and Option Agreements”, the Company has obtained an exclusive option to negotiate and enter into exclusive license agreements with Dianthus for the rights (in the Zenas Territories only) to either or both of two antibody product candidates. The Company has concluded that Dianthus is a related party because the Company’s Chair of the Board is a member of the board of directors of Dianthus. As initial consideration for this license, the Company issued 156,848 shares of its common stock to Dianthus during the year ended December 31, 2020. As of that date, Dianthus’s equity interest in the Company was approximately 0.5% of all outstanding shares of all classes of the Company’s stock (assuming conversion of all outstanding shares of convertible preferred stock).</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18. Subsequent Events</w:t>
      </w:r>
    </w:p>
    <w:p>
      <w:pPr>
        <w:spacing w:after="0" w:line="126"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The Company has assessed subsequent events through May 15, 2024, the date that these consolidated financial statements were available for issuance.</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2020 Plan Amendment and Option Grants</w:t>
      </w:r>
    </w:p>
    <w:p>
      <w:pPr>
        <w:spacing w:after="0" w:line="128"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On May 3, 2024, the Board approved an increase in the number of shares of common stock authorized for issuance under the 2020 Plan from 22,232,224 shares to 38,414,424 shares. This increase was approved by the Company’s stockholders on May 3, 2024. In connection with the increase, the Company granted options to purchase 16,475,000 shares of the Company’s common stock on May 9, 2024 at an exercise price of $1.15 per share.</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Series C Preferred Stock and BMS Note Conversion</w:t>
      </w:r>
    </w:p>
    <w:p>
      <w:pPr>
        <w:spacing w:after="0" w:line="117"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On May 3, 2024, the Company entered into a Series C Preferred Stock purchase agreement (“Series C Agreement”) whereby the Company issued 103,990,553 shares of Series C Preferred Stock at a price of $1.72131 per share for gross proceeds of $179.0 million. In connection with the issuance of the Series C Preferred Stock, which was considered a BMS Qualified Financing as further described above in Note 3, “Fair Value Measurement,” the BMS Note converted into 12,284,686 shares of Series C Preferred Stock, thereby making the total Series C issuance equal to 116,275,239 shares. The Certificate of Incorporation was amended and restated in connection with the execution of the Series C Agreement. In the event of a voluntary or involuntary liquidation, dissolution or winding up of the Company, a deemed liquidation event, or a dividend distribution, holders of Series C Preferred Stock have preference above all other classes of outstanding stock. All other rights and preferences of the Series C Preferred Stock are substantially the same as the rights and preferences of the Company’s existing classes of Preferred Stock, as further described in Note 10,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8" w:name="page249"/>
    <w:bookmarkEnd w:id="248"/>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(Unaudited)</w:t>
      </w: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and per share amounts)</w:t>
      </w:r>
    </w:p>
    <w:p>
      <w:pPr>
        <w:spacing w:after="0" w:line="114"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June 30,</w:t>
            </w:r>
          </w:p>
        </w:tc>
        <w:tc>
          <w:tcPr>
            <w:tcW w:w="120" w:type="dxa"/>
            <w:vAlign w:val="bottom"/>
          </w:tcPr>
          <w:p>
            <w:pPr>
              <w:spacing w:after="0"/>
              <w:rPr>
                <w:sz w:val="14"/>
                <w:szCs w:val="14"/>
                <w:color w:val="auto"/>
              </w:rPr>
            </w:pPr>
          </w:p>
        </w:tc>
        <w:tc>
          <w:tcPr>
            <w:tcW w:w="78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line="20" w:lineRule="exact"/>
              <w:rPr>
                <w:sz w:val="1"/>
                <w:szCs w:val="1"/>
                <w:color w:val="auto"/>
              </w:rPr>
            </w:pPr>
          </w:p>
        </w:tc>
      </w:tr>
      <w:tr>
        <w:trPr>
          <w:trHeight w:val="145"/>
        </w:trPr>
        <w:tc>
          <w:tcPr>
            <w:tcW w:w="5240" w:type="dxa"/>
            <w:vAlign w:val="bottom"/>
            <w:vMerge w:val="continue"/>
          </w:tcPr>
          <w:p>
            <w:pPr>
              <w:spacing w:after="0"/>
              <w:rPr>
                <w:sz w:val="12"/>
                <w:szCs w:val="12"/>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Pr>
          <w:p>
            <w:pPr>
              <w:jc w:val="right"/>
              <w:ind w:right="28"/>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2"/>
                <w:szCs w:val="12"/>
                <w:color w:val="auto"/>
              </w:rPr>
            </w:pPr>
          </w:p>
        </w:tc>
        <w:tc>
          <w:tcPr>
            <w:tcW w:w="240" w:type="dxa"/>
            <w:vAlign w:val="bottom"/>
            <w:gridSpan w:val="2"/>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vMerge w:val="continue"/>
          </w:tcPr>
          <w:p>
            <w:pPr>
              <w:spacing w:after="0"/>
              <w:rPr>
                <w:sz w:val="13"/>
                <w:szCs w:val="13"/>
                <w:color w:val="auto"/>
              </w:rPr>
            </w:pPr>
          </w:p>
        </w:tc>
        <w:tc>
          <w:tcPr>
            <w:tcW w:w="16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 ​</w:t>
            </w:r>
          </w:p>
        </w:tc>
        <w:tc>
          <w:tcPr>
            <w:tcW w:w="420" w:type="dxa"/>
            <w:vAlign w:val="bottom"/>
          </w:tcPr>
          <w:p>
            <w:pPr>
              <w:spacing w:after="0"/>
              <w:rPr>
                <w:sz w:val="13"/>
                <w:szCs w:val="13"/>
                <w:color w:val="auto"/>
              </w:rPr>
            </w:pPr>
          </w:p>
        </w:tc>
        <w:tc>
          <w:tcPr>
            <w:tcW w:w="36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 ​</w:t>
            </w:r>
          </w:p>
        </w:tc>
        <w:tc>
          <w:tcPr>
            <w:tcW w:w="300" w:type="dxa"/>
            <w:vAlign w:val="bottom"/>
          </w:tcPr>
          <w:p>
            <w:pPr>
              <w:spacing w:after="0"/>
              <w:rPr>
                <w:sz w:val="13"/>
                <w:szCs w:val="13"/>
                <w:color w:val="auto"/>
              </w:rPr>
            </w:pPr>
          </w:p>
        </w:tc>
        <w:tc>
          <w:tcPr>
            <w:tcW w:w="2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5"/>
        </w:trPr>
        <w:tc>
          <w:tcPr>
            <w:tcW w:w="52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Current assets:</w:t>
            </w:r>
          </w:p>
        </w:tc>
        <w:tc>
          <w:tcPr>
            <w:tcW w:w="16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spacing w:after="0"/>
              <w:rPr>
                <w:sz w:val="14"/>
                <w:szCs w:val="14"/>
                <w:color w:val="auto"/>
              </w:rPr>
            </w:pPr>
          </w:p>
        </w:tc>
        <w:tc>
          <w:tcPr>
            <w:tcW w:w="360" w:type="dxa"/>
            <w:vAlign w:val="bottom"/>
            <w:gridSpan w:val="3"/>
          </w:tcPr>
          <w:p>
            <w:pPr>
              <w:jc w:val="right"/>
              <w:spacing w:after="0" w:line="165" w:lineRule="exact"/>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spacing w:after="0"/>
              <w:rPr>
                <w:sz w:val="14"/>
                <w:szCs w:val="14"/>
                <w:color w:val="auto"/>
              </w:rPr>
            </w:pPr>
          </w:p>
        </w:tc>
        <w:tc>
          <w:tcPr>
            <w:tcW w:w="24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5"/>
        </w:trPr>
        <w:tc>
          <w:tcPr>
            <w:tcW w:w="524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5"/>
                <w:szCs w:val="15"/>
                <w:color w:val="auto"/>
              </w:rPr>
              <w:t>Cash</w:t>
            </w:r>
          </w:p>
        </w:tc>
        <w:tc>
          <w:tcPr>
            <w:tcW w:w="940" w:type="dxa"/>
            <w:vAlign w:val="bottom"/>
            <w:gridSpan w:val="6"/>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​​​$ 183,930​​​​$</w:t>
            </w:r>
          </w:p>
        </w:tc>
        <w:tc>
          <w:tcPr>
            <w:tcW w:w="50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56,857​​</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4,670​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2,947​</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current assets</w:t>
            </w:r>
          </w:p>
        </w:tc>
        <w:tc>
          <w:tcPr>
            <w:tcW w:w="40" w:type="dxa"/>
            <w:vAlign w:val="bottom"/>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vMerge w:val="continue"/>
            <w:shd w:val="clear" w:color="auto" w:fill="CCEEFF"/>
          </w:tcPr>
          <w:p>
            <w:pPr>
              <w:spacing w:after="0"/>
              <w:rPr>
                <w:sz w:val="13"/>
                <w:szCs w:val="13"/>
                <w:color w:val="auto"/>
              </w:rPr>
            </w:pPr>
          </w:p>
        </w:tc>
        <w:tc>
          <w:tcPr>
            <w:tcW w:w="70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 ​188,600​​​​</w:t>
            </w:r>
          </w:p>
        </w:tc>
        <w:tc>
          <w:tcPr>
            <w:tcW w:w="100" w:type="dxa"/>
            <w:vAlign w:val="bottom"/>
            <w:tcBorders>
              <w:right w:val="single" w:sz="8" w:color="CCEEFF"/>
            </w:tcBorders>
            <w:vMerge w:val="continue"/>
            <w:shd w:val="clear" w:color="auto" w:fill="CCEEFF"/>
          </w:tcPr>
          <w:p>
            <w:pPr>
              <w:spacing w:after="0"/>
              <w:rPr>
                <w:sz w:val="13"/>
                <w:szCs w:val="13"/>
                <w:color w:val="auto"/>
              </w:rPr>
            </w:pPr>
          </w:p>
        </w:tc>
        <w:tc>
          <w:tcPr>
            <w:tcW w:w="1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59,804​​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Property and equipment, net</w:t>
            </w:r>
          </w:p>
        </w:tc>
        <w:tc>
          <w:tcPr>
            <w:tcW w:w="16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4"/>
          </w:tcPr>
          <w:p>
            <w:pPr>
              <w:jc w:val="right"/>
              <w:spacing w:after="0" w:line="165" w:lineRule="exact"/>
              <w:rPr>
                <w:sz w:val="20"/>
                <w:szCs w:val="20"/>
                <w:color w:val="auto"/>
              </w:rPr>
            </w:pPr>
            <w:r>
              <w:rPr>
                <w:rFonts w:ascii="Times New Roman" w:cs="Times New Roman" w:eastAsia="Times New Roman" w:hAnsi="Times New Roman"/>
                <w:sz w:val="15"/>
                <w:szCs w:val="15"/>
                <w:color w:val="auto"/>
              </w:rPr>
              <w:t>182​​​​ ​</w:t>
            </w:r>
          </w:p>
        </w:tc>
        <w:tc>
          <w:tcPr>
            <w:tcW w:w="50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5"/>
                <w:szCs w:val="15"/>
                <w:color w:val="auto"/>
              </w:rPr>
              <w:t>193​​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24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Operating lease right-of-use assets, net</w:t>
            </w:r>
          </w:p>
        </w:tc>
        <w:tc>
          <w:tcPr>
            <w:tcW w:w="16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4"/>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524​​​​ ​</w:t>
            </w:r>
          </w:p>
        </w:tc>
        <w:tc>
          <w:tcPr>
            <w:tcW w:w="50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821​​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2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Restricted cash</w:t>
            </w:r>
          </w:p>
        </w:tc>
        <w:tc>
          <w:tcPr>
            <w:tcW w:w="16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4"/>
          </w:tcPr>
          <w:p>
            <w:pPr>
              <w:jc w:val="right"/>
              <w:spacing w:after="0" w:line="165" w:lineRule="exact"/>
              <w:rPr>
                <w:sz w:val="20"/>
                <w:szCs w:val="20"/>
                <w:color w:val="auto"/>
              </w:rPr>
            </w:pPr>
            <w:r>
              <w:rPr>
                <w:rFonts w:ascii="Times New Roman" w:cs="Times New Roman" w:eastAsia="Times New Roman" w:hAnsi="Times New Roman"/>
                <w:sz w:val="15"/>
                <w:szCs w:val="15"/>
                <w:color w:val="auto"/>
              </w:rPr>
              <w:t>88​​​​ ​</w:t>
            </w:r>
          </w:p>
        </w:tc>
        <w:tc>
          <w:tcPr>
            <w:tcW w:w="300" w:type="dxa"/>
            <w:vAlign w:val="bottom"/>
          </w:tcPr>
          <w:p>
            <w:pPr>
              <w:spacing w:after="0"/>
              <w:rPr>
                <w:sz w:val="14"/>
                <w:szCs w:val="14"/>
                <w:color w:val="auto"/>
              </w:rPr>
            </w:pPr>
          </w:p>
        </w:tc>
        <w:tc>
          <w:tcPr>
            <w:tcW w:w="20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86​​</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10,558​ ​​​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7,276​</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67"/>
        </w:trPr>
        <w:tc>
          <w:tcPr>
            <w:tcW w:w="5240" w:type="dxa"/>
            <w:vAlign w:val="bottom"/>
          </w:tcPr>
          <w:p>
            <w:pPr>
              <w:ind w:left="300"/>
              <w:spacing w:after="0" w:line="156" w:lineRule="exact"/>
              <w:rPr>
                <w:sz w:val="20"/>
                <w:szCs w:val="20"/>
                <w:color w:val="auto"/>
              </w:rPr>
            </w:pPr>
            <w:r>
              <w:rPr>
                <w:rFonts w:ascii="Times New Roman" w:cs="Times New Roman" w:eastAsia="Times New Roman" w:hAnsi="Times New Roman"/>
                <w:sz w:val="15"/>
                <w:szCs w:val="15"/>
                <w:color w:val="auto"/>
              </w:rPr>
              <w:t>Total assets</w:t>
            </w:r>
          </w:p>
        </w:tc>
        <w:tc>
          <w:tcPr>
            <w:tcW w:w="70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8"/>
                <w:szCs w:val="18"/>
                <w:u w:val="single" w:color="auto"/>
                <w:color w:val="auto"/>
                <w:vertAlign w:val="subscript"/>
              </w:rPr>
              <w:t>​​</w:t>
            </w:r>
            <w:r>
              <w:rPr>
                <w:rFonts w:ascii="Times New Roman" w:cs="Times New Roman" w:eastAsia="Times New Roman" w:hAnsi="Times New Roman"/>
                <w:sz w:val="11"/>
                <w:szCs w:val="11"/>
                <w:color w:val="auto"/>
              </w:rPr>
              <w:t>$ 199,952​</w:t>
            </w: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ind w:right="10"/>
              <w:spacing w:after="0" w:line="156" w:lineRule="exact"/>
              <w:rPr>
                <w:sz w:val="20"/>
                <w:szCs w:val="20"/>
                <w:color w:val="auto"/>
              </w:rPr>
            </w:pPr>
            <w:r>
              <w:rPr>
                <w:rFonts w:ascii="Times New Roman" w:cs="Times New Roman" w:eastAsia="Times New Roman" w:hAnsi="Times New Roman"/>
                <w:sz w:val="18"/>
                <w:szCs w:val="18"/>
                <w:color w:val="auto"/>
                <w:w w:val="71"/>
                <w:vertAlign w:val="subscript"/>
              </w:rPr>
              <w:t>​</w:t>
            </w:r>
            <w:r>
              <w:rPr>
                <w:rFonts w:ascii="Times New Roman" w:cs="Times New Roman" w:eastAsia="Times New Roman" w:hAnsi="Times New Roman"/>
                <w:sz w:val="11"/>
                <w:szCs w:val="11"/>
                <w:color w:val="auto"/>
                <w:w w:val="71"/>
              </w:rPr>
              <w:t>$</w:t>
            </w:r>
          </w:p>
        </w:tc>
        <w:tc>
          <w:tcPr>
            <w:tcW w:w="5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68,180​</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2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Convertible Preferred Stock and Stockholders’ Deficit</w:t>
            </w:r>
          </w:p>
        </w:tc>
        <w:tc>
          <w:tcPr>
            <w:tcW w:w="4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5240" w:type="dxa"/>
            <w:vAlign w:val="bottom"/>
            <w:vMerge w:val="continue"/>
          </w:tcPr>
          <w:p>
            <w:pPr>
              <w:spacing w:after="0"/>
              <w:rPr>
                <w:sz w:val="12"/>
                <w:szCs w:val="12"/>
                <w:color w:val="auto"/>
              </w:rPr>
            </w:pPr>
          </w:p>
        </w:tc>
        <w:tc>
          <w:tcPr>
            <w:tcW w:w="160" w:type="dxa"/>
            <w:vAlign w:val="bottom"/>
            <w:gridSpan w:val="2"/>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 ​</w:t>
            </w:r>
          </w:p>
        </w:tc>
        <w:tc>
          <w:tcPr>
            <w:tcW w:w="420" w:type="dxa"/>
            <w:vAlign w:val="bottom"/>
          </w:tcPr>
          <w:p>
            <w:pPr>
              <w:spacing w:after="0"/>
              <w:rPr>
                <w:sz w:val="12"/>
                <w:szCs w:val="12"/>
                <w:color w:val="auto"/>
              </w:rPr>
            </w:pPr>
          </w:p>
        </w:tc>
        <w:tc>
          <w:tcPr>
            <w:tcW w:w="2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spacing w:after="0"/>
              <w:rPr>
                <w:sz w:val="12"/>
                <w:szCs w:val="12"/>
                <w:color w:val="auto"/>
              </w:rPr>
            </w:pPr>
          </w:p>
        </w:tc>
        <w:tc>
          <w:tcPr>
            <w:tcW w:w="24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5"/>
        </w:trPr>
        <w:tc>
          <w:tcPr>
            <w:tcW w:w="52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Current liabilities:</w:t>
            </w:r>
          </w:p>
        </w:tc>
        <w:tc>
          <w:tcPr>
            <w:tcW w:w="16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spacing w:after="0"/>
              <w:rPr>
                <w:sz w:val="14"/>
                <w:szCs w:val="14"/>
                <w:color w:val="auto"/>
              </w:rPr>
            </w:pPr>
          </w:p>
        </w:tc>
        <w:tc>
          <w:tcPr>
            <w:tcW w:w="360" w:type="dxa"/>
            <w:vAlign w:val="bottom"/>
            <w:gridSpan w:val="3"/>
          </w:tcPr>
          <w:p>
            <w:pPr>
              <w:jc w:val="right"/>
              <w:spacing w:after="0" w:line="165" w:lineRule="exact"/>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spacing w:after="0"/>
              <w:rPr>
                <w:sz w:val="14"/>
                <w:szCs w:val="14"/>
                <w:color w:val="auto"/>
              </w:rPr>
            </w:pPr>
          </w:p>
        </w:tc>
        <w:tc>
          <w:tcPr>
            <w:tcW w:w="24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5"/>
        </w:trPr>
        <w:tc>
          <w:tcPr>
            <w:tcW w:w="524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5"/>
                <w:szCs w:val="15"/>
                <w:color w:val="auto"/>
              </w:rPr>
              <w:t>Accounts payable (includes $37 and $21 owed to related parties, respectively)</w:t>
            </w:r>
          </w:p>
        </w:tc>
        <w:tc>
          <w:tcPr>
            <w:tcW w:w="16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4"/>
            <w:shd w:val="clear" w:color="auto" w:fill="CCEEFF"/>
          </w:tcPr>
          <w:p>
            <w:pPr>
              <w:jc w:val="right"/>
              <w:ind w:right="10"/>
              <w:spacing w:after="0" w:line="165" w:lineRule="exact"/>
              <w:rPr>
                <w:sz w:val="20"/>
                <w:szCs w:val="20"/>
                <w:color w:val="auto"/>
              </w:rPr>
            </w:pPr>
            <w:r>
              <w:rPr>
                <w:rFonts w:ascii="Times New Roman" w:cs="Times New Roman" w:eastAsia="Times New Roman" w:hAnsi="Times New Roman"/>
                <w:sz w:val="15"/>
                <w:szCs w:val="15"/>
                <w:color w:val="auto"/>
              </w:rPr>
              <w:t>8,358​​​​$</w:t>
            </w:r>
          </w:p>
        </w:tc>
        <w:tc>
          <w:tcPr>
            <w:tcW w:w="50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5,396​​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4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Accrued expenses (includes $1,751 and $404 owed to related parties,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respectively)</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29,726​​​​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17,306​​</w:t>
            </w:r>
          </w:p>
        </w:tc>
        <w:tc>
          <w:tcPr>
            <w:tcW w:w="0" w:type="dxa"/>
            <w:vAlign w:val="bottom"/>
          </w:tcPr>
          <w:p>
            <w:pPr>
              <w:spacing w:after="0"/>
              <w:rPr>
                <w:sz w:val="1"/>
                <w:szCs w:val="1"/>
                <w:color w:val="auto"/>
              </w:rPr>
            </w:pPr>
          </w:p>
        </w:tc>
      </w:tr>
      <w:tr>
        <w:trPr>
          <w:trHeight w:val="165"/>
        </w:trPr>
        <w:tc>
          <w:tcPr>
            <w:tcW w:w="524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5"/>
                <w:szCs w:val="15"/>
                <w:color w:val="auto"/>
              </w:rPr>
              <w:t>Operating lease liabilities, current</w:t>
            </w:r>
          </w:p>
        </w:tc>
        <w:tc>
          <w:tcPr>
            <w:tcW w:w="16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4"/>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494​​​​ ​</w:t>
            </w:r>
          </w:p>
        </w:tc>
        <w:tc>
          <w:tcPr>
            <w:tcW w:w="50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556​​</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530​ ​​​ ​</w:t>
            </w:r>
          </w:p>
        </w:tc>
        <w:tc>
          <w:tcPr>
            <w:tcW w:w="3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vMerge w:val="continue"/>
            <w:shd w:val="clear" w:color="auto" w:fill="CCEEFF"/>
          </w:tcPr>
          <w:p>
            <w:pPr>
              <w:spacing w:after="0"/>
              <w:rPr>
                <w:sz w:val="13"/>
                <w:szCs w:val="13"/>
                <w:color w:val="auto"/>
              </w:rPr>
            </w:pPr>
          </w:p>
        </w:tc>
        <w:tc>
          <w:tcPr>
            <w:tcW w:w="1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shd w:val="clear" w:color="auto" w:fill="CCEEFF"/>
          </w:tcPr>
          <w:p>
            <w:pPr>
              <w:ind w:left="100"/>
              <w:spacing w:after="0" w:line="156" w:lineRule="exact"/>
              <w:rPr>
                <w:sz w:val="20"/>
                <w:szCs w:val="20"/>
                <w:color w:val="auto"/>
              </w:rPr>
            </w:pPr>
            <w:r>
              <w:rPr>
                <w:rFonts w:ascii="Times New Roman" w:cs="Times New Roman" w:eastAsia="Times New Roman" w:hAnsi="Times New Roman"/>
                <w:sz w:val="15"/>
                <w:szCs w:val="15"/>
                <w:color w:val="auto"/>
              </w:rPr>
              <w:t>39,108​​​​</w:t>
            </w:r>
          </w:p>
        </w:tc>
        <w:tc>
          <w:tcPr>
            <w:tcW w:w="100" w:type="dxa"/>
            <w:vAlign w:val="bottom"/>
            <w:tcBorders>
              <w:right w:val="single" w:sz="8" w:color="CCEEFF"/>
            </w:tcBorders>
            <w:vMerge w:val="continue"/>
            <w:shd w:val="clear" w:color="auto" w:fill="CCEEFF"/>
          </w:tcPr>
          <w:p>
            <w:pPr>
              <w:spacing w:after="0"/>
              <w:rPr>
                <w:sz w:val="13"/>
                <w:szCs w:val="13"/>
                <w:color w:val="auto"/>
              </w:rPr>
            </w:pPr>
          </w:p>
        </w:tc>
        <w:tc>
          <w:tcPr>
            <w:tcW w:w="1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23,258​​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Operating lease liabilities, non-current</w:t>
            </w:r>
          </w:p>
        </w:tc>
        <w:tc>
          <w:tcPr>
            <w:tcW w:w="16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4"/>
          </w:tcPr>
          <w:p>
            <w:pPr>
              <w:jc w:val="right"/>
              <w:spacing w:after="0" w:line="165" w:lineRule="exact"/>
              <w:rPr>
                <w:sz w:val="20"/>
                <w:szCs w:val="20"/>
                <w:color w:val="auto"/>
              </w:rPr>
            </w:pPr>
            <w:r>
              <w:rPr>
                <w:rFonts w:ascii="Times New Roman" w:cs="Times New Roman" w:eastAsia="Times New Roman" w:hAnsi="Times New Roman"/>
                <w:sz w:val="15"/>
                <w:szCs w:val="15"/>
                <w:color w:val="auto"/>
              </w:rPr>
              <w:t>14​​​​ ​</w:t>
            </w:r>
          </w:p>
        </w:tc>
        <w:tc>
          <w:tcPr>
            <w:tcW w:w="50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5"/>
                <w:szCs w:val="15"/>
                <w:color w:val="auto"/>
              </w:rPr>
              <w:t>257​​</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notes, at fair value</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20,300​</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67"/>
        </w:trPr>
        <w:tc>
          <w:tcPr>
            <w:tcW w:w="5240" w:type="dxa"/>
            <w:vAlign w:val="bottom"/>
          </w:tcPr>
          <w:p>
            <w:pPr>
              <w:ind w:left="300"/>
              <w:spacing w:after="0" w:line="167" w:lineRule="exact"/>
              <w:rPr>
                <w:sz w:val="20"/>
                <w:szCs w:val="20"/>
                <w:color w:val="auto"/>
              </w:rPr>
            </w:pPr>
            <w:r>
              <w:rPr>
                <w:rFonts w:ascii="Times New Roman" w:cs="Times New Roman" w:eastAsia="Times New Roman" w:hAnsi="Times New Roman"/>
                <w:sz w:val="15"/>
                <w:szCs w:val="15"/>
                <w:color w:val="auto"/>
              </w:rPr>
              <w:t>Total liabilities</w:t>
            </w:r>
          </w:p>
        </w:tc>
        <w:tc>
          <w:tcPr>
            <w:tcW w:w="16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tcPr>
          <w:p>
            <w:pPr>
              <w:ind w:left="100"/>
              <w:spacing w:after="0" w:line="167" w:lineRule="exact"/>
              <w:rPr>
                <w:sz w:val="20"/>
                <w:szCs w:val="20"/>
                <w:color w:val="auto"/>
              </w:rPr>
            </w:pPr>
            <w:r>
              <w:rPr>
                <w:rFonts w:ascii="Times New Roman" w:cs="Times New Roman" w:eastAsia="Times New Roman" w:hAnsi="Times New Roman"/>
                <w:sz w:val="15"/>
                <w:szCs w:val="15"/>
                <w:color w:val="auto"/>
              </w:rPr>
              <w:t>39,122​</w:t>
            </w:r>
          </w:p>
        </w:tc>
        <w:tc>
          <w:tcPr>
            <w:tcW w:w="10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 ​</w:t>
            </w:r>
          </w:p>
        </w:tc>
        <w:tc>
          <w:tcPr>
            <w:tcW w:w="50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43,815​</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Commitments and contingencies (Note 13)</w:t>
            </w: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vMerge w:val="continue"/>
          </w:tcPr>
          <w:p>
            <w:pPr>
              <w:spacing w:after="0"/>
              <w:rPr>
                <w:sz w:val="13"/>
                <w:szCs w:val="13"/>
                <w:color w:val="auto"/>
              </w:rPr>
            </w:pPr>
          </w:p>
        </w:tc>
        <w:tc>
          <w:tcPr>
            <w:tcW w:w="16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spacing w:after="0"/>
              <w:rPr>
                <w:sz w:val="13"/>
                <w:szCs w:val="13"/>
                <w:color w:val="auto"/>
              </w:rPr>
            </w:pPr>
          </w:p>
        </w:tc>
        <w:tc>
          <w:tcPr>
            <w:tcW w:w="2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3"/>
                <w:szCs w:val="13"/>
                <w:color w:val="auto"/>
              </w:rPr>
            </w:pPr>
          </w:p>
        </w:tc>
        <w:tc>
          <w:tcPr>
            <w:tcW w:w="2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5"/>
        </w:trPr>
        <w:tc>
          <w:tcPr>
            <w:tcW w:w="52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Convertible preferred stock:</w:t>
            </w:r>
          </w:p>
        </w:tc>
        <w:tc>
          <w:tcPr>
            <w:tcW w:w="16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spacing w:after="0"/>
              <w:rPr>
                <w:sz w:val="14"/>
                <w:szCs w:val="14"/>
                <w:color w:val="auto"/>
              </w:rPr>
            </w:pPr>
          </w:p>
        </w:tc>
        <w:tc>
          <w:tcPr>
            <w:tcW w:w="360" w:type="dxa"/>
            <w:vAlign w:val="bottom"/>
            <w:gridSpan w:val="3"/>
          </w:tcPr>
          <w:p>
            <w:pPr>
              <w:jc w:val="right"/>
              <w:spacing w:after="0" w:line="165" w:lineRule="exact"/>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spacing w:after="0"/>
              <w:rPr>
                <w:sz w:val="14"/>
                <w:szCs w:val="14"/>
                <w:color w:val="auto"/>
              </w:rPr>
            </w:pPr>
          </w:p>
        </w:tc>
        <w:tc>
          <w:tcPr>
            <w:tcW w:w="24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1"/>
        </w:trPr>
        <w:tc>
          <w:tcPr>
            <w:tcW w:w="5240" w:type="dxa"/>
            <w:vAlign w:val="bottom"/>
            <w:shd w:val="clear" w:color="auto" w:fill="CCEEFF"/>
          </w:tcPr>
          <w:p>
            <w:pPr>
              <w:ind w:left="160"/>
              <w:spacing w:after="0" w:line="161" w:lineRule="exact"/>
              <w:rPr>
                <w:sz w:val="20"/>
                <w:szCs w:val="20"/>
                <w:color w:val="auto"/>
              </w:rPr>
            </w:pPr>
            <w:r>
              <w:rPr>
                <w:rFonts w:ascii="Times New Roman" w:cs="Times New Roman" w:eastAsia="Times New Roman" w:hAnsi="Times New Roman"/>
                <w:sz w:val="15"/>
                <w:szCs w:val="15"/>
                <w:color w:val="auto"/>
              </w:rPr>
              <w:t>Series Seed convertible preferred stock, par value $0.0001 per share; 1,785,714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shares authorized, issued and outstanding as of June 30, 2024 and December 31,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2023; liquidation preference of $1,000 as of June 30, 2024</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956​​​​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24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Series A convertible preferred stock, par value $0.0001 per share; 17,589,380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shares authorized, issued and outstanding as of June 30, 2024 and December 31,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2023; liquidation preference of $56,071 as of June 30, 2024</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55,840​​​​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55,840​​</w:t>
            </w:r>
          </w:p>
        </w:tc>
        <w:tc>
          <w:tcPr>
            <w:tcW w:w="0" w:type="dxa"/>
            <w:vAlign w:val="bottom"/>
          </w:tcPr>
          <w:p>
            <w:pPr>
              <w:spacing w:after="0"/>
              <w:rPr>
                <w:sz w:val="1"/>
                <w:szCs w:val="1"/>
                <w:color w:val="auto"/>
              </w:rPr>
            </w:pPr>
          </w:p>
        </w:tc>
      </w:tr>
      <w:tr>
        <w:trPr>
          <w:trHeight w:val="172"/>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Series B convertible preferred stock, par value $0.0001 per share; 81,242,587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shares authorized, issued and outstanding as of June 30, 2024 and December 31,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2023; liquidation preference of $193,898 as of June 30, 2024</w:t>
            </w:r>
          </w:p>
        </w:tc>
        <w:tc>
          <w:tcPr>
            <w:tcW w:w="14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 ​193,290​​​​ ​193,290​​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Series C convertible preferred stock, par value $0.0001 per share; 116,275,239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and no shares authorized, issued and outstanding as of June 30, 2024 and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December 31, 2023, respectively; liquidation preference of $200,146 as of</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June 30, 2024</w:t>
            </w:r>
          </w:p>
        </w:tc>
        <w:tc>
          <w:tcPr>
            <w:tcW w:w="94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 ​199,526​​​​ ​</w:t>
            </w:r>
          </w:p>
        </w:tc>
        <w:tc>
          <w:tcPr>
            <w:tcW w:w="3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Stockholders’ deficit:</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spacing w:after="0"/>
              <w:rPr>
                <w:sz w:val="15"/>
                <w:szCs w:val="15"/>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5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Common stock, par value $0.0001 per share; 294,784,925 and 175,000,000 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authorized as of June 30, 2024 and December 31, 2023, respectively;</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13,705,292 and 13,692,052 shares issued and outstanding as of June 30, 2024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and December 31, 2023, respectively</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3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7,293​​​​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104​​​​ ​</w:t>
            </w:r>
          </w:p>
        </w:tc>
        <w:tc>
          <w:tcPr>
            <w:tcW w:w="3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187"/>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Accumulated deficit</w:t>
            </w:r>
          </w:p>
        </w:tc>
        <w:tc>
          <w:tcPr>
            <w:tcW w:w="14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 ​(296,180)​​​ ​(230,403)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2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stockholders’ deficit</w:t>
            </w:r>
          </w:p>
        </w:tc>
        <w:tc>
          <w:tcPr>
            <w:tcW w:w="148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 ​(288,782)​​​ ​(225,721)​</w:t>
            </w:r>
          </w:p>
        </w:tc>
        <w:tc>
          <w:tcPr>
            <w:tcW w:w="0" w:type="dxa"/>
            <w:vAlign w:val="bottom"/>
          </w:tcPr>
          <w:p>
            <w:pPr>
              <w:spacing w:after="0"/>
              <w:rPr>
                <w:sz w:val="1"/>
                <w:szCs w:val="1"/>
                <w:color w:val="auto"/>
              </w:rPr>
            </w:pPr>
          </w:p>
        </w:tc>
      </w:tr>
      <w:tr>
        <w:trPr>
          <w:trHeight w:val="20"/>
        </w:trPr>
        <w:tc>
          <w:tcPr>
            <w:tcW w:w="5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240" w:type="dxa"/>
            <w:vAlign w:val="bottom"/>
            <w:shd w:val="clear" w:color="auto" w:fill="CCEEFF"/>
          </w:tcPr>
          <w:p>
            <w:pPr>
              <w:ind w:left="300"/>
              <w:spacing w:after="0" w:line="167" w:lineRule="exact"/>
              <w:rPr>
                <w:sz w:val="20"/>
                <w:szCs w:val="20"/>
                <w:color w:val="auto"/>
              </w:rPr>
            </w:pPr>
            <w:r>
              <w:rPr>
                <w:rFonts w:ascii="Times New Roman" w:cs="Times New Roman" w:eastAsia="Times New Roman" w:hAnsi="Times New Roman"/>
                <w:sz w:val="15"/>
                <w:szCs w:val="15"/>
                <w:color w:val="auto"/>
              </w:rPr>
              <w:t>Total liabilities, convertible preferred stock and stockholders’ deficit</w:t>
            </w:r>
          </w:p>
        </w:tc>
        <w:tc>
          <w:tcPr>
            <w:tcW w:w="940" w:type="dxa"/>
            <w:vAlign w:val="bottom"/>
            <w:gridSpan w:val="6"/>
            <w:shd w:val="clear" w:color="auto" w:fill="CCEEFF"/>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9"/>
                <w:szCs w:val="19"/>
                <w:u w:val="single" w:color="auto"/>
                <w:color w:val="auto"/>
                <w:vertAlign w:val="subscript"/>
              </w:rPr>
              <w:t>​​</w:t>
            </w:r>
            <w:r>
              <w:rPr>
                <w:rFonts w:ascii="Times New Roman" w:cs="Times New Roman" w:eastAsia="Times New Roman" w:hAnsi="Times New Roman"/>
                <w:sz w:val="11"/>
                <w:szCs w:val="11"/>
                <w:color w:val="auto"/>
              </w:rPr>
              <w:t xml:space="preserve">$ 199,952​ </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68,180​</w:t>
            </w:r>
          </w:p>
        </w:tc>
        <w:tc>
          <w:tcPr>
            <w:tcW w:w="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-4066540</wp:posOffset>
            </wp:positionV>
            <wp:extent cx="4241800" cy="1047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241800" cy="10477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-1185545</wp:posOffset>
            </wp:positionV>
            <wp:extent cx="4241800" cy="1117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241800" cy="11176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-153035</wp:posOffset>
            </wp:positionV>
            <wp:extent cx="3823335"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823335" cy="698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-278130</wp:posOffset>
            </wp:positionV>
            <wp:extent cx="34925"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-2866390</wp:posOffset>
            </wp:positionV>
            <wp:extent cx="4241800" cy="1117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241800" cy="111760"/>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-2985135</wp:posOffset>
            </wp:positionV>
            <wp:extent cx="34925"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-3313430</wp:posOffset>
            </wp:positionV>
            <wp:extent cx="3823335" cy="6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823335" cy="698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-4199255</wp:posOffset>
            </wp:positionV>
            <wp:extent cx="34925"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-4736465</wp:posOffset>
            </wp:positionV>
            <wp:extent cx="3823335"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8233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-5168900</wp:posOffset>
            </wp:positionV>
            <wp:extent cx="4241800" cy="1117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241800" cy="111760"/>
                    </a:xfrm>
                    <a:prstGeom prst="rect">
                      <a:avLst/>
                    </a:prstGeom>
                    <a:noFill/>
                  </pic:spPr>
                </pic:pic>
              </a:graphicData>
            </a:graphic>
          </wp:anchor>
        </w:drawing>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condensed consolidated financial statements.</w:t>
      </w: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9" w:name="page250"/>
    <w:bookmarkEnd w:id="249"/>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 and Comprehensive Loss</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and per share amounts)</w:t>
      </w:r>
    </w:p>
    <w:p>
      <w:pPr>
        <w:spacing w:after="0" w:line="13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5"/>
          </w:tcPr>
          <w:p>
            <w:pPr>
              <w:jc w:val="center"/>
              <w:ind w:right="169"/>
              <w:spacing w:after="0"/>
              <w:rPr>
                <w:sz w:val="20"/>
                <w:szCs w:val="20"/>
                <w:color w:val="auto"/>
              </w:rPr>
            </w:pPr>
            <w:r>
              <w:rPr>
                <w:rFonts w:ascii="Times New Roman" w:cs="Times New Roman" w:eastAsia="Times New Roman" w:hAnsi="Times New Roman"/>
                <w:sz w:val="12"/>
                <w:szCs w:val="12"/>
                <w:b w:val="1"/>
                <w:bCs w:val="1"/>
                <w:color w:val="auto"/>
                <w:w w:val="92"/>
              </w:rPr>
              <w:t>Six Months Ended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2"/>
                <w:szCs w:val="12"/>
                <w:b w:val="1"/>
                <w:bCs w:val="1"/>
                <w:color w:val="auto"/>
                <w:w w:val="93"/>
              </w:rPr>
              <w:t>June 30,</w:t>
            </w:r>
          </w:p>
        </w:tc>
        <w:tc>
          <w:tcPr>
            <w:tcW w:w="660" w:type="dxa"/>
            <w:vAlign w:val="bottom"/>
            <w:tcBorders>
              <w:bottom w:val="single" w:sz="8" w:color="auto"/>
            </w:tcBorders>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89"/>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3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44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Research and development (includes $1,872 and $2,117 from related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4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parties, respectively)</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5"/>
                <w:szCs w:val="15"/>
                <w:color w:val="auto"/>
              </w:rPr>
              <w:t>56,452​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30,262​ ​​</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General and administrative (includes $0 and $5 from related parties,</w:t>
            </w: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respectively)</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10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10,828​ ​​ ​​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7,729​ ​​</w:t>
            </w:r>
          </w:p>
        </w:tc>
        <w:tc>
          <w:tcPr>
            <w:tcW w:w="0" w:type="dxa"/>
            <w:vAlign w:val="bottom"/>
          </w:tcPr>
          <w:p>
            <w:pPr>
              <w:spacing w:after="0"/>
              <w:rPr>
                <w:sz w:val="1"/>
                <w:szCs w:val="1"/>
                <w:color w:val="auto"/>
              </w:rPr>
            </w:pPr>
          </w:p>
        </w:tc>
      </w:tr>
      <w:tr>
        <w:trPr>
          <w:trHeight w:val="220"/>
        </w:trPr>
        <w:tc>
          <w:tcPr>
            <w:tcW w:w="44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Acquired in-process research and development</w:t>
            </w:r>
          </w:p>
        </w:tc>
        <w:tc>
          <w:tcPr>
            <w:tcW w:w="400" w:type="dxa"/>
            <w:vAlign w:val="bottom"/>
            <w:gridSpan w:val="3"/>
          </w:tcPr>
          <w:p>
            <w:pPr>
              <w:ind w:left="6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340" w:type="dxa"/>
            <w:vAlign w:val="bottom"/>
          </w:tcPr>
          <w:p>
            <w:pPr>
              <w:spacing w:after="0"/>
              <w:rPr>
                <w:sz w:val="19"/>
                <w:szCs w:val="19"/>
                <w:color w:val="auto"/>
              </w:rPr>
            </w:pPr>
          </w:p>
        </w:tc>
        <w:tc>
          <w:tcPr>
            <w:tcW w:w="720" w:type="dxa"/>
            <w:vAlign w:val="bottom"/>
            <w:gridSpan w:val="3"/>
          </w:tcPr>
          <w:p>
            <w:pPr>
              <w:jc w:val="right"/>
              <w:ind w:right="10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5"/>
                <w:szCs w:val="25"/>
                <w:color w:val="auto"/>
                <w:vertAlign w:val="superscript"/>
              </w:rPr>
              <w:t>​</w:t>
            </w:r>
          </w:p>
        </w:tc>
        <w:tc>
          <w:tcPr>
            <w:tcW w:w="7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13"/>
                <w:szCs w:val="13"/>
                <w:color w:val="auto"/>
              </w:rPr>
              <w:t xml:space="preserve">10,000​ </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400" w:type="dxa"/>
            <w:vAlign w:val="bottom"/>
            <w:gridSpan w:val="3"/>
            <w:shd w:val="clear" w:color="auto" w:fill="CCEEFF"/>
          </w:tcPr>
          <w:p>
            <w:pPr>
              <w:ind w:left="6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1060" w:type="dxa"/>
            <w:vAlign w:val="bottom"/>
            <w:gridSpan w:val="4"/>
            <w:shd w:val="clear" w:color="auto" w:fill="CCEEFF"/>
          </w:tcPr>
          <w:p>
            <w:pPr>
              <w:jc w:val="right"/>
              <w:ind w:right="100"/>
              <w:spacing w:after="0" w:line="211" w:lineRule="exact"/>
              <w:rPr>
                <w:sz w:val="20"/>
                <w:szCs w:val="20"/>
                <w:color w:val="auto"/>
              </w:rPr>
            </w:pPr>
            <w:r>
              <w:rPr>
                <w:rFonts w:ascii="Times New Roman" w:cs="Times New Roman" w:eastAsia="Times New Roman" w:hAnsi="Times New Roman"/>
                <w:sz w:val="13"/>
                <w:szCs w:val="13"/>
                <w:color w:val="auto"/>
              </w:rPr>
              <w:t xml:space="preserve">67,280​ </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w:t>
            </w:r>
          </w:p>
        </w:tc>
        <w:tc>
          <w:tcPr>
            <w:tcW w:w="740" w:type="dxa"/>
            <w:vAlign w:val="bottom"/>
            <w:gridSpan w:val="2"/>
            <w:shd w:val="clear" w:color="auto" w:fill="CCEEFF"/>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47,991​ </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Loss from operations</w:t>
            </w:r>
          </w:p>
        </w:tc>
        <w:tc>
          <w:tcPr>
            <w:tcW w:w="400" w:type="dxa"/>
            <w:vAlign w:val="bottom"/>
            <w:gridSpan w:val="3"/>
          </w:tcPr>
          <w:p>
            <w:pPr>
              <w:ind w:left="6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1060" w:type="dxa"/>
            <w:vAlign w:val="bottom"/>
            <w:gridSpan w:val="4"/>
          </w:tcPr>
          <w:p>
            <w:pPr>
              <w:jc w:val="right"/>
              <w:ind w:right="100"/>
              <w:spacing w:after="0" w:line="211" w:lineRule="exact"/>
              <w:rPr>
                <w:sz w:val="20"/>
                <w:szCs w:val="20"/>
                <w:color w:val="auto"/>
              </w:rPr>
            </w:pPr>
            <w:r>
              <w:rPr>
                <w:rFonts w:ascii="Times New Roman" w:cs="Times New Roman" w:eastAsia="Times New Roman" w:hAnsi="Times New Roman"/>
                <w:sz w:val="13"/>
                <w:szCs w:val="13"/>
                <w:color w:val="auto"/>
              </w:rPr>
              <w:t>(67,280)</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(47,991)</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480" w:type="dxa"/>
            <w:vAlign w:val="bottom"/>
            <w:vMerge w:val="continue"/>
            <w:shd w:val="clear" w:color="auto" w:fill="CCEEFF"/>
          </w:tcPr>
          <w:p>
            <w:pPr>
              <w:spacing w:after="0"/>
              <w:rPr>
                <w:sz w:val="17"/>
                <w:szCs w:val="17"/>
                <w:color w:val="auto"/>
              </w:rPr>
            </w:pP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3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4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Fair value adjustments to convertible notes</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3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(846)​​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Other income (expense), net</w:t>
            </w:r>
          </w:p>
        </w:tc>
        <w:tc>
          <w:tcPr>
            <w:tcW w:w="400" w:type="dxa"/>
            <w:vAlign w:val="bottom"/>
            <w:gridSpan w:val="3"/>
            <w:shd w:val="clear" w:color="auto" w:fill="CCEEFF"/>
          </w:tcPr>
          <w:p>
            <w:pPr>
              <w:ind w:left="6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1060" w:type="dxa"/>
            <w:vAlign w:val="bottom"/>
            <w:gridSpan w:val="4"/>
            <w:shd w:val="clear" w:color="auto" w:fill="CCEEFF"/>
          </w:tcPr>
          <w:p>
            <w:pPr>
              <w:jc w:val="right"/>
              <w:ind w:right="100"/>
              <w:spacing w:after="0" w:line="220" w:lineRule="exact"/>
              <w:rPr>
                <w:sz w:val="20"/>
                <w:szCs w:val="20"/>
                <w:color w:val="auto"/>
              </w:rPr>
            </w:pPr>
            <w:r>
              <w:rPr>
                <w:rFonts w:ascii="Times New Roman" w:cs="Times New Roman" w:eastAsia="Times New Roman" w:hAnsi="Times New Roman"/>
                <w:sz w:val="13"/>
                <w:szCs w:val="13"/>
                <w:color w:val="auto"/>
              </w:rPr>
              <w:t xml:space="preserve">2,349​ </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400" w:type="dxa"/>
            <w:vAlign w:val="bottom"/>
            <w:gridSpan w:val="3"/>
          </w:tcPr>
          <w:p>
            <w:pPr>
              <w:ind w:left="6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1060" w:type="dxa"/>
            <w:vAlign w:val="bottom"/>
            <w:gridSpan w:val="4"/>
          </w:tcPr>
          <w:p>
            <w:pPr>
              <w:jc w:val="right"/>
              <w:ind w:right="100"/>
              <w:spacing w:after="0" w:line="211" w:lineRule="exact"/>
              <w:rPr>
                <w:sz w:val="20"/>
                <w:szCs w:val="20"/>
                <w:color w:val="auto"/>
              </w:rPr>
            </w:pPr>
            <w:r>
              <w:rPr>
                <w:rFonts w:ascii="Times New Roman" w:cs="Times New Roman" w:eastAsia="Times New Roman" w:hAnsi="Times New Roman"/>
                <w:sz w:val="13"/>
                <w:szCs w:val="13"/>
                <w:color w:val="auto"/>
              </w:rPr>
              <w:t xml:space="preserve">1,503​ </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400" w:type="dxa"/>
            <w:vAlign w:val="bottom"/>
            <w:gridSpan w:val="3"/>
            <w:shd w:val="clear" w:color="auto" w:fill="CCEEFF"/>
          </w:tcPr>
          <w:p>
            <w:pPr>
              <w:ind w:left="6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1060" w:type="dxa"/>
            <w:vAlign w:val="bottom"/>
            <w:gridSpan w:val="4"/>
            <w:shd w:val="clear" w:color="auto" w:fill="CCEEFF"/>
          </w:tcPr>
          <w:p>
            <w:pPr>
              <w:jc w:val="right"/>
              <w:ind w:right="140"/>
              <w:spacing w:after="0" w:line="200" w:lineRule="exact"/>
              <w:rPr>
                <w:sz w:val="20"/>
                <w:szCs w:val="20"/>
                <w:color w:val="auto"/>
              </w:rPr>
            </w:pPr>
            <w:r>
              <w:rPr>
                <w:rFonts w:ascii="Times New Roman" w:cs="Times New Roman" w:eastAsia="Times New Roman" w:hAnsi="Times New Roman"/>
                <w:sz w:val="13"/>
                <w:szCs w:val="13"/>
                <w:color w:val="auto"/>
              </w:rPr>
              <w:t>(65,777)</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(48,144)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spacing w:after="0" w:line="154" w:lineRule="exact"/>
              <w:rPr>
                <w:sz w:val="20"/>
                <w:szCs w:val="20"/>
                <w:color w:val="auto"/>
              </w:rPr>
            </w:pPr>
            <w:r>
              <w:rPr>
                <w:rFonts w:ascii="Times New Roman" w:cs="Times New Roman" w:eastAsia="Times New Roman" w:hAnsi="Times New Roman"/>
                <w:sz w:val="15"/>
                <w:szCs w:val="15"/>
                <w:color w:val="auto"/>
              </w:rPr>
              <w:t>Net loss per share attributable to common stockholders–basic and</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480" w:type="dxa"/>
            <w:vAlign w:val="bottom"/>
            <w:vMerge w:val="continue"/>
          </w:tcPr>
          <w:p>
            <w:pPr>
              <w:spacing w:after="0"/>
              <w:rPr>
                <w:sz w:val="9"/>
                <w:szCs w:val="9"/>
                <w:color w:val="auto"/>
              </w:rPr>
            </w:pPr>
          </w:p>
        </w:tc>
        <w:tc>
          <w:tcPr>
            <w:tcW w:w="400" w:type="dxa"/>
            <w:vAlign w:val="bottom"/>
            <w:gridSpan w:val="3"/>
            <w:vMerge w:val="restart"/>
          </w:tcPr>
          <w:p>
            <w:pPr>
              <w:ind w:left="60"/>
              <w:spacing w:after="0" w:line="31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perscript"/>
              </w:rPr>
              <w:t>$</w:t>
            </w:r>
          </w:p>
        </w:tc>
        <w:tc>
          <w:tcPr>
            <w:tcW w:w="1060" w:type="dxa"/>
            <w:vAlign w:val="bottom"/>
            <w:gridSpan w:val="4"/>
            <w:vMerge w:val="restart"/>
          </w:tcPr>
          <w:p>
            <w:pPr>
              <w:jc w:val="right"/>
              <w:ind w:right="140"/>
              <w:spacing w:after="0" w:line="316" w:lineRule="exact"/>
              <w:rPr>
                <w:sz w:val="20"/>
                <w:szCs w:val="20"/>
                <w:color w:val="auto"/>
              </w:rPr>
            </w:pPr>
            <w:r>
              <w:rPr>
                <w:rFonts w:ascii="Times New Roman" w:cs="Times New Roman" w:eastAsia="Times New Roman" w:hAnsi="Times New Roman"/>
                <w:sz w:val="15"/>
                <w:szCs w:val="15"/>
                <w:color w:val="auto"/>
              </w:rPr>
              <w:t>(4.85)</w:t>
            </w:r>
            <w:r>
              <w:rPr>
                <w:rFonts w:ascii="Times New Roman" w:cs="Times New Roman" w:eastAsia="Times New Roman" w:hAnsi="Times New Roman"/>
                <w:sz w:val="29"/>
                <w:szCs w:val="29"/>
                <w:color w:val="auto"/>
                <w:vertAlign w:val="subscript"/>
              </w:rPr>
              <w:t>​​ ​​</w:t>
            </w: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44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diluted</w:t>
            </w:r>
          </w:p>
        </w:tc>
        <w:tc>
          <w:tcPr>
            <w:tcW w:w="400" w:type="dxa"/>
            <w:vAlign w:val="bottom"/>
            <w:gridSpan w:val="3"/>
            <w:vMerge w:val="continue"/>
          </w:tcPr>
          <w:p>
            <w:pPr>
              <w:spacing w:after="0"/>
              <w:rPr>
                <w:sz w:val="17"/>
                <w:szCs w:val="17"/>
                <w:color w:val="auto"/>
              </w:rPr>
            </w:pPr>
          </w:p>
        </w:tc>
        <w:tc>
          <w:tcPr>
            <w:tcW w:w="1060" w:type="dxa"/>
            <w:vAlign w:val="bottom"/>
            <w:gridSpan w:val="4"/>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common stock outstanding–basic and diluted</w:t>
            </w:r>
          </w:p>
        </w:tc>
        <w:tc>
          <w:tcPr>
            <w:tcW w:w="2200" w:type="dxa"/>
            <w:vAlign w:val="bottom"/>
            <w:gridSpan w:val="9"/>
            <w:shd w:val="clear" w:color="auto" w:fill="CCEEFF"/>
          </w:tcPr>
          <w:p>
            <w:pPr>
              <w:ind w:left="60"/>
              <w:spacing w:after="0" w:line="189" w:lineRule="exact"/>
              <w:rPr>
                <w:sz w:val="20"/>
                <w:szCs w:val="20"/>
                <w:color w:val="auto"/>
              </w:rPr>
            </w:pP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 xml:space="preserve"> ​  13,551,524​ </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 xml:space="preserve"> ​  13,220,545​ </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Comprehensive loss:</w:t>
            </w:r>
          </w:p>
        </w:tc>
        <w:tc>
          <w:tcPr>
            <w:tcW w:w="2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480" w:type="dxa"/>
            <w:vAlign w:val="bottom"/>
            <w:vMerge w:val="continue"/>
          </w:tcPr>
          <w:p>
            <w:pPr>
              <w:spacing w:after="0"/>
              <w:rPr>
                <w:sz w:val="12"/>
                <w:szCs w:val="12"/>
                <w:color w:val="auto"/>
              </w:rPr>
            </w:pPr>
          </w:p>
        </w:tc>
        <w:tc>
          <w:tcPr>
            <w:tcW w:w="40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5"/>
                <w:szCs w:val="15"/>
                <w:color w:val="auto"/>
              </w:rPr>
              <w:t>​ ​​ ​</w:t>
            </w:r>
          </w:p>
        </w:tc>
        <w:tc>
          <w:tcPr>
            <w:tcW w:w="340" w:type="dxa"/>
            <w:vAlign w:val="bottom"/>
          </w:tcPr>
          <w:p>
            <w:pPr>
              <w:spacing w:after="0"/>
              <w:rPr>
                <w:sz w:val="12"/>
                <w:szCs w:val="12"/>
                <w:color w:val="auto"/>
              </w:rPr>
            </w:pPr>
          </w:p>
        </w:tc>
        <w:tc>
          <w:tcPr>
            <w:tcW w:w="720" w:type="dxa"/>
            <w:vAlign w:val="bottom"/>
            <w:gridSpan w:val="3"/>
          </w:tcPr>
          <w:p>
            <w:pPr>
              <w:jc w:val="right"/>
              <w:ind w:right="100"/>
              <w:spacing w:after="0" w:line="140" w:lineRule="exact"/>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10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(65,777)​​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(48,144)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3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400" w:type="dxa"/>
            <w:vAlign w:val="bottom"/>
            <w:gridSpan w:val="3"/>
            <w:shd w:val="clear" w:color="auto" w:fill="CCEEFF"/>
          </w:tcPr>
          <w:p>
            <w:pPr>
              <w:ind w:left="6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3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00"/>
              <w:spacing w:after="0" w:line="220" w:lineRule="exact"/>
              <w:rPr>
                <w:sz w:val="20"/>
                <w:szCs w:val="20"/>
                <w:color w:val="auto"/>
              </w:rPr>
            </w:pPr>
            <w:r>
              <w:rPr>
                <w:rFonts w:ascii="Times New Roman" w:cs="Times New Roman" w:eastAsia="Times New Roman" w:hAnsi="Times New Roman"/>
                <w:sz w:val="13"/>
                <w:szCs w:val="13"/>
                <w:color w:val="auto"/>
              </w:rPr>
              <w:t xml:space="preserve">67​ </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74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13"/>
                <w:szCs w:val="13"/>
                <w:color w:val="auto"/>
              </w:rPr>
              <w:t xml:space="preserve">156​ </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Comprehensive loss</w:t>
            </w:r>
          </w:p>
        </w:tc>
        <w:tc>
          <w:tcPr>
            <w:tcW w:w="400" w:type="dxa"/>
            <w:vAlign w:val="bottom"/>
            <w:gridSpan w:val="3"/>
          </w:tcPr>
          <w:p>
            <w:pPr>
              <w:ind w:left="60"/>
              <w:spacing w:after="0" w:line="21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perscript"/>
              </w:rPr>
              <w:t>$</w:t>
            </w:r>
          </w:p>
        </w:tc>
        <w:tc>
          <w:tcPr>
            <w:tcW w:w="1060" w:type="dxa"/>
            <w:vAlign w:val="bottom"/>
            <w:gridSpan w:val="4"/>
          </w:tcPr>
          <w:p>
            <w:pPr>
              <w:jc w:val="right"/>
              <w:ind w:right="140"/>
              <w:spacing w:after="0" w:line="211" w:lineRule="exact"/>
              <w:rPr>
                <w:sz w:val="20"/>
                <w:szCs w:val="20"/>
                <w:color w:val="auto"/>
              </w:rPr>
            </w:pPr>
            <w:r>
              <w:rPr>
                <w:rFonts w:ascii="Times New Roman" w:cs="Times New Roman" w:eastAsia="Times New Roman" w:hAnsi="Times New Roman"/>
                <w:sz w:val="13"/>
                <w:szCs w:val="13"/>
                <w:color w:val="auto"/>
              </w:rPr>
              <w:t>(65,710)</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(47,988)</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-1283335</wp:posOffset>
            </wp:positionV>
            <wp:extent cx="55880"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-1283335</wp:posOffset>
            </wp:positionV>
            <wp:extent cx="3634740"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634740"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-1840865</wp:posOffset>
            </wp:positionV>
            <wp:extent cx="55880"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-1840865</wp:posOffset>
            </wp:positionV>
            <wp:extent cx="3634740"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634740"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-2134235</wp:posOffset>
            </wp:positionV>
            <wp:extent cx="55880" cy="69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-2134235</wp:posOffset>
            </wp:positionV>
            <wp:extent cx="3634740"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634740"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-2901315</wp:posOffset>
            </wp:positionV>
            <wp:extent cx="55880"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-2901315</wp:posOffset>
            </wp:positionV>
            <wp:extent cx="3627755"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627755" cy="6985"/>
                    </a:xfrm>
                    <a:prstGeom prst="rect">
                      <a:avLst/>
                    </a:prstGeom>
                    <a:noFill/>
                  </pic:spPr>
                </pic:pic>
              </a:graphicData>
            </a:graphic>
          </wp:anchor>
        </w:drawing>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0" w:name="page251"/>
    <w:bookmarkEnd w:id="250"/>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Changes in Convertible Preferred Stock and Stockholders’ Deficit</w:t>
      </w:r>
    </w:p>
    <w:p>
      <w:pPr>
        <w:spacing w:after="0" w:line="20"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5"/>
          <w:szCs w:val="15"/>
          <w:b w:val="1"/>
          <w:bCs w:val="1"/>
          <w:color w:val="auto"/>
        </w:rPr>
        <w:t>(in thousands, except share data)</w:t>
      </w:r>
    </w:p>
    <w:p>
      <w:pPr>
        <w:spacing w:after="0" w:line="120" w:lineRule="exact"/>
        <w:rPr>
          <w:sz w:val="20"/>
          <w:szCs w:val="20"/>
          <w:color w:val="auto"/>
        </w:rPr>
      </w:pPr>
    </w:p>
    <w:tbl>
      <w:tblPr>
        <w:tblLayout w:type="fixed"/>
        <w:tblInd w:w="680" w:type="dxa"/>
        <w:tblCellMar>
          <w:top w:w="0" w:type="dxa"/>
          <w:left w:w="0" w:type="dxa"/>
          <w:bottom w:w="0" w:type="dxa"/>
          <w:right w:w="0" w:type="dxa"/>
        </w:tblCellMar>
      </w:tblPr>
      <w:tr>
        <w:trPr>
          <w:trHeight w:val="143"/>
        </w:trPr>
        <w:tc>
          <w:tcPr>
            <w:tcW w:w="23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440" w:type="dxa"/>
            <w:vAlign w:val="bottom"/>
            <w:gridSpan w:val="16"/>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2600" w:type="dxa"/>
            <w:vAlign w:val="bottom"/>
            <w:gridSpan w:val="19"/>
          </w:tcPr>
          <w:p>
            <w:pPr>
              <w:ind w:left="20"/>
              <w:spacing w:after="0"/>
              <w:rPr>
                <w:sz w:val="20"/>
                <w:szCs w:val="20"/>
                <w:color w:val="auto"/>
              </w:rPr>
            </w:pPr>
            <w:r>
              <w:rPr>
                <w:rFonts w:ascii="Times New Roman" w:cs="Times New Roman" w:eastAsia="Times New Roman" w:hAnsi="Times New Roman"/>
                <w:sz w:val="10"/>
                <w:szCs w:val="10"/>
                <w:b w:val="1"/>
                <w:bCs w:val="1"/>
                <w:color w:val="auto"/>
              </w:rPr>
              <w:t>Convertible Preferred Stock</w:t>
            </w:r>
          </w:p>
        </w:tc>
        <w:tc>
          <w:tcPr>
            <w:tcW w:w="1640" w:type="dxa"/>
            <w:vAlign w:val="bottom"/>
            <w:gridSpan w:val="18"/>
          </w:tcPr>
          <w:p>
            <w:pPr>
              <w:jc w:val="right"/>
              <w:ind w:right="1569"/>
              <w:spacing w:after="0"/>
              <w:rPr>
                <w:sz w:val="20"/>
                <w:szCs w:val="20"/>
                <w:color w:val="auto"/>
              </w:rPr>
            </w:pPr>
            <w:r>
              <w:rPr>
                <w:rFonts w:ascii="Times New Roman" w:cs="Times New Roman" w:eastAsia="Times New Roman" w:hAnsi="Times New Roman"/>
                <w:sz w:val="10"/>
                <w:szCs w:val="10"/>
                <w:b w:val="1"/>
                <w:bCs w:val="1"/>
                <w:color w:val="auto"/>
              </w:rPr>
              <w:t>​</w:t>
            </w:r>
          </w:p>
        </w:tc>
        <w:tc>
          <w:tcPr>
            <w:tcW w:w="2020" w:type="dxa"/>
            <w:vAlign w:val="bottom"/>
            <w:gridSpan w:val="20"/>
          </w:tcPr>
          <w:p>
            <w:pPr>
              <w:jc w:val="center"/>
              <w:ind w:right="1369"/>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0" w:type="dxa"/>
            <w:vAlign w:val="bottom"/>
          </w:tcPr>
          <w:p>
            <w:pPr>
              <w:spacing w:after="0"/>
              <w:rPr>
                <w:sz w:val="1"/>
                <w:szCs w:val="1"/>
                <w:color w:val="auto"/>
              </w:rPr>
            </w:pPr>
          </w:p>
        </w:tc>
      </w:tr>
      <w:tr>
        <w:trPr>
          <w:trHeight w:val="26"/>
        </w:trPr>
        <w:tc>
          <w:tcPr>
            <w:tcW w:w="23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gridSpan w:val="4"/>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tcBorders>
              <w:right w:val="single" w:sz="8" w:color="auto"/>
            </w:tcBorders>
            <w:gridSpan w:val="4"/>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righ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Borders>
              <w:right w:val="single" w:sz="8" w:color="auto"/>
            </w:tcBorders>
            <w:gridSpan w:val="2"/>
            <w:shd w:val="clear" w:color="auto" w:fill="000000"/>
          </w:tcPr>
          <w:p>
            <w:pPr>
              <w:spacing w:after="0"/>
              <w:rPr>
                <w:sz w:val="2"/>
                <w:szCs w:val="2"/>
                <w:color w:val="auto"/>
              </w:rPr>
            </w:pPr>
          </w:p>
        </w:tc>
        <w:tc>
          <w:tcPr>
            <w:tcW w:w="500" w:type="dxa"/>
            <w:vAlign w:val="bottom"/>
            <w:tcBorders>
              <w:left w:val="single" w:sz="8" w:color="auto"/>
              <w:right w:val="single" w:sz="8" w:color="auto"/>
            </w:tcBorders>
            <w:gridSpan w:val="3"/>
            <w:shd w:val="clear" w:color="auto" w:fill="000000"/>
          </w:tcPr>
          <w:p>
            <w:pPr>
              <w:spacing w:after="0"/>
              <w:rPr>
                <w:sz w:val="2"/>
                <w:szCs w:val="2"/>
                <w:color w:val="auto"/>
              </w:rPr>
            </w:pPr>
          </w:p>
        </w:tc>
        <w:tc>
          <w:tcPr>
            <w:tcW w:w="100" w:type="dxa"/>
            <w:vAlign w:val="bottom"/>
            <w:tcBorders>
              <w:left w:val="single" w:sz="8" w:color="auto"/>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tcBorders>
              <w:right w:val="single" w:sz="8" w:color="auto"/>
            </w:tcBorders>
            <w:gridSpan w:val="2"/>
            <w:shd w:val="clear" w:color="auto" w:fill="000000"/>
          </w:tcPr>
          <w:p>
            <w:pPr>
              <w:spacing w:after="0"/>
              <w:rPr>
                <w:sz w:val="2"/>
                <w:szCs w:val="2"/>
                <w:color w:val="auto"/>
              </w:rPr>
            </w:pPr>
          </w:p>
        </w:tc>
        <w:tc>
          <w:tcPr>
            <w:tcW w:w="100" w:type="dxa"/>
            <w:vAlign w:val="bottom"/>
            <w:tcBorders>
              <w:left w:val="single" w:sz="8" w:color="auto"/>
              <w:righ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8"/>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60" w:type="dxa"/>
            <w:vAlign w:val="bottom"/>
          </w:tcPr>
          <w:p>
            <w:pPr>
              <w:spacing w:after="0"/>
              <w:rPr>
                <w:sz w:val="2"/>
                <w:szCs w:val="2"/>
                <w:color w:val="auto"/>
              </w:rPr>
            </w:pPr>
          </w:p>
        </w:tc>
        <w:tc>
          <w:tcPr>
            <w:tcW w:w="4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87"/>
              </w:rPr>
              <w:t>Additional</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vMerge w:val="restart"/>
          </w:tcPr>
          <w:p>
            <w:pPr>
              <w:jc w:val="center"/>
              <w:ind w:right="129"/>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Series Seed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4"/>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w w:val="96"/>
              </w:rPr>
              <w:t>Series A</w:t>
            </w: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Series B</w:t>
            </w:r>
          </w:p>
        </w:tc>
        <w:tc>
          <w:tcPr>
            <w:tcW w:w="100" w:type="dxa"/>
            <w:vAlign w:val="bottom"/>
            <w:vMerge w:val="restart"/>
          </w:tcPr>
          <w:p>
            <w:pPr>
              <w:jc w:val="center"/>
              <w:ind w:left="13"/>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Series C</w:t>
            </w:r>
          </w:p>
        </w:tc>
        <w:tc>
          <w:tcPr>
            <w:tcW w:w="280" w:type="dxa"/>
            <w:vAlign w:val="bottom"/>
          </w:tcPr>
          <w:p>
            <w:pPr>
              <w:spacing w:after="0"/>
              <w:rPr>
                <w:sz w:val="10"/>
                <w:szCs w:val="10"/>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0"/>
                <w:szCs w:val="10"/>
                <w:color w:val="auto"/>
              </w:rPr>
            </w:pPr>
          </w:p>
        </w:tc>
        <w:tc>
          <w:tcPr>
            <w:tcW w:w="760" w:type="dxa"/>
            <w:vAlign w:val="bottom"/>
            <w:gridSpan w:val="8"/>
            <w:vMerge w:val="continue"/>
          </w:tcPr>
          <w:p>
            <w:pPr>
              <w:spacing w:after="0"/>
              <w:rPr>
                <w:sz w:val="10"/>
                <w:szCs w:val="10"/>
                <w:color w:val="auto"/>
              </w:rPr>
            </w:pPr>
          </w:p>
        </w:tc>
        <w:tc>
          <w:tcPr>
            <w:tcW w:w="16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30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420" w:type="dxa"/>
            <w:vAlign w:val="bottom"/>
            <w:gridSpan w:val="5"/>
            <w:vMerge w:val="restart"/>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Paid-in</w:t>
            </w:r>
          </w:p>
        </w:tc>
        <w:tc>
          <w:tcPr>
            <w:tcW w:w="100" w:type="dxa"/>
            <w:vAlign w:val="bottom"/>
            <w:vMerge w:val="restart"/>
          </w:tcPr>
          <w:p>
            <w:pPr>
              <w:spacing w:after="0"/>
              <w:rPr>
                <w:sz w:val="4"/>
                <w:szCs w:val="4"/>
                <w:color w:val="auto"/>
              </w:rPr>
            </w:pPr>
          </w:p>
        </w:tc>
        <w:tc>
          <w:tcPr>
            <w:tcW w:w="660" w:type="dxa"/>
            <w:vAlign w:val="bottom"/>
            <w:gridSpan w:val="8"/>
            <w:vMerge w:val="restart"/>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60" w:type="dxa"/>
            <w:vAlign w:val="bottom"/>
          </w:tcPr>
          <w:p>
            <w:pPr>
              <w:spacing w:after="0"/>
              <w:rPr>
                <w:sz w:val="4"/>
                <w:szCs w:val="4"/>
                <w:color w:val="auto"/>
              </w:rPr>
            </w:pPr>
          </w:p>
        </w:tc>
        <w:tc>
          <w:tcPr>
            <w:tcW w:w="600" w:type="dxa"/>
            <w:vAlign w:val="bottom"/>
            <w:gridSpan w:val="6"/>
            <w:vMerge w:val="restart"/>
          </w:tcPr>
          <w:p>
            <w:pPr>
              <w:spacing w:after="0" w:line="84"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660" w:type="dxa"/>
            <w:vAlign w:val="bottom"/>
            <w:gridSpan w:val="4"/>
            <w:vMerge w:val="restart"/>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Stockholders’</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3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00" w:type="dxa"/>
            <w:vAlign w:val="bottom"/>
            <w:tcBorders>
              <w:left w:val="single" w:sz="8" w:color="auto"/>
              <w:righ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420" w:type="dxa"/>
            <w:vAlign w:val="bottom"/>
            <w:gridSpan w:val="5"/>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60" w:type="dxa"/>
            <w:vAlign w:val="bottom"/>
            <w:gridSpan w:val="8"/>
            <w:vMerge w:val="continue"/>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gridSpan w:val="6"/>
            <w:vMerge w:val="continue"/>
          </w:tcPr>
          <w:p>
            <w:pPr>
              <w:spacing w:after="0"/>
              <w:rPr>
                <w:sz w:val="2"/>
                <w:szCs w:val="2"/>
                <w:color w:val="auto"/>
              </w:rPr>
            </w:pPr>
          </w:p>
        </w:tc>
        <w:tc>
          <w:tcPr>
            <w:tcW w:w="66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3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860" w:type="dxa"/>
            <w:vAlign w:val="bottom"/>
            <w:gridSpan w:val="9"/>
          </w:tcPr>
          <w:p>
            <w:pPr>
              <w:jc w:val="right"/>
              <w:spacing w:after="0" w:line="158" w:lineRule="exact"/>
              <w:rPr>
                <w:sz w:val="20"/>
                <w:szCs w:val="20"/>
                <w:color w:val="auto"/>
              </w:rPr>
            </w:pPr>
            <w:r>
              <w:rPr>
                <w:rFonts w:ascii="Times New Roman" w:cs="Times New Roman" w:eastAsia="Times New Roman" w:hAnsi="Times New Roman"/>
                <w:sz w:val="10"/>
                <w:szCs w:val="10"/>
                <w:b w:val="1"/>
                <w:bCs w:val="1"/>
                <w:color w:val="auto"/>
              </w:rPr>
              <w:t xml:space="preserve">Shares  </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Amount </w:t>
            </w:r>
            <w:r>
              <w:rPr>
                <w:rFonts w:ascii="Times New Roman" w:cs="Times New Roman" w:eastAsia="Times New Roman" w:hAnsi="Times New Roman"/>
                <w:sz w:val="18"/>
                <w:szCs w:val="18"/>
                <w:b w:val="1"/>
                <w:bCs w:val="1"/>
                <w:color w:val="auto"/>
                <w:vertAlign w:val="subscript"/>
              </w:rPr>
              <w:t>​​</w:t>
            </w:r>
          </w:p>
        </w:tc>
        <w:tc>
          <w:tcPr>
            <w:tcW w:w="380" w:type="dxa"/>
            <w:vAlign w:val="bottom"/>
            <w:gridSpan w:val="4"/>
          </w:tcPr>
          <w:p>
            <w:pPr>
              <w:jc w:val="center"/>
              <w:ind w:left="51"/>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80" w:type="dxa"/>
            <w:vAlign w:val="bottom"/>
          </w:tcPr>
          <w:p>
            <w:pPr>
              <w:spacing w:after="0"/>
              <w:rPr>
                <w:sz w:val="13"/>
                <w:szCs w:val="13"/>
                <w:color w:val="auto"/>
              </w:rPr>
            </w:pPr>
          </w:p>
        </w:tc>
        <w:tc>
          <w:tcPr>
            <w:tcW w:w="620" w:type="dxa"/>
            <w:vAlign w:val="bottom"/>
            <w:gridSpan w:val="5"/>
          </w:tcPr>
          <w:p>
            <w:pPr>
              <w:ind w:left="20"/>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Amount </w:t>
            </w:r>
            <w:r>
              <w:rPr>
                <w:rFonts w:ascii="Times New Roman" w:cs="Times New Roman" w:eastAsia="Times New Roman" w:hAnsi="Times New Roman"/>
                <w:sz w:val="18"/>
                <w:szCs w:val="18"/>
                <w:b w:val="1"/>
                <w:bCs w:val="1"/>
                <w:color w:val="auto"/>
                <w:vertAlign w:val="subscript"/>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80" w:type="dxa"/>
            <w:vAlign w:val="bottom"/>
          </w:tcPr>
          <w:p>
            <w:pPr>
              <w:spacing w:after="0"/>
              <w:rPr>
                <w:sz w:val="13"/>
                <w:szCs w:val="13"/>
                <w:color w:val="auto"/>
              </w:rPr>
            </w:pPr>
          </w:p>
        </w:tc>
        <w:tc>
          <w:tcPr>
            <w:tcW w:w="50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Amount</w:t>
            </w: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3"/>
                <w:szCs w:val="13"/>
                <w:color w:val="auto"/>
              </w:rPr>
            </w:pPr>
          </w:p>
        </w:tc>
        <w:tc>
          <w:tcPr>
            <w:tcW w:w="480" w:type="dxa"/>
            <w:vAlign w:val="bottom"/>
            <w:gridSpan w:val="4"/>
          </w:tcPr>
          <w:p>
            <w:pPr>
              <w:jc w:val="right"/>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Amount </w:t>
            </w:r>
            <w:r>
              <w:rPr>
                <w:rFonts w:ascii="Times New Roman" w:cs="Times New Roman" w:eastAsia="Times New Roman" w:hAnsi="Times New Roman"/>
                <w:sz w:val="18"/>
                <w:szCs w:val="18"/>
                <w:b w:val="1"/>
                <w:bCs w:val="1"/>
                <w:color w:val="auto"/>
                <w:vertAlign w:val="subscript"/>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3"/>
                <w:szCs w:val="13"/>
                <w:color w:val="auto"/>
              </w:rPr>
            </w:pPr>
          </w:p>
        </w:tc>
        <w:tc>
          <w:tcPr>
            <w:tcW w:w="400" w:type="dxa"/>
            <w:vAlign w:val="bottom"/>
            <w:gridSpan w:val="4"/>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520" w:type="dxa"/>
            <w:vAlign w:val="bottom"/>
            <w:gridSpan w:val="5"/>
          </w:tcPr>
          <w:p>
            <w:pPr>
              <w:jc w:val="right"/>
              <w:ind w:right="8"/>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Amount </w:t>
            </w:r>
            <w:r>
              <w:rPr>
                <w:rFonts w:ascii="Times New Roman" w:cs="Times New Roman" w:eastAsia="Times New Roman" w:hAnsi="Times New Roman"/>
                <w:sz w:val="18"/>
                <w:szCs w:val="18"/>
                <w:b w:val="1"/>
                <w:bCs w:val="1"/>
                <w:color w:val="auto"/>
                <w:vertAlign w:val="subscript"/>
              </w:rPr>
              <w:t>​​</w:t>
            </w:r>
          </w:p>
        </w:tc>
        <w:tc>
          <w:tcPr>
            <w:tcW w:w="420" w:type="dxa"/>
            <w:vAlign w:val="bottom"/>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5"/>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120" w:type="dxa"/>
            <w:vAlign w:val="bottom"/>
          </w:tcPr>
          <w:p>
            <w:pPr>
              <w:spacing w:after="0"/>
              <w:rPr>
                <w:sz w:val="13"/>
                <w:szCs w:val="13"/>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w w:val="91"/>
              </w:rPr>
              <w:t>Deficit</w:t>
            </w:r>
          </w:p>
        </w:tc>
        <w:tc>
          <w:tcPr>
            <w:tcW w:w="100" w:type="dxa"/>
            <w:vAlign w:val="bottom"/>
          </w:tcPr>
          <w:p>
            <w:pPr>
              <w:spacing w:after="0"/>
              <w:rPr>
                <w:sz w:val="13"/>
                <w:szCs w:val="13"/>
                <w:color w:val="auto"/>
              </w:rPr>
            </w:pPr>
          </w:p>
        </w:tc>
        <w:tc>
          <w:tcPr>
            <w:tcW w:w="140" w:type="dxa"/>
            <w:vAlign w:val="bottom"/>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jc w:val="center"/>
              <w:ind w:right="109"/>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0"/>
        </w:trPr>
        <w:tc>
          <w:tcPr>
            <w:tcW w:w="2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December 31, 2023</w:t>
            </w: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CCEEFF"/>
            </w:tcBorders>
            <w:gridSpan w:val="2"/>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300" w:type="dxa"/>
            <w:vAlign w:val="bottom"/>
            <w:vMerge w:val="continue"/>
            <w:shd w:val="clear" w:color="auto" w:fill="CCEEFF"/>
          </w:tcPr>
          <w:p>
            <w:pPr>
              <w:spacing w:after="0"/>
              <w:rPr>
                <w:sz w:val="12"/>
                <w:szCs w:val="12"/>
                <w:color w:val="auto"/>
              </w:rPr>
            </w:pPr>
          </w:p>
        </w:tc>
        <w:tc>
          <w:tcPr>
            <w:tcW w:w="640" w:type="dxa"/>
            <w:vAlign w:val="bottom"/>
            <w:tcBorders>
              <w:right w:val="single" w:sz="8" w:color="CCEEFF"/>
            </w:tcBorders>
            <w:gridSpan w:val="6"/>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vertAlign w:val="subscript"/>
              </w:rPr>
              <w:t>​​​</w:t>
            </w:r>
            <w:r>
              <w:rPr>
                <w:rFonts w:ascii="Times New Roman" w:cs="Times New Roman" w:eastAsia="Times New Roman" w:hAnsi="Times New Roman"/>
                <w:sz w:val="9"/>
                <w:szCs w:val="9"/>
                <w:color w:val="auto"/>
              </w:rPr>
              <w:t>​1,785,714</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16"/>
                <w:szCs w:val="16"/>
                <w:color w:val="auto"/>
                <w:vertAlign w:val="subscript"/>
              </w:rPr>
              <w:t>​​</w:t>
            </w:r>
          </w:p>
        </w:tc>
        <w:tc>
          <w:tcPr>
            <w:tcW w:w="2000" w:type="dxa"/>
            <w:vAlign w:val="bottom"/>
            <w:gridSpan w:val="20"/>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vertAlign w:val="subscript"/>
              </w:rPr>
              <w:t>​</w:t>
            </w:r>
            <w:r>
              <w:rPr>
                <w:rFonts w:ascii="Times New Roman" w:cs="Times New Roman" w:eastAsia="Times New Roman" w:hAnsi="Times New Roman"/>
                <w:sz w:val="9"/>
                <w:szCs w:val="9"/>
                <w:color w:val="auto"/>
              </w:rPr>
              <w:t>$  956</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16"/>
                <w:szCs w:val="16"/>
                <w:color w:val="auto"/>
                <w:vertAlign w:val="subscript"/>
              </w:rPr>
              <w:t>​​​</w:t>
            </w:r>
            <w:r>
              <w:rPr>
                <w:rFonts w:ascii="Times New Roman" w:cs="Times New Roman" w:eastAsia="Times New Roman" w:hAnsi="Times New Roman"/>
                <w:sz w:val="9"/>
                <w:szCs w:val="9"/>
                <w:color w:val="auto"/>
              </w:rPr>
              <w:t>​17,589,380</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16"/>
                <w:szCs w:val="16"/>
                <w:color w:val="auto"/>
                <w:vertAlign w:val="subscript"/>
              </w:rPr>
              <w:t>​​​</w:t>
            </w:r>
            <w:r>
              <w:rPr>
                <w:rFonts w:ascii="Times New Roman" w:cs="Times New Roman" w:eastAsia="Times New Roman" w:hAnsi="Times New Roman"/>
                <w:sz w:val="9"/>
                <w:szCs w:val="9"/>
                <w:color w:val="auto"/>
              </w:rPr>
              <w:t>$  55,840</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16"/>
                <w:szCs w:val="16"/>
                <w:color w:val="auto"/>
                <w:vertAlign w:val="subscript"/>
              </w:rPr>
              <w:t>​​​</w:t>
            </w:r>
            <w:r>
              <w:rPr>
                <w:rFonts w:ascii="Times New Roman" w:cs="Times New Roman" w:eastAsia="Times New Roman" w:hAnsi="Times New Roman"/>
                <w:sz w:val="9"/>
                <w:szCs w:val="9"/>
                <w:color w:val="auto"/>
              </w:rPr>
              <w:t>​81,242,587</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16"/>
                <w:szCs w:val="16"/>
                <w:color w:val="auto"/>
                <w:vertAlign w:val="subscript"/>
              </w:rPr>
              <w:t>​​​</w:t>
            </w:r>
            <w:r>
              <w:rPr>
                <w:rFonts w:ascii="Times New Roman" w:cs="Times New Roman" w:eastAsia="Times New Roman" w:hAnsi="Times New Roman"/>
                <w:sz w:val="9"/>
                <w:szCs w:val="9"/>
                <w:color w:val="auto"/>
              </w:rPr>
              <w:t>$</w:t>
            </w:r>
          </w:p>
        </w:tc>
        <w:tc>
          <w:tcPr>
            <w:tcW w:w="500" w:type="dxa"/>
            <w:vAlign w:val="bottom"/>
            <w:gridSpan w:val="3"/>
            <w:shd w:val="clear" w:color="auto" w:fill="CCEEFF"/>
          </w:tcPr>
          <w:p>
            <w:pPr>
              <w:jc w:val="right"/>
              <w:ind w:right="19"/>
              <w:spacing w:after="0" w:line="145" w:lineRule="exact"/>
              <w:rPr>
                <w:sz w:val="20"/>
                <w:szCs w:val="20"/>
                <w:color w:val="auto"/>
              </w:rPr>
            </w:pPr>
            <w:r>
              <w:rPr>
                <w:rFonts w:ascii="Times New Roman" w:cs="Times New Roman" w:eastAsia="Times New Roman" w:hAnsi="Times New Roman"/>
                <w:sz w:val="9"/>
                <w:szCs w:val="9"/>
                <w:color w:val="auto"/>
              </w:rPr>
              <w:t>193,290</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16"/>
                <w:szCs w:val="16"/>
                <w:color w:val="auto"/>
                <w:vertAlign w:val="subscript"/>
              </w:rPr>
              <w:t>​​​</w:t>
            </w: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12"/>
                <w:szCs w:val="12"/>
                <w:color w:val="auto"/>
              </w:rPr>
            </w:pPr>
          </w:p>
        </w:tc>
        <w:tc>
          <w:tcPr>
            <w:tcW w:w="600" w:type="dxa"/>
            <w:vAlign w:val="bottom"/>
            <w:gridSpan w:val="4"/>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9"/>
                <w:szCs w:val="9"/>
                <w:color w:val="auto"/>
              </w:rPr>
              <w:t>​​​</w:t>
            </w:r>
            <w:r>
              <w:rPr>
                <w:rFonts w:ascii="Times New Roman" w:cs="Times New Roman" w:eastAsia="Times New Roman" w:hAnsi="Times New Roman"/>
                <w:sz w:val="16"/>
                <w:szCs w:val="16"/>
                <w:color w:val="auto"/>
                <w:vertAlign w:val="superscript"/>
              </w:rPr>
              <w:t>$</w:t>
            </w:r>
          </w:p>
        </w:tc>
        <w:tc>
          <w:tcPr>
            <w:tcW w:w="3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9"/>
                <w:szCs w:val="9"/>
                <w:color w:val="auto"/>
              </w:rPr>
              <w:t>​</w:t>
            </w:r>
          </w:p>
        </w:tc>
        <w:tc>
          <w:tcPr>
            <w:tcW w:w="680" w:type="dxa"/>
            <w:vAlign w:val="bottom"/>
            <w:gridSpan w:val="7"/>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vertAlign w:val="subscript"/>
              </w:rPr>
              <w:t>​​</w:t>
            </w:r>
            <w:r>
              <w:rPr>
                <w:rFonts w:ascii="Times New Roman" w:cs="Times New Roman" w:eastAsia="Times New Roman" w:hAnsi="Times New Roman"/>
                <w:sz w:val="9"/>
                <w:szCs w:val="9"/>
                <w:color w:val="auto"/>
              </w:rPr>
              <w:t xml:space="preserve">​13,692,052​ </w:t>
            </w:r>
            <w:r>
              <w:rPr>
                <w:rFonts w:ascii="Times New Roman" w:cs="Times New Roman" w:eastAsia="Times New Roman" w:hAnsi="Times New Roman"/>
                <w:sz w:val="16"/>
                <w:szCs w:val="16"/>
                <w:color w:val="auto"/>
                <w:vertAlign w:val="subscript"/>
              </w:rPr>
              <w:t>​​​</w:t>
            </w:r>
          </w:p>
        </w:tc>
        <w:tc>
          <w:tcPr>
            <w:tcW w:w="80" w:type="dxa"/>
            <w:vAlign w:val="bottom"/>
            <w:tcBorders>
              <w:right w:val="single" w:sz="8" w:color="CCEEFF"/>
            </w:tcBorders>
            <w:shd w:val="clear" w:color="auto" w:fill="CCEEFF"/>
          </w:tcPr>
          <w:p>
            <w:pPr>
              <w:spacing w:after="0"/>
              <w:rPr>
                <w:sz w:val="12"/>
                <w:szCs w:val="12"/>
                <w:color w:val="auto"/>
              </w:rPr>
            </w:pPr>
          </w:p>
        </w:tc>
        <w:tc>
          <w:tcPr>
            <w:tcW w:w="1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16"/>
                <w:szCs w:val="16"/>
                <w:color w:val="auto"/>
                <w:vertAlign w:val="superscript"/>
              </w:rPr>
              <w:t>$</w:t>
            </w:r>
          </w:p>
        </w:tc>
        <w:tc>
          <w:tcPr>
            <w:tcW w:w="160" w:type="dxa"/>
            <w:vAlign w:val="bottom"/>
            <w:tcBorders>
              <w:left w:val="single" w:sz="8" w:color="CCEEFF"/>
              <w:right w:val="single" w:sz="8" w:color="CCEEFF"/>
            </w:tcBorders>
            <w:shd w:val="clear" w:color="auto" w:fill="CCEEFF"/>
          </w:tcPr>
          <w:p>
            <w:pPr>
              <w:jc w:val="right"/>
              <w:ind w:right="8"/>
              <w:spacing w:after="0" w:line="145" w:lineRule="exact"/>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9"/>
                <w:szCs w:val="9"/>
                <w:color w:val="auto"/>
                <w:w w:val="74"/>
              </w:rPr>
              <w:t>​</w:t>
            </w:r>
            <w:r>
              <w:rPr>
                <w:rFonts w:ascii="Times New Roman" w:cs="Times New Roman" w:eastAsia="Times New Roman" w:hAnsi="Times New Roman"/>
                <w:sz w:val="16"/>
                <w:szCs w:val="16"/>
                <w:color w:val="auto"/>
                <w:w w:val="74"/>
                <w:vertAlign w:val="superscript"/>
              </w:rPr>
              <w:t>$</w:t>
            </w:r>
          </w:p>
        </w:tc>
        <w:tc>
          <w:tcPr>
            <w:tcW w:w="60" w:type="dxa"/>
            <w:vAlign w:val="bottom"/>
            <w:shd w:val="clear" w:color="auto" w:fill="CCEEFF"/>
          </w:tcPr>
          <w:p>
            <w:pPr>
              <w:spacing w:after="0"/>
              <w:rPr>
                <w:sz w:val="12"/>
                <w:szCs w:val="12"/>
                <w:color w:val="auto"/>
              </w:rPr>
            </w:pPr>
          </w:p>
        </w:tc>
        <w:tc>
          <w:tcPr>
            <w:tcW w:w="320" w:type="dxa"/>
            <w:vAlign w:val="bottom"/>
            <w:tcBorders>
              <w:right w:val="single" w:sz="8" w:color="CCEEFF"/>
            </w:tcBorders>
            <w:gridSpan w:val="3"/>
            <w:shd w:val="clear" w:color="auto" w:fill="CCEEFF"/>
          </w:tcPr>
          <w:p>
            <w:pPr>
              <w:jc w:val="right"/>
              <w:spacing w:after="0" w:line="145" w:lineRule="exact"/>
              <w:rPr>
                <w:sz w:val="20"/>
                <w:szCs w:val="20"/>
                <w:color w:val="auto"/>
              </w:rPr>
            </w:pPr>
            <w:r>
              <w:rPr>
                <w:rFonts w:ascii="Times New Roman" w:cs="Times New Roman" w:eastAsia="Times New Roman" w:hAnsi="Times New Roman"/>
                <w:sz w:val="9"/>
                <w:szCs w:val="9"/>
                <w:color w:val="auto"/>
              </w:rPr>
              <w:t>4,644</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16"/>
                <w:szCs w:val="16"/>
                <w:color w:val="auto"/>
                <w:vertAlign w:val="subscript"/>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9"/>
                <w:szCs w:val="9"/>
                <w:color w:val="auto"/>
                <w:w w:val="74"/>
              </w:rPr>
              <w:t>​</w:t>
            </w:r>
            <w:r>
              <w:rPr>
                <w:rFonts w:ascii="Times New Roman" w:cs="Times New Roman" w:eastAsia="Times New Roman" w:hAnsi="Times New Roman"/>
                <w:sz w:val="16"/>
                <w:szCs w:val="16"/>
                <w:color w:val="auto"/>
                <w:w w:val="74"/>
                <w:vertAlign w:val="superscript"/>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tcBorders>
              <w:left w:val="single" w:sz="8" w:color="CCEEFF"/>
            </w:tcBorders>
            <w:gridSpan w:val="5"/>
            <w:shd w:val="clear" w:color="auto" w:fill="CCEEFF"/>
          </w:tcPr>
          <w:p>
            <w:pPr>
              <w:jc w:val="center"/>
              <w:spacing w:after="0" w:line="145" w:lineRule="exact"/>
              <w:rPr>
                <w:sz w:val="20"/>
                <w:szCs w:val="20"/>
                <w:color w:val="auto"/>
              </w:rPr>
            </w:pPr>
            <w:r>
              <w:rPr>
                <w:rFonts w:ascii="Times New Roman" w:cs="Times New Roman" w:eastAsia="Times New Roman" w:hAnsi="Times New Roman"/>
                <w:sz w:val="16"/>
                <w:szCs w:val="16"/>
                <w:color w:val="auto"/>
                <w:vertAlign w:val="superscript"/>
              </w:rPr>
              <w:t>37</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9"/>
                <w:szCs w:val="9"/>
                <w:color w:val="auto"/>
              </w:rPr>
              <w:t>​​ ​</w:t>
            </w:r>
            <w:r>
              <w:rPr>
                <w:rFonts w:ascii="Times New Roman" w:cs="Times New Roman" w:eastAsia="Times New Roman" w:hAnsi="Times New Roman"/>
                <w:sz w:val="16"/>
                <w:szCs w:val="16"/>
                <w:color w:val="auto"/>
                <w:vertAlign w:val="superscript"/>
              </w:rPr>
              <w:t>$</w:t>
            </w:r>
          </w:p>
        </w:tc>
        <w:tc>
          <w:tcPr>
            <w:tcW w:w="580" w:type="dxa"/>
            <w:vAlign w:val="bottom"/>
            <w:tcBorders>
              <w:right w:val="single" w:sz="8" w:color="CCEEFF"/>
            </w:tcBorders>
            <w:gridSpan w:val="4"/>
            <w:shd w:val="clear" w:color="auto" w:fill="CCEEFF"/>
          </w:tcPr>
          <w:p>
            <w:pPr>
              <w:jc w:val="right"/>
              <w:ind w:right="11"/>
              <w:spacing w:after="0" w:line="145" w:lineRule="exact"/>
              <w:rPr>
                <w:sz w:val="20"/>
                <w:szCs w:val="20"/>
                <w:color w:val="auto"/>
              </w:rPr>
            </w:pPr>
            <w:r>
              <w:rPr>
                <w:rFonts w:ascii="Times New Roman" w:cs="Times New Roman" w:eastAsia="Times New Roman" w:hAnsi="Times New Roman"/>
                <w:sz w:val="9"/>
                <w:szCs w:val="9"/>
                <w:color w:val="auto"/>
              </w:rPr>
              <w:t>(230,403)</w:t>
            </w:r>
            <w:r>
              <w:rPr>
                <w:rFonts w:ascii="Times New Roman" w:cs="Times New Roman" w:eastAsia="Times New Roman" w:hAnsi="Times New Roman"/>
                <w:sz w:val="16"/>
                <w:szCs w:val="16"/>
                <w:color w:val="auto"/>
                <w:vertAlign w:val="subscript"/>
              </w:rPr>
              <w:t>​​​</w:t>
            </w:r>
          </w:p>
        </w:tc>
        <w:tc>
          <w:tcPr>
            <w:tcW w:w="8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16"/>
                <w:szCs w:val="16"/>
                <w:color w:val="auto"/>
                <w:vertAlign w:val="superscript"/>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(225,721)</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5"/>
        </w:trPr>
        <w:tc>
          <w:tcPr>
            <w:tcW w:w="2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Repurchase of unvested restricted stock awards</w:t>
            </w:r>
          </w:p>
        </w:tc>
        <w:tc>
          <w:tcPr>
            <w:tcW w:w="1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jc w:val="right"/>
              <w:ind w:right="38"/>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120" w:type="dxa"/>
            <w:vAlign w:val="bottom"/>
            <w:gridSpan w:val="2"/>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40" w:type="dxa"/>
            <w:vAlign w:val="bottom"/>
            <w:gridSpan w:val="5"/>
          </w:tcPr>
          <w:p>
            <w:pPr>
              <w:jc w:val="right"/>
              <w:ind w:right="149"/>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60" w:type="dxa"/>
            <w:vAlign w:val="bottom"/>
          </w:tcPr>
          <w:p>
            <w:pPr>
              <w:spacing w:after="0"/>
              <w:rPr>
                <w:sz w:val="14"/>
                <w:szCs w:val="14"/>
                <w:color w:val="auto"/>
              </w:rPr>
            </w:pPr>
          </w:p>
        </w:tc>
        <w:tc>
          <w:tcPr>
            <w:tcW w:w="540" w:type="dxa"/>
            <w:vAlign w:val="bottom"/>
            <w:gridSpan w:val="4"/>
          </w:tcPr>
          <w:p>
            <w:pPr>
              <w:jc w:val="right"/>
              <w:ind w:right="151"/>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color w:val="auto"/>
                <w:vertAlign w:val="superscript"/>
              </w:rPr>
              <w:t>​</w:t>
            </w:r>
          </w:p>
        </w:tc>
        <w:tc>
          <w:tcPr>
            <w:tcW w:w="260" w:type="dxa"/>
            <w:vAlign w:val="bottom"/>
            <w:gridSpan w:val="3"/>
          </w:tcPr>
          <w:p>
            <w:pPr>
              <w:jc w:val="right"/>
              <w:ind w:right="19"/>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240" w:type="dxa"/>
            <w:vAlign w:val="bottom"/>
          </w:tcPr>
          <w:p>
            <w:pPr>
              <w:spacing w:after="0"/>
              <w:rPr>
                <w:sz w:val="14"/>
                <w:szCs w:val="14"/>
                <w:color w:val="auto"/>
              </w:rPr>
            </w:pPr>
          </w:p>
        </w:tc>
        <w:tc>
          <w:tcPr>
            <w:tcW w:w="340" w:type="dxa"/>
            <w:vAlign w:val="bottom"/>
            <w:gridSpan w:val="4"/>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color w:val="auto"/>
                <w:vertAlign w:val="superscript"/>
              </w:rPr>
              <w:t>​</w:t>
            </w:r>
          </w:p>
        </w:tc>
        <w:tc>
          <w:tcPr>
            <w:tcW w:w="500" w:type="dxa"/>
            <w:vAlign w:val="bottom"/>
            <w:gridSpan w:val="3"/>
          </w:tcPr>
          <w:p>
            <w:pPr>
              <w:jc w:val="right"/>
              <w:ind w:right="19"/>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20" w:type="dxa"/>
            <w:vAlign w:val="bottom"/>
          </w:tcPr>
          <w:p>
            <w:pPr>
              <w:spacing w:after="0"/>
              <w:rPr>
                <w:sz w:val="14"/>
                <w:szCs w:val="14"/>
                <w:color w:val="auto"/>
              </w:rPr>
            </w:pPr>
          </w:p>
        </w:tc>
        <w:tc>
          <w:tcPr>
            <w:tcW w:w="600" w:type="dxa"/>
            <w:vAlign w:val="bottom"/>
            <w:gridSpan w:val="4"/>
          </w:tcPr>
          <w:p>
            <w:pPr>
              <w:jc w:val="right"/>
              <w:ind w:right="20"/>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color w:val="auto"/>
                <w:vertAlign w:val="superscript"/>
              </w:rPr>
              <w:t>​</w:t>
            </w:r>
          </w:p>
        </w:tc>
        <w:tc>
          <w:tcPr>
            <w:tcW w:w="32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680" w:type="dxa"/>
            <w:vAlign w:val="bottom"/>
            <w:gridSpan w:val="7"/>
          </w:tcPr>
          <w:p>
            <w:pPr>
              <w:ind w:left="20"/>
              <w:spacing w:after="0" w:line="165"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(183,841)</w:t>
            </w:r>
            <w:r>
              <w:rPr>
                <w:rFonts w:ascii="Times New Roman" w:cs="Times New Roman" w:eastAsia="Times New Roman" w:hAnsi="Times New Roman"/>
                <w:sz w:val="19"/>
                <w:szCs w:val="19"/>
                <w:color w:val="auto"/>
                <w:vertAlign w:val="subscript"/>
              </w:rPr>
              <w:t>​​​</w:t>
            </w:r>
          </w:p>
        </w:tc>
        <w:tc>
          <w:tcPr>
            <w:tcW w:w="80" w:type="dxa"/>
            <w:vAlign w:val="bottom"/>
          </w:tcPr>
          <w:p>
            <w:pPr>
              <w:spacing w:after="0"/>
              <w:rPr>
                <w:sz w:val="14"/>
                <w:szCs w:val="14"/>
                <w:color w:val="auto"/>
              </w:rPr>
            </w:pPr>
          </w:p>
        </w:tc>
        <w:tc>
          <w:tcPr>
            <w:tcW w:w="320" w:type="dxa"/>
            <w:vAlign w:val="bottom"/>
            <w:gridSpan w:val="3"/>
          </w:tcPr>
          <w:p>
            <w:pPr>
              <w:jc w:val="right"/>
              <w:ind w:right="8"/>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80" w:type="dxa"/>
            <w:vAlign w:val="bottom"/>
          </w:tcPr>
          <w:p>
            <w:pPr>
              <w:spacing w:after="0"/>
              <w:rPr>
                <w:sz w:val="14"/>
                <w:szCs w:val="14"/>
                <w:color w:val="auto"/>
              </w:rPr>
            </w:pPr>
          </w:p>
        </w:tc>
        <w:tc>
          <w:tcPr>
            <w:tcW w:w="120" w:type="dxa"/>
            <w:vAlign w:val="bottom"/>
            <w:gridSpan w:val="2"/>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80" w:type="dxa"/>
            <w:vAlign w:val="bottom"/>
          </w:tcPr>
          <w:p>
            <w:pPr>
              <w:spacing w:after="0"/>
              <w:rPr>
                <w:sz w:val="14"/>
                <w:szCs w:val="14"/>
                <w:color w:val="auto"/>
              </w:rPr>
            </w:pPr>
          </w:p>
        </w:tc>
        <w:tc>
          <w:tcPr>
            <w:tcW w:w="24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3"/>
          </w:tcPr>
          <w:p>
            <w:pPr>
              <w:ind w:left="120"/>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80" w:type="dxa"/>
            <w:vAlign w:val="bottom"/>
          </w:tcPr>
          <w:p>
            <w:pPr>
              <w:spacing w:after="0"/>
              <w:rPr>
                <w:sz w:val="14"/>
                <w:szCs w:val="14"/>
                <w:color w:val="auto"/>
              </w:rPr>
            </w:pPr>
          </w:p>
        </w:tc>
        <w:tc>
          <w:tcPr>
            <w:tcW w:w="340" w:type="dxa"/>
            <w:vAlign w:val="bottom"/>
            <w:gridSpan w:val="5"/>
          </w:tcPr>
          <w:p>
            <w:pPr>
              <w:jc w:val="center"/>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color w:val="auto"/>
                <w:vertAlign w:val="superscript"/>
              </w:rPr>
              <w:t>​</w:t>
            </w:r>
          </w:p>
        </w:tc>
        <w:tc>
          <w:tcPr>
            <w:tcW w:w="180" w:type="dxa"/>
            <w:vAlign w:val="bottom"/>
          </w:tcPr>
          <w:p>
            <w:pPr>
              <w:spacing w:after="0"/>
              <w:rPr>
                <w:sz w:val="14"/>
                <w:szCs w:val="14"/>
                <w:color w:val="auto"/>
              </w:rPr>
            </w:pPr>
          </w:p>
        </w:tc>
        <w:tc>
          <w:tcPr>
            <w:tcW w:w="400" w:type="dxa"/>
            <w:vAlign w:val="bottom"/>
            <w:gridSpan w:val="3"/>
          </w:tcPr>
          <w:p>
            <w:pPr>
              <w:jc w:val="right"/>
              <w:ind w:right="11"/>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color w:val="auto"/>
              </w:rPr>
              <w:t xml:space="preserve"> ​​​</w:t>
            </w:r>
          </w:p>
        </w:tc>
        <w:tc>
          <w:tcPr>
            <w:tcW w:w="80" w:type="dxa"/>
            <w:vAlign w:val="bottom"/>
            <w:gridSpan w:val="2"/>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8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bscript"/>
              </w:rPr>
              <w:t>​</w:t>
            </w:r>
          </w:p>
        </w:tc>
        <w:tc>
          <w:tcPr>
            <w:tcW w:w="0" w:type="dxa"/>
            <w:vAlign w:val="bottom"/>
          </w:tcPr>
          <w:p>
            <w:pPr>
              <w:spacing w:after="0"/>
              <w:rPr>
                <w:sz w:val="1"/>
                <w:szCs w:val="1"/>
                <w:color w:val="auto"/>
              </w:rPr>
            </w:pPr>
          </w:p>
        </w:tc>
      </w:tr>
      <w:tr>
        <w:trPr>
          <w:trHeight w:val="165"/>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Exercises of common stock options</w:t>
            </w:r>
          </w:p>
        </w:tc>
        <w:tc>
          <w:tcPr>
            <w:tcW w:w="1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jc w:val="right"/>
              <w:ind w:right="38"/>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1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40" w:type="dxa"/>
            <w:vAlign w:val="bottom"/>
            <w:gridSpan w:val="5"/>
            <w:shd w:val="clear" w:color="auto" w:fill="CCEEFF"/>
          </w:tcPr>
          <w:p>
            <w:pPr>
              <w:jc w:val="right"/>
              <w:ind w:right="149"/>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60" w:type="dxa"/>
            <w:vAlign w:val="bottom"/>
            <w:shd w:val="clear" w:color="auto" w:fill="CCEEFF"/>
          </w:tcPr>
          <w:p>
            <w:pPr>
              <w:spacing w:after="0"/>
              <w:rPr>
                <w:sz w:val="14"/>
                <w:szCs w:val="14"/>
                <w:color w:val="auto"/>
              </w:rPr>
            </w:pPr>
          </w:p>
        </w:tc>
        <w:tc>
          <w:tcPr>
            <w:tcW w:w="540" w:type="dxa"/>
            <w:vAlign w:val="bottom"/>
            <w:tcBorders>
              <w:right w:val="single" w:sz="8" w:color="CCEEFF"/>
            </w:tcBorders>
            <w:gridSpan w:val="4"/>
            <w:shd w:val="clear" w:color="auto" w:fill="CCEEFF"/>
          </w:tcPr>
          <w:p>
            <w:pPr>
              <w:jc w:val="right"/>
              <w:ind w:right="151"/>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color w:val="auto"/>
                <w:vertAlign w:val="superscript"/>
              </w:rPr>
              <w:t>​</w:t>
            </w:r>
          </w:p>
        </w:tc>
        <w:tc>
          <w:tcPr>
            <w:tcW w:w="260" w:type="dxa"/>
            <w:vAlign w:val="bottom"/>
            <w:gridSpan w:val="3"/>
            <w:shd w:val="clear" w:color="auto" w:fill="CCEEFF"/>
          </w:tcPr>
          <w:p>
            <w:pPr>
              <w:jc w:val="right"/>
              <w:ind w:right="19"/>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240" w:type="dxa"/>
            <w:vAlign w:val="bottom"/>
            <w:shd w:val="clear" w:color="auto" w:fill="CCEEFF"/>
          </w:tcPr>
          <w:p>
            <w:pPr>
              <w:spacing w:after="0"/>
              <w:rPr>
                <w:sz w:val="14"/>
                <w:szCs w:val="14"/>
                <w:color w:val="auto"/>
              </w:rPr>
            </w:pPr>
          </w:p>
        </w:tc>
        <w:tc>
          <w:tcPr>
            <w:tcW w:w="340" w:type="dxa"/>
            <w:vAlign w:val="bottom"/>
            <w:gridSpan w:val="4"/>
            <w:shd w:val="clear" w:color="auto" w:fill="CCEEFF"/>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color w:val="auto"/>
                <w:vertAlign w:val="superscript"/>
              </w:rPr>
              <w:t>​</w:t>
            </w:r>
          </w:p>
        </w:tc>
        <w:tc>
          <w:tcPr>
            <w:tcW w:w="500" w:type="dxa"/>
            <w:vAlign w:val="bottom"/>
            <w:gridSpan w:val="3"/>
            <w:shd w:val="clear" w:color="auto" w:fill="CCEEFF"/>
          </w:tcPr>
          <w:p>
            <w:pPr>
              <w:jc w:val="right"/>
              <w:ind w:right="19"/>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20" w:type="dxa"/>
            <w:vAlign w:val="bottom"/>
            <w:shd w:val="clear" w:color="auto" w:fill="CCEEFF"/>
          </w:tcPr>
          <w:p>
            <w:pPr>
              <w:spacing w:after="0"/>
              <w:rPr>
                <w:sz w:val="14"/>
                <w:szCs w:val="14"/>
                <w:color w:val="auto"/>
              </w:rPr>
            </w:pPr>
          </w:p>
        </w:tc>
        <w:tc>
          <w:tcPr>
            <w:tcW w:w="600" w:type="dxa"/>
            <w:vAlign w:val="bottom"/>
            <w:gridSpan w:val="4"/>
            <w:shd w:val="clear" w:color="auto" w:fill="CCEEFF"/>
          </w:tcPr>
          <w:p>
            <w:pPr>
              <w:jc w:val="right"/>
              <w:ind w:right="20"/>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color w:val="auto"/>
                <w:vertAlign w:val="superscript"/>
              </w:rPr>
              <w:t>​</w:t>
            </w:r>
          </w:p>
        </w:tc>
        <w:tc>
          <w:tcPr>
            <w:tcW w:w="32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16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520" w:type="dxa"/>
            <w:vAlign w:val="bottom"/>
            <w:gridSpan w:val="5"/>
            <w:shd w:val="clear" w:color="auto" w:fill="CCEEFF"/>
          </w:tcPr>
          <w:p>
            <w:pPr>
              <w:jc w:val="right"/>
              <w:spacing w:after="0" w:line="165" w:lineRule="exact"/>
              <w:rPr>
                <w:sz w:val="20"/>
                <w:szCs w:val="20"/>
                <w:color w:val="auto"/>
              </w:rPr>
            </w:pPr>
            <w:r>
              <w:rPr>
                <w:rFonts w:ascii="Times New Roman" w:cs="Times New Roman" w:eastAsia="Times New Roman" w:hAnsi="Times New Roman"/>
                <w:sz w:val="10"/>
                <w:szCs w:val="10"/>
                <w:color w:val="auto"/>
              </w:rPr>
              <w:t xml:space="preserve">197,081​ </w:t>
            </w:r>
            <w:r>
              <w:rPr>
                <w:rFonts w:ascii="Times New Roman" w:cs="Times New Roman" w:eastAsia="Times New Roman" w:hAnsi="Times New Roman"/>
                <w:sz w:val="19"/>
                <w:szCs w:val="19"/>
                <w:color w:val="auto"/>
                <w:vertAlign w:val="subscript"/>
              </w:rPr>
              <w:t>​​​</w:t>
            </w:r>
          </w:p>
        </w:tc>
        <w:tc>
          <w:tcPr>
            <w:tcW w:w="80" w:type="dxa"/>
            <w:vAlign w:val="bottom"/>
            <w:tcBorders>
              <w:right w:val="single" w:sz="8" w:color="CCEEFF"/>
            </w:tcBorders>
            <w:shd w:val="clear" w:color="auto" w:fill="CCEEFF"/>
          </w:tcPr>
          <w:p>
            <w:pPr>
              <w:spacing w:after="0"/>
              <w:rPr>
                <w:sz w:val="14"/>
                <w:szCs w:val="14"/>
                <w:color w:val="auto"/>
              </w:rPr>
            </w:pPr>
          </w:p>
        </w:tc>
        <w:tc>
          <w:tcPr>
            <w:tcW w:w="320" w:type="dxa"/>
            <w:vAlign w:val="bottom"/>
            <w:tcBorders>
              <w:right w:val="single" w:sz="8" w:color="CCEEFF"/>
            </w:tcBorders>
            <w:gridSpan w:val="3"/>
            <w:shd w:val="clear" w:color="auto" w:fill="CCEEFF"/>
          </w:tcPr>
          <w:p>
            <w:pPr>
              <w:jc w:val="right"/>
              <w:ind w:right="8"/>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120" w:type="dxa"/>
            <w:vAlign w:val="bottom"/>
            <w:tcBorders>
              <w:left w:val="single" w:sz="8" w:color="CCEEFF"/>
            </w:tcBorders>
            <w:gridSpan w:val="2"/>
            <w:shd w:val="clear" w:color="auto" w:fill="CCEEFF"/>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320" w:type="dxa"/>
            <w:vAlign w:val="bottom"/>
            <w:tcBorders>
              <w:right w:val="single" w:sz="8" w:color="CCEEFF"/>
            </w:tcBorders>
            <w:gridSpan w:val="3"/>
            <w:shd w:val="clear" w:color="auto" w:fill="CCEEFF"/>
          </w:tcPr>
          <w:p>
            <w:pPr>
              <w:jc w:val="right"/>
              <w:spacing w:after="0" w:line="165" w:lineRule="exact"/>
              <w:rPr>
                <w:sz w:val="20"/>
                <w:szCs w:val="20"/>
                <w:color w:val="auto"/>
              </w:rPr>
            </w:pPr>
            <w:r>
              <w:rPr>
                <w:rFonts w:ascii="Times New Roman" w:cs="Times New Roman" w:eastAsia="Times New Roman" w:hAnsi="Times New Roman"/>
                <w:sz w:val="10"/>
                <w:szCs w:val="10"/>
                <w:color w:val="auto"/>
              </w:rPr>
              <w:t>166</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gridSpan w:val="3"/>
            <w:shd w:val="clear" w:color="auto" w:fill="CCEEFF"/>
          </w:tcPr>
          <w:p>
            <w:pPr>
              <w:ind w:left="120"/>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80" w:type="dxa"/>
            <w:vAlign w:val="bottom"/>
            <w:shd w:val="clear" w:color="auto" w:fill="CCEEFF"/>
          </w:tcPr>
          <w:p>
            <w:pPr>
              <w:spacing w:after="0"/>
              <w:rPr>
                <w:sz w:val="14"/>
                <w:szCs w:val="14"/>
                <w:color w:val="auto"/>
              </w:rPr>
            </w:pPr>
          </w:p>
        </w:tc>
        <w:tc>
          <w:tcPr>
            <w:tcW w:w="340" w:type="dxa"/>
            <w:vAlign w:val="bottom"/>
            <w:tcBorders>
              <w:left w:val="single" w:sz="8" w:color="CCEEFF"/>
            </w:tcBorders>
            <w:gridSpan w:val="5"/>
            <w:shd w:val="clear" w:color="auto" w:fill="CCEEFF"/>
          </w:tcPr>
          <w:p>
            <w:pPr>
              <w:jc w:val="center"/>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color w:val="auto"/>
                <w:vertAlign w:val="superscript"/>
              </w:rPr>
              <w:t>​</w:t>
            </w:r>
          </w:p>
        </w:tc>
        <w:tc>
          <w:tcPr>
            <w:tcW w:w="18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3"/>
            <w:shd w:val="clear" w:color="auto" w:fill="CCEEFF"/>
          </w:tcPr>
          <w:p>
            <w:pPr>
              <w:jc w:val="right"/>
              <w:ind w:right="11"/>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color w:val="auto"/>
              </w:rPr>
              <w:t xml:space="preserve"> ​​​</w:t>
            </w:r>
          </w:p>
        </w:tc>
        <w:tc>
          <w:tcPr>
            <w:tcW w:w="8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166​</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9"/>
        </w:trPr>
        <w:tc>
          <w:tcPr>
            <w:tcW w:w="10000" w:type="dxa"/>
            <w:vAlign w:val="bottom"/>
            <w:gridSpan w:val="74"/>
          </w:tcPr>
          <w:p>
            <w:pPr>
              <w:ind w:left="20"/>
              <w:spacing w:after="0"/>
              <w:rPr>
                <w:sz w:val="20"/>
                <w:szCs w:val="20"/>
                <w:color w:val="auto"/>
              </w:rPr>
            </w:pPr>
            <w:r>
              <w:rPr>
                <w:rFonts w:ascii="Times New Roman" w:cs="Times New Roman" w:eastAsia="Times New Roman" w:hAnsi="Times New Roman"/>
                <w:sz w:val="10"/>
                <w:szCs w:val="10"/>
                <w:color w:val="auto"/>
              </w:rPr>
              <w:t>Issuance of Series C convertible preferred stock, net</w:t>
            </w:r>
          </w:p>
        </w:tc>
        <w:tc>
          <w:tcPr>
            <w:tcW w:w="0" w:type="dxa"/>
            <w:vAlign w:val="bottom"/>
          </w:tcPr>
          <w:p>
            <w:pPr>
              <w:spacing w:after="0"/>
              <w:rPr>
                <w:sz w:val="1"/>
                <w:szCs w:val="1"/>
                <w:color w:val="auto"/>
              </w:rPr>
            </w:pPr>
          </w:p>
        </w:tc>
      </w:tr>
      <w:tr>
        <w:trPr>
          <w:trHeight w:val="144"/>
        </w:trPr>
        <w:tc>
          <w:tcPr>
            <w:tcW w:w="23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of issuance costs of $619</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38"/>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5"/>
          </w:tcPr>
          <w:p>
            <w:pPr>
              <w:jc w:val="right"/>
              <w:ind w:right="149"/>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40" w:type="dxa"/>
            <w:vAlign w:val="bottom"/>
            <w:gridSpan w:val="4"/>
          </w:tcPr>
          <w:p>
            <w:pPr>
              <w:jc w:val="right"/>
              <w:ind w:right="151"/>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w:t>
            </w:r>
          </w:p>
        </w:tc>
        <w:tc>
          <w:tcPr>
            <w:tcW w:w="260" w:type="dxa"/>
            <w:vAlign w:val="bottom"/>
            <w:gridSpan w:val="3"/>
          </w:tcPr>
          <w:p>
            <w:pPr>
              <w:jc w:val="right"/>
              <w:ind w:right="19"/>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w:t>
            </w:r>
          </w:p>
        </w:tc>
        <w:tc>
          <w:tcPr>
            <w:tcW w:w="1440" w:type="dxa"/>
            <w:vAlign w:val="bottom"/>
            <w:gridSpan w:val="10"/>
          </w:tcPr>
          <w:p>
            <w:pPr>
              <w:jc w:val="right"/>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​​​116,275,239</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​199,526</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2"/>
                <w:szCs w:val="12"/>
                <w:color w:val="auto"/>
              </w:rPr>
            </w:pP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0"/>
                <w:szCs w:val="10"/>
                <w:color w:val="auto"/>
              </w:rPr>
              <w:t>​ ​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2"/>
                <w:szCs w:val="12"/>
                <w:color w:val="auto"/>
              </w:rPr>
            </w:pPr>
          </w:p>
        </w:tc>
        <w:tc>
          <w:tcPr>
            <w:tcW w:w="340" w:type="dxa"/>
            <w:vAlign w:val="bottom"/>
            <w:gridSpan w:val="5"/>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 ​</w:t>
            </w:r>
          </w:p>
        </w:tc>
        <w:tc>
          <w:tcPr>
            <w:tcW w:w="180" w:type="dxa"/>
            <w:vAlign w:val="bottom"/>
          </w:tcPr>
          <w:p>
            <w:pPr>
              <w:spacing w:after="0"/>
              <w:rPr>
                <w:sz w:val="12"/>
                <w:szCs w:val="12"/>
                <w:color w:val="auto"/>
              </w:rPr>
            </w:pPr>
          </w:p>
        </w:tc>
        <w:tc>
          <w:tcPr>
            <w:tcW w:w="400" w:type="dxa"/>
            <w:vAlign w:val="bottom"/>
            <w:gridSpan w:val="3"/>
          </w:tcPr>
          <w:p>
            <w:pPr>
              <w:jc w:val="right"/>
              <w:ind w:right="11"/>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66"/>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120" w:type="dxa"/>
            <w:vAlign w:val="bottom"/>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jc w:val="right"/>
              <w:ind w:right="38"/>
              <w:spacing w:after="0" w:line="166"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12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40" w:type="dxa"/>
            <w:vAlign w:val="bottom"/>
            <w:gridSpan w:val="5"/>
            <w:shd w:val="clear" w:color="auto" w:fill="CCEEFF"/>
          </w:tcPr>
          <w:p>
            <w:pPr>
              <w:jc w:val="right"/>
              <w:ind w:right="149"/>
              <w:spacing w:after="0" w:line="166"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60" w:type="dxa"/>
            <w:vAlign w:val="bottom"/>
            <w:shd w:val="clear" w:color="auto" w:fill="CCEEFF"/>
          </w:tcPr>
          <w:p>
            <w:pPr>
              <w:spacing w:after="0"/>
              <w:rPr>
                <w:sz w:val="14"/>
                <w:szCs w:val="14"/>
                <w:color w:val="auto"/>
              </w:rPr>
            </w:pPr>
          </w:p>
        </w:tc>
        <w:tc>
          <w:tcPr>
            <w:tcW w:w="540" w:type="dxa"/>
            <w:vAlign w:val="bottom"/>
            <w:tcBorders>
              <w:right w:val="single" w:sz="8" w:color="CCEEFF"/>
            </w:tcBorders>
            <w:gridSpan w:val="4"/>
            <w:shd w:val="clear" w:color="auto" w:fill="CCEEFF"/>
          </w:tcPr>
          <w:p>
            <w:pPr>
              <w:jc w:val="right"/>
              <w:ind w:right="151"/>
              <w:spacing w:after="0" w:line="166"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color w:val="auto"/>
                <w:vertAlign w:val="superscript"/>
              </w:rPr>
              <w:t>​</w:t>
            </w:r>
          </w:p>
        </w:tc>
        <w:tc>
          <w:tcPr>
            <w:tcW w:w="260" w:type="dxa"/>
            <w:vAlign w:val="bottom"/>
            <w:gridSpan w:val="3"/>
            <w:shd w:val="clear" w:color="auto" w:fill="CCEEFF"/>
          </w:tcPr>
          <w:p>
            <w:pPr>
              <w:jc w:val="right"/>
              <w:ind w:right="19"/>
              <w:spacing w:after="0" w:line="166"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240" w:type="dxa"/>
            <w:vAlign w:val="bottom"/>
            <w:shd w:val="clear" w:color="auto" w:fill="CCEEFF"/>
          </w:tcPr>
          <w:p>
            <w:pPr>
              <w:spacing w:after="0"/>
              <w:rPr>
                <w:sz w:val="14"/>
                <w:szCs w:val="14"/>
                <w:color w:val="auto"/>
              </w:rPr>
            </w:pPr>
          </w:p>
        </w:tc>
        <w:tc>
          <w:tcPr>
            <w:tcW w:w="340" w:type="dxa"/>
            <w:vAlign w:val="bottom"/>
            <w:gridSpan w:val="4"/>
            <w:shd w:val="clear" w:color="auto" w:fill="CCEEFF"/>
          </w:tcPr>
          <w:p>
            <w:pPr>
              <w:jc w:val="right"/>
              <w:spacing w:after="0" w:line="166"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color w:val="auto"/>
                <w:vertAlign w:val="superscript"/>
              </w:rPr>
              <w:t>​</w:t>
            </w:r>
          </w:p>
        </w:tc>
        <w:tc>
          <w:tcPr>
            <w:tcW w:w="500" w:type="dxa"/>
            <w:vAlign w:val="bottom"/>
            <w:gridSpan w:val="3"/>
            <w:shd w:val="clear" w:color="auto" w:fill="CCEEFF"/>
          </w:tcPr>
          <w:p>
            <w:pPr>
              <w:jc w:val="right"/>
              <w:ind w:right="19"/>
              <w:spacing w:after="0" w:line="166"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20" w:type="dxa"/>
            <w:vAlign w:val="bottom"/>
            <w:shd w:val="clear" w:color="auto" w:fill="CCEEFF"/>
          </w:tcPr>
          <w:p>
            <w:pPr>
              <w:spacing w:after="0"/>
              <w:rPr>
                <w:sz w:val="14"/>
                <w:szCs w:val="14"/>
                <w:color w:val="auto"/>
              </w:rPr>
            </w:pPr>
          </w:p>
        </w:tc>
        <w:tc>
          <w:tcPr>
            <w:tcW w:w="600" w:type="dxa"/>
            <w:vAlign w:val="bottom"/>
            <w:gridSpan w:val="4"/>
            <w:shd w:val="clear" w:color="auto" w:fill="CCEEFF"/>
          </w:tcPr>
          <w:p>
            <w:pPr>
              <w:jc w:val="right"/>
              <w:ind w:right="20"/>
              <w:spacing w:after="0" w:line="166"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color w:val="auto"/>
                <w:vertAlign w:val="superscript"/>
              </w:rPr>
              <w:t>​</w:t>
            </w:r>
          </w:p>
        </w:tc>
        <w:tc>
          <w:tcPr>
            <w:tcW w:w="320" w:type="dxa"/>
            <w:vAlign w:val="bottom"/>
            <w:gridSpan w:val="2"/>
            <w:shd w:val="clear" w:color="auto" w:fill="CCEEFF"/>
          </w:tcPr>
          <w:p>
            <w:pPr>
              <w:jc w:val="right"/>
              <w:spacing w:after="0" w:line="166"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160" w:type="dxa"/>
            <w:vAlign w:val="bottom"/>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line="166"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color w:val="auto"/>
              </w:rPr>
              <w:t xml:space="preserve"> ​​​</w:t>
            </w:r>
          </w:p>
        </w:tc>
        <w:tc>
          <w:tcPr>
            <w:tcW w:w="80" w:type="dxa"/>
            <w:vAlign w:val="bottom"/>
            <w:tcBorders>
              <w:right w:val="single" w:sz="8" w:color="CCEEFF"/>
            </w:tcBorders>
            <w:shd w:val="clear" w:color="auto" w:fill="CCEEFF"/>
          </w:tcPr>
          <w:p>
            <w:pPr>
              <w:spacing w:after="0"/>
              <w:rPr>
                <w:sz w:val="14"/>
                <w:szCs w:val="14"/>
                <w:color w:val="auto"/>
              </w:rPr>
            </w:pPr>
          </w:p>
        </w:tc>
        <w:tc>
          <w:tcPr>
            <w:tcW w:w="320" w:type="dxa"/>
            <w:vAlign w:val="bottom"/>
            <w:tcBorders>
              <w:right w:val="single" w:sz="8" w:color="CCEEFF"/>
            </w:tcBorders>
            <w:gridSpan w:val="3"/>
            <w:shd w:val="clear" w:color="auto" w:fill="CCEEFF"/>
          </w:tcPr>
          <w:p>
            <w:pPr>
              <w:jc w:val="right"/>
              <w:ind w:right="8"/>
              <w:spacing w:after="0" w:line="166"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440" w:type="dxa"/>
            <w:vAlign w:val="bottom"/>
            <w:tcBorders>
              <w:left w:val="single" w:sz="8" w:color="CCEEFF"/>
              <w:right w:val="single" w:sz="8" w:color="CCEEFF"/>
            </w:tcBorders>
            <w:gridSpan w:val="5"/>
            <w:shd w:val="clear" w:color="auto" w:fill="CCEEFF"/>
          </w:tcPr>
          <w:p>
            <w:pPr>
              <w:jc w:val="right"/>
              <w:spacing w:after="0" w:line="166"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 2,483</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bscript"/>
              </w:rPr>
              <w:t>​​</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gridSpan w:val="3"/>
            <w:shd w:val="clear" w:color="auto" w:fill="CCEEFF"/>
          </w:tcPr>
          <w:p>
            <w:pPr>
              <w:ind w:left="120"/>
              <w:spacing w:after="0" w:line="166"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80" w:type="dxa"/>
            <w:vAlign w:val="bottom"/>
            <w:shd w:val="clear" w:color="auto" w:fill="CCEEFF"/>
          </w:tcPr>
          <w:p>
            <w:pPr>
              <w:spacing w:after="0"/>
              <w:rPr>
                <w:sz w:val="14"/>
                <w:szCs w:val="14"/>
                <w:color w:val="auto"/>
              </w:rPr>
            </w:pPr>
          </w:p>
        </w:tc>
        <w:tc>
          <w:tcPr>
            <w:tcW w:w="340" w:type="dxa"/>
            <w:vAlign w:val="bottom"/>
            <w:tcBorders>
              <w:left w:val="single" w:sz="8" w:color="CCEEFF"/>
            </w:tcBorders>
            <w:gridSpan w:val="5"/>
            <w:shd w:val="clear" w:color="auto" w:fill="CCEEFF"/>
          </w:tcPr>
          <w:p>
            <w:pPr>
              <w:jc w:val="center"/>
              <w:spacing w:after="0" w:line="166"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color w:val="auto"/>
                <w:vertAlign w:val="superscript"/>
              </w:rPr>
              <w:t>​</w:t>
            </w:r>
          </w:p>
        </w:tc>
        <w:tc>
          <w:tcPr>
            <w:tcW w:w="18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3"/>
            <w:shd w:val="clear" w:color="auto" w:fill="CCEEFF"/>
          </w:tcPr>
          <w:p>
            <w:pPr>
              <w:jc w:val="right"/>
              <w:ind w:right="11"/>
              <w:spacing w:after="0" w:line="166"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color w:val="auto"/>
              </w:rPr>
              <w:t xml:space="preserve"> ​​​</w:t>
            </w:r>
          </w:p>
        </w:tc>
        <w:tc>
          <w:tcPr>
            <w:tcW w:w="8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2,483​</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5"/>
        </w:trPr>
        <w:tc>
          <w:tcPr>
            <w:tcW w:w="2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1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jc w:val="right"/>
              <w:ind w:right="38"/>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120" w:type="dxa"/>
            <w:vAlign w:val="bottom"/>
            <w:gridSpan w:val="2"/>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40" w:type="dxa"/>
            <w:vAlign w:val="bottom"/>
            <w:gridSpan w:val="5"/>
          </w:tcPr>
          <w:p>
            <w:pPr>
              <w:jc w:val="right"/>
              <w:ind w:right="149"/>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60" w:type="dxa"/>
            <w:vAlign w:val="bottom"/>
          </w:tcPr>
          <w:p>
            <w:pPr>
              <w:spacing w:after="0"/>
              <w:rPr>
                <w:sz w:val="14"/>
                <w:szCs w:val="14"/>
                <w:color w:val="auto"/>
              </w:rPr>
            </w:pPr>
          </w:p>
        </w:tc>
        <w:tc>
          <w:tcPr>
            <w:tcW w:w="540" w:type="dxa"/>
            <w:vAlign w:val="bottom"/>
            <w:gridSpan w:val="4"/>
          </w:tcPr>
          <w:p>
            <w:pPr>
              <w:jc w:val="right"/>
              <w:ind w:right="151"/>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color w:val="auto"/>
                <w:vertAlign w:val="superscript"/>
              </w:rPr>
              <w:t>​</w:t>
            </w:r>
          </w:p>
        </w:tc>
        <w:tc>
          <w:tcPr>
            <w:tcW w:w="260" w:type="dxa"/>
            <w:vAlign w:val="bottom"/>
            <w:gridSpan w:val="3"/>
          </w:tcPr>
          <w:p>
            <w:pPr>
              <w:jc w:val="right"/>
              <w:ind w:right="19"/>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240" w:type="dxa"/>
            <w:vAlign w:val="bottom"/>
          </w:tcPr>
          <w:p>
            <w:pPr>
              <w:spacing w:after="0"/>
              <w:rPr>
                <w:sz w:val="14"/>
                <w:szCs w:val="14"/>
                <w:color w:val="auto"/>
              </w:rPr>
            </w:pPr>
          </w:p>
        </w:tc>
        <w:tc>
          <w:tcPr>
            <w:tcW w:w="340" w:type="dxa"/>
            <w:vAlign w:val="bottom"/>
            <w:gridSpan w:val="4"/>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color w:val="auto"/>
                <w:vertAlign w:val="superscript"/>
              </w:rPr>
              <w:t>​</w:t>
            </w:r>
          </w:p>
        </w:tc>
        <w:tc>
          <w:tcPr>
            <w:tcW w:w="500" w:type="dxa"/>
            <w:vAlign w:val="bottom"/>
            <w:gridSpan w:val="3"/>
          </w:tcPr>
          <w:p>
            <w:pPr>
              <w:jc w:val="right"/>
              <w:ind w:right="19"/>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20" w:type="dxa"/>
            <w:vAlign w:val="bottom"/>
          </w:tcPr>
          <w:p>
            <w:pPr>
              <w:spacing w:after="0"/>
              <w:rPr>
                <w:sz w:val="14"/>
                <w:szCs w:val="14"/>
                <w:color w:val="auto"/>
              </w:rPr>
            </w:pPr>
          </w:p>
        </w:tc>
        <w:tc>
          <w:tcPr>
            <w:tcW w:w="600" w:type="dxa"/>
            <w:vAlign w:val="bottom"/>
            <w:gridSpan w:val="4"/>
          </w:tcPr>
          <w:p>
            <w:pPr>
              <w:jc w:val="right"/>
              <w:ind w:right="20"/>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color w:val="auto"/>
                <w:vertAlign w:val="superscript"/>
              </w:rPr>
              <w:t>​</w:t>
            </w:r>
          </w:p>
        </w:tc>
        <w:tc>
          <w:tcPr>
            <w:tcW w:w="32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16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color w:val="auto"/>
              </w:rPr>
              <w:t xml:space="preserve"> ​​​</w:t>
            </w:r>
          </w:p>
        </w:tc>
        <w:tc>
          <w:tcPr>
            <w:tcW w:w="80" w:type="dxa"/>
            <w:vAlign w:val="bottom"/>
          </w:tcPr>
          <w:p>
            <w:pPr>
              <w:spacing w:after="0"/>
              <w:rPr>
                <w:sz w:val="14"/>
                <w:szCs w:val="14"/>
                <w:color w:val="auto"/>
              </w:rPr>
            </w:pPr>
          </w:p>
        </w:tc>
        <w:tc>
          <w:tcPr>
            <w:tcW w:w="320" w:type="dxa"/>
            <w:vAlign w:val="bottom"/>
            <w:gridSpan w:val="3"/>
          </w:tcPr>
          <w:p>
            <w:pPr>
              <w:jc w:val="right"/>
              <w:ind w:right="8"/>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80" w:type="dxa"/>
            <w:vAlign w:val="bottom"/>
          </w:tcPr>
          <w:p>
            <w:pPr>
              <w:spacing w:after="0"/>
              <w:rPr>
                <w:sz w:val="14"/>
                <w:szCs w:val="14"/>
                <w:color w:val="auto"/>
              </w:rPr>
            </w:pPr>
          </w:p>
        </w:tc>
        <w:tc>
          <w:tcPr>
            <w:tcW w:w="120" w:type="dxa"/>
            <w:vAlign w:val="bottom"/>
            <w:gridSpan w:val="2"/>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80" w:type="dxa"/>
            <w:vAlign w:val="bottom"/>
          </w:tcPr>
          <w:p>
            <w:pPr>
              <w:spacing w:after="0"/>
              <w:rPr>
                <w:sz w:val="14"/>
                <w:szCs w:val="14"/>
                <w:color w:val="auto"/>
              </w:rPr>
            </w:pPr>
          </w:p>
        </w:tc>
        <w:tc>
          <w:tcPr>
            <w:tcW w:w="24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3"/>
          </w:tcPr>
          <w:p>
            <w:pPr>
              <w:ind w:left="120"/>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80" w:type="dxa"/>
            <w:vAlign w:val="bottom"/>
          </w:tcPr>
          <w:p>
            <w:pPr>
              <w:spacing w:after="0"/>
              <w:rPr>
                <w:sz w:val="14"/>
                <w:szCs w:val="14"/>
                <w:color w:val="auto"/>
              </w:rPr>
            </w:pPr>
          </w:p>
        </w:tc>
        <w:tc>
          <w:tcPr>
            <w:tcW w:w="340" w:type="dxa"/>
            <w:vAlign w:val="bottom"/>
            <w:gridSpan w:val="5"/>
          </w:tcPr>
          <w:p>
            <w:pPr>
              <w:jc w:val="center"/>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color w:val="auto"/>
                <w:vertAlign w:val="superscript"/>
              </w:rPr>
              <w:t>​</w:t>
            </w:r>
          </w:p>
        </w:tc>
        <w:tc>
          <w:tcPr>
            <w:tcW w:w="580" w:type="dxa"/>
            <w:vAlign w:val="bottom"/>
            <w:gridSpan w:val="4"/>
          </w:tcPr>
          <w:p>
            <w:pPr>
              <w:jc w:val="right"/>
              <w:ind w:right="11"/>
              <w:spacing w:after="0" w:line="165" w:lineRule="exact"/>
              <w:rPr>
                <w:sz w:val="20"/>
                <w:szCs w:val="20"/>
                <w:color w:val="auto"/>
              </w:rPr>
            </w:pPr>
            <w:r>
              <w:rPr>
                <w:rFonts w:ascii="Times New Roman" w:cs="Times New Roman" w:eastAsia="Times New Roman" w:hAnsi="Times New Roman"/>
                <w:sz w:val="10"/>
                <w:szCs w:val="10"/>
                <w:color w:val="auto"/>
              </w:rPr>
              <w:t>(65,777)</w:t>
            </w:r>
            <w:r>
              <w:rPr>
                <w:rFonts w:ascii="Times New Roman" w:cs="Times New Roman" w:eastAsia="Times New Roman" w:hAnsi="Times New Roman"/>
                <w:sz w:val="19"/>
                <w:szCs w:val="19"/>
                <w:color w:val="auto"/>
                <w:vertAlign w:val="subscript"/>
              </w:rPr>
              <w:t>​​​</w:t>
            </w:r>
          </w:p>
        </w:tc>
        <w:tc>
          <w:tcPr>
            <w:tcW w:w="80" w:type="dxa"/>
            <w:vAlign w:val="bottom"/>
            <w:gridSpan w:val="2"/>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8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0"/>
                <w:szCs w:val="10"/>
                <w:color w:val="auto"/>
              </w:rPr>
              <w:t>(65,777)</w:t>
            </w:r>
            <w:r>
              <w:rPr>
                <w:rFonts w:ascii="Times New Roman" w:cs="Times New Roman" w:eastAsia="Times New Roman" w:hAnsi="Times New Roman"/>
                <w:sz w:val="19"/>
                <w:szCs w:val="19"/>
                <w:color w:val="auto"/>
                <w:vertAlign w:val="subscript"/>
              </w:rPr>
              <w:t>​</w:t>
            </w:r>
          </w:p>
        </w:tc>
        <w:tc>
          <w:tcPr>
            <w:tcW w:w="0" w:type="dxa"/>
            <w:vAlign w:val="bottom"/>
          </w:tcPr>
          <w:p>
            <w:pPr>
              <w:spacing w:after="0"/>
              <w:rPr>
                <w:sz w:val="1"/>
                <w:szCs w:val="1"/>
                <w:color w:val="auto"/>
              </w:rPr>
            </w:pPr>
          </w:p>
        </w:tc>
      </w:tr>
      <w:tr>
        <w:trPr>
          <w:trHeight w:val="121"/>
        </w:trPr>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Foreign currency translation adjustment</w:t>
            </w:r>
          </w:p>
        </w:tc>
        <w:tc>
          <w:tcPr>
            <w:tcW w:w="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right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22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right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left w:val="single" w:sz="8" w:color="CCEEFF"/>
              <w:right w:val="single" w:sz="8" w:color="CCEEFF"/>
            </w:tcBorders>
            <w:shd w:val="clear" w:color="auto" w:fill="CCEEFF"/>
          </w:tcPr>
          <w:p>
            <w:pPr>
              <w:spacing w:after="0"/>
              <w:rPr>
                <w:sz w:val="10"/>
                <w:szCs w:val="10"/>
                <w:color w:val="auto"/>
              </w:rPr>
            </w:pPr>
          </w:p>
        </w:tc>
        <w:tc>
          <w:tcPr>
            <w:tcW w:w="3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
                <w:szCs w:val="1"/>
                <w:color w:val="auto"/>
                <w:w w:val="4294942296"/>
              </w:rPr>
              <w:t>​</w:t>
            </w:r>
          </w:p>
        </w:tc>
        <w:tc>
          <w:tcPr>
            <w:tcW w:w="240" w:type="dxa"/>
            <w:vAlign w:val="bottom"/>
            <w:gridSpan w:val="3"/>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right w:val="single" w:sz="8" w:color="CCEEFF"/>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left w:val="single" w:sz="8" w:color="CCEEFF"/>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
                <w:szCs w:val="1"/>
                <w:color w:val="auto"/>
                <w:w w:val="4294942296"/>
              </w:rPr>
              <w:t>​</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left w:val="single" w:sz="8" w:color="CCEEFF"/>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
                <w:szCs w:val="1"/>
                <w:color w:val="auto"/>
                <w:w w:val="4294942296"/>
              </w:rPr>
              <w:t>​</w:t>
            </w:r>
          </w:p>
        </w:tc>
        <w:tc>
          <w:tcPr>
            <w:tcW w:w="36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left w:val="single" w:sz="8" w:color="CCEEFF"/>
            </w:tcBorders>
            <w:gridSpan w:val="4"/>
            <w:shd w:val="clear" w:color="auto" w:fill="CCEEFF"/>
          </w:tcPr>
          <w:p>
            <w:pPr>
              <w:jc w:val="right"/>
              <w:ind w:right="28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95"/>
              </w:rPr>
              <w:t>​ —​</w:t>
            </w:r>
          </w:p>
        </w:tc>
        <w:tc>
          <w:tcPr>
            <w:tcW w:w="80" w:type="dxa"/>
            <w:vAlign w:val="bottom"/>
            <w:shd w:val="clear" w:color="auto" w:fill="CCEEFF"/>
          </w:tcPr>
          <w:p>
            <w:pPr>
              <w:spacing w:after="0"/>
              <w:rPr>
                <w:sz w:val="10"/>
                <w:szCs w:val="10"/>
                <w:color w:val="auto"/>
              </w:rPr>
            </w:pPr>
          </w:p>
        </w:tc>
        <w:tc>
          <w:tcPr>
            <w:tcW w:w="60" w:type="dxa"/>
            <w:vAlign w:val="bottom"/>
            <w:tcBorders>
              <w:lef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
                <w:szCs w:val="1"/>
                <w:color w:val="auto"/>
                <w:w w:val="4294942296"/>
              </w:rPr>
              <w:t>​</w:t>
            </w:r>
          </w:p>
        </w:tc>
        <w:tc>
          <w:tcPr>
            <w:tcW w:w="240" w:type="dxa"/>
            <w:vAlign w:val="bottom"/>
            <w:tcBorders>
              <w:right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3"/>
            <w:shd w:val="clear" w:color="auto" w:fill="CCEEFF"/>
          </w:tcPr>
          <w:p>
            <w:pPr>
              <w:spacing w:after="0"/>
              <w:rPr>
                <w:sz w:val="10"/>
                <w:szCs w:val="10"/>
                <w:color w:val="auto"/>
              </w:rPr>
            </w:pPr>
          </w:p>
        </w:tc>
        <w:tc>
          <w:tcPr>
            <w:tcW w:w="1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left w:val="single" w:sz="8" w:color="CCEEFF"/>
            </w:tcBorders>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67​</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right w:val="single" w:sz="8" w:color="CCEEFF"/>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55"/>
        </w:trPr>
        <w:tc>
          <w:tcPr>
            <w:tcW w:w="27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6"/>
                <w:szCs w:val="6"/>
                <w:color w:val="auto"/>
              </w:rPr>
              <w:t>​​​</w:t>
            </w:r>
          </w:p>
        </w:tc>
        <w:tc>
          <w:tcPr>
            <w:tcW w:w="160" w:type="dxa"/>
            <w:vAlign w:val="bottom"/>
            <w:tcBorders>
              <w:right w:val="single" w:sz="8" w:color="CCEEFF"/>
            </w:tcBorders>
            <w:shd w:val="clear" w:color="auto" w:fill="CCEEFF"/>
          </w:tcPr>
          <w:p>
            <w:pPr>
              <w:jc w:val="right"/>
              <w:ind w:right="38"/>
              <w:spacing w:after="0" w:line="55"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shd w:val="clear" w:color="auto" w:fill="CCEEFF"/>
          </w:tcPr>
          <w:p>
            <w:pPr>
              <w:spacing w:after="0"/>
              <w:rPr>
                <w:sz w:val="4"/>
                <w:szCs w:val="4"/>
                <w:color w:val="auto"/>
              </w:rPr>
            </w:pPr>
          </w:p>
        </w:tc>
        <w:tc>
          <w:tcPr>
            <w:tcW w:w="7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6"/>
                <w:szCs w:val="6"/>
                <w:color w:val="auto"/>
              </w:rPr>
              <w:t>​​​​</w:t>
            </w:r>
          </w:p>
        </w:tc>
        <w:tc>
          <w:tcPr>
            <w:tcW w:w="360" w:type="dxa"/>
            <w:vAlign w:val="bottom"/>
            <w:tcBorders>
              <w:right w:val="single" w:sz="8" w:color="CCEEFF"/>
            </w:tcBorders>
            <w:gridSpan w:val="2"/>
            <w:shd w:val="clear" w:color="auto" w:fill="CCEEFF"/>
          </w:tcPr>
          <w:p>
            <w:pPr>
              <w:jc w:val="right"/>
              <w:ind w:right="211"/>
              <w:spacing w:after="0" w:line="55"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tcBorders>
              <w:right w:val="single" w:sz="8" w:color="CCEEFF"/>
            </w:tcBorders>
            <w:shd w:val="clear" w:color="auto" w:fill="CCEEFF"/>
          </w:tcPr>
          <w:p>
            <w:pPr>
              <w:spacing w:after="0"/>
              <w:rPr>
                <w:sz w:val="4"/>
                <w:szCs w:val="4"/>
                <w:color w:val="auto"/>
              </w:rPr>
            </w:pPr>
          </w:p>
        </w:tc>
        <w:tc>
          <w:tcPr>
            <w:tcW w:w="540" w:type="dxa"/>
            <w:vAlign w:val="bottom"/>
            <w:tcBorders>
              <w:left w:val="single" w:sz="8" w:color="CCEEFF"/>
              <w:right w:val="single" w:sz="8" w:color="CCEEFF"/>
            </w:tcBorders>
            <w:gridSpan w:val="5"/>
            <w:shd w:val="clear" w:color="auto" w:fill="CCEEFF"/>
          </w:tcPr>
          <w:p>
            <w:pPr>
              <w:jc w:val="right"/>
              <w:ind w:right="397"/>
              <w:spacing w:after="0" w:line="55"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Borders>
              <w:left w:val="single" w:sz="8" w:color="CCEEFF"/>
              <w:right w:val="single" w:sz="8" w:color="CCEEFF"/>
            </w:tcBorders>
            <w:gridSpan w:val="3"/>
            <w:shd w:val="clear" w:color="auto" w:fill="CCEEFF"/>
          </w:tcPr>
          <w:p>
            <w:pPr>
              <w:spacing w:after="0" w:line="55" w:lineRule="exact"/>
              <w:rPr>
                <w:sz w:val="20"/>
                <w:szCs w:val="20"/>
                <w:color w:val="auto"/>
              </w:rPr>
            </w:pPr>
            <w:r>
              <w:rPr>
                <w:rFonts w:ascii="Times New Roman" w:cs="Times New Roman" w:eastAsia="Times New Roman" w:hAnsi="Times New Roman"/>
                <w:sz w:val="6"/>
                <w:szCs w:val="6"/>
                <w:color w:val="auto"/>
              </w:rPr>
              <w:t>​​​​</w:t>
            </w:r>
          </w:p>
        </w:tc>
        <w:tc>
          <w:tcPr>
            <w:tcW w:w="640" w:type="dxa"/>
            <w:vAlign w:val="bottom"/>
            <w:tcBorders>
              <w:left w:val="single" w:sz="8" w:color="CCEEFF"/>
              <w:right w:val="single" w:sz="8" w:color="CCEEFF"/>
            </w:tcBorders>
            <w:gridSpan w:val="5"/>
            <w:shd w:val="clear" w:color="auto" w:fill="CCEEFF"/>
          </w:tcPr>
          <w:p>
            <w:pPr>
              <w:jc w:val="center"/>
              <w:ind w:right="464"/>
              <w:spacing w:after="0" w:line="55"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Borders>
              <w:left w:val="single" w:sz="8" w:color="CCEEFF"/>
              <w:right w:val="single" w:sz="8" w:color="CCEEFF"/>
            </w:tcBorders>
            <w:shd w:val="clear" w:color="auto" w:fill="CCEEFF"/>
          </w:tcPr>
          <w:p>
            <w:pPr>
              <w:spacing w:after="0" w:line="55" w:lineRule="exact"/>
              <w:rPr>
                <w:sz w:val="20"/>
                <w:szCs w:val="20"/>
                <w:color w:val="auto"/>
              </w:rPr>
            </w:pPr>
            <w:r>
              <w:rPr>
                <w:rFonts w:ascii="Times New Roman" w:cs="Times New Roman" w:eastAsia="Times New Roman" w:hAnsi="Times New Roman"/>
                <w:sz w:val="6"/>
                <w:szCs w:val="6"/>
                <w:color w:val="auto"/>
              </w:rPr>
              <w:t>​​​​</w:t>
            </w:r>
          </w:p>
        </w:tc>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6"/>
                <w:szCs w:val="6"/>
                <w:color w:val="auto"/>
              </w:rPr>
              <w:t>​​</w:t>
            </w:r>
          </w:p>
        </w:tc>
        <w:tc>
          <w:tcPr>
            <w:tcW w:w="560" w:type="dxa"/>
            <w:vAlign w:val="bottom"/>
            <w:tcBorders>
              <w:right w:val="single" w:sz="8" w:color="CCEEFF"/>
            </w:tcBorders>
            <w:gridSpan w:val="6"/>
            <w:shd w:val="clear" w:color="auto" w:fill="CCEEFF"/>
          </w:tcPr>
          <w:p>
            <w:pPr>
              <w:ind w:left="20"/>
              <w:spacing w:after="0" w:line="55"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tcBorders>
              <w:left w:val="single" w:sz="8" w:color="CCEEFF"/>
            </w:tcBorders>
            <w:vMerge w:val="continue"/>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rPr>
                <w:sz w:val="4"/>
                <w:szCs w:val="4"/>
                <w:color w:val="auto"/>
              </w:rPr>
            </w:pPr>
          </w:p>
        </w:tc>
        <w:tc>
          <w:tcPr>
            <w:tcW w:w="10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60" w:type="dxa"/>
            <w:vAlign w:val="bottom"/>
            <w:tcBorders>
              <w:left w:val="single" w:sz="8" w:color="CCEEFF"/>
              <w:right w:val="single" w:sz="8" w:color="CCEEFF"/>
            </w:tcBorders>
            <w:shd w:val="clear" w:color="auto" w:fill="CCEEFF"/>
          </w:tcPr>
          <w:p>
            <w:pPr>
              <w:jc w:val="right"/>
              <w:ind w:right="8"/>
              <w:spacing w:after="0" w:line="55"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shd w:val="clear" w:color="auto" w:fill="CCEEFF"/>
          </w:tcPr>
          <w:p>
            <w:pPr>
              <w:spacing w:after="0"/>
              <w:rPr>
                <w:sz w:val="4"/>
                <w:szCs w:val="4"/>
                <w:color w:val="auto"/>
              </w:rPr>
            </w:pPr>
          </w:p>
        </w:tc>
        <w:tc>
          <w:tcPr>
            <w:tcW w:w="60" w:type="dxa"/>
            <w:vAlign w:val="bottom"/>
            <w:tcBorders>
              <w:left w:val="single" w:sz="8" w:color="CCEEFF"/>
            </w:tcBorders>
            <w:vMerge w:val="continue"/>
            <w:shd w:val="clear" w:color="auto" w:fill="CCEEFF"/>
          </w:tcPr>
          <w:p>
            <w:pPr>
              <w:spacing w:after="0"/>
              <w:rPr>
                <w:sz w:val="4"/>
                <w:szCs w:val="4"/>
                <w:color w:val="auto"/>
              </w:rPr>
            </w:pPr>
          </w:p>
        </w:tc>
        <w:tc>
          <w:tcPr>
            <w:tcW w:w="38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6"/>
                <w:szCs w:val="6"/>
                <w:color w:val="auto"/>
              </w:rPr>
              <w:t>​​​</w:t>
            </w:r>
          </w:p>
        </w:tc>
        <w:tc>
          <w:tcPr>
            <w:tcW w:w="240" w:type="dxa"/>
            <w:vAlign w:val="bottom"/>
            <w:gridSpan w:val="3"/>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120" w:type="dxa"/>
            <w:vAlign w:val="bottom"/>
            <w:gridSpan w:val="2"/>
            <w:shd w:val="clear" w:color="auto" w:fill="CCEEFF"/>
          </w:tcPr>
          <w:p>
            <w:pPr>
              <w:spacing w:after="0"/>
              <w:rPr>
                <w:sz w:val="4"/>
                <w:szCs w:val="4"/>
                <w:color w:val="auto"/>
              </w:rPr>
            </w:pPr>
          </w:p>
        </w:tc>
        <w:tc>
          <w:tcPr>
            <w:tcW w:w="24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vMerge w:val="continue"/>
            <w:shd w:val="clear" w:color="auto" w:fill="CCEEFF"/>
          </w:tcPr>
          <w:p>
            <w:pPr>
              <w:spacing w:after="0"/>
              <w:rPr>
                <w:sz w:val="4"/>
                <w:szCs w:val="4"/>
                <w:color w:val="auto"/>
              </w:rPr>
            </w:pPr>
          </w:p>
        </w:tc>
        <w:tc>
          <w:tcPr>
            <w:tcW w:w="500" w:type="dxa"/>
            <w:vAlign w:val="bottom"/>
            <w:gridSpan w:val="4"/>
            <w:shd w:val="clear" w:color="auto" w:fill="CCEEFF"/>
          </w:tcPr>
          <w:p>
            <w:pPr>
              <w:spacing w:after="0"/>
              <w:rPr>
                <w:sz w:val="4"/>
                <w:szCs w:val="4"/>
                <w:color w:val="auto"/>
              </w:rPr>
            </w:pPr>
          </w:p>
        </w:tc>
        <w:tc>
          <w:tcPr>
            <w:tcW w:w="140" w:type="dxa"/>
            <w:vAlign w:val="bottom"/>
            <w:tcBorders>
              <w:left w:val="single" w:sz="8" w:color="CCEEFF"/>
              <w:right w:val="single" w:sz="8" w:color="CCEEFF"/>
            </w:tcBorders>
            <w:vMerge w:val="continue"/>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480" w:type="dxa"/>
            <w:vAlign w:val="bottom"/>
            <w:gridSpan w:val="2"/>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540" w:type="dxa"/>
            <w:vAlign w:val="bottom"/>
            <w:tcBorders>
              <w:left w:val="single" w:sz="8" w:color="auto"/>
              <w:right w:val="single" w:sz="8" w:color="CCEEFF"/>
            </w:tcBorders>
            <w:gridSpan w:val="4"/>
            <w:shd w:val="clear" w:color="auto" w:fill="000000"/>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gridSpan w:val="5"/>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30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Balance at June 30, 2024</w:t>
            </w:r>
          </w:p>
        </w:tc>
        <w:tc>
          <w:tcPr>
            <w:tcW w:w="80" w:type="dxa"/>
            <w:vAlign w:val="bottom"/>
          </w:tcPr>
          <w:p>
            <w:pPr>
              <w:spacing w:after="0"/>
              <w:rPr>
                <w:sz w:val="9"/>
                <w:szCs w:val="9"/>
                <w:color w:val="auto"/>
              </w:rPr>
            </w:pPr>
          </w:p>
        </w:tc>
        <w:tc>
          <w:tcPr>
            <w:tcW w:w="560" w:type="dxa"/>
            <w:vAlign w:val="bottom"/>
            <w:gridSpan w:val="5"/>
          </w:tcPr>
          <w:p>
            <w:pPr>
              <w:jc w:val="right"/>
              <w:ind w:right="78"/>
              <w:spacing w:after="0" w:line="112" w:lineRule="exact"/>
              <w:rPr>
                <w:sz w:val="20"/>
                <w:szCs w:val="20"/>
                <w:color w:val="auto"/>
              </w:rPr>
            </w:pPr>
            <w:r>
              <w:rPr>
                <w:rFonts w:ascii="Times New Roman" w:cs="Times New Roman" w:eastAsia="Times New Roman" w:hAnsi="Times New Roman"/>
                <w:sz w:val="7"/>
                <w:szCs w:val="7"/>
                <w:color w:val="auto"/>
              </w:rPr>
              <w:t>​1,785,714</w:t>
            </w:r>
            <w:r>
              <w:rPr>
                <w:rFonts w:ascii="Times New Roman" w:cs="Times New Roman" w:eastAsia="Times New Roman" w:hAnsi="Times New Roman"/>
                <w:sz w:val="12"/>
                <w:szCs w:val="12"/>
                <w:color w:val="auto"/>
                <w:vertAlign w:val="subscript"/>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60" w:type="dxa"/>
            <w:vAlign w:val="bottom"/>
          </w:tcPr>
          <w:p>
            <w:pPr>
              <w:spacing w:after="0"/>
              <w:rPr>
                <w:sz w:val="9"/>
                <w:szCs w:val="9"/>
                <w:color w:val="auto"/>
              </w:rPr>
            </w:pPr>
          </w:p>
        </w:tc>
        <w:tc>
          <w:tcPr>
            <w:tcW w:w="220" w:type="dxa"/>
            <w:vAlign w:val="bottom"/>
            <w:gridSpan w:val="3"/>
          </w:tcPr>
          <w:p>
            <w:pPr>
              <w:jc w:val="right"/>
              <w:ind w:right="1"/>
              <w:spacing w:after="0" w:line="112" w:lineRule="exact"/>
              <w:rPr>
                <w:sz w:val="20"/>
                <w:szCs w:val="20"/>
                <w:color w:val="auto"/>
              </w:rPr>
            </w:pPr>
            <w:r>
              <w:rPr>
                <w:rFonts w:ascii="Times New Roman" w:cs="Times New Roman" w:eastAsia="Times New Roman" w:hAnsi="Times New Roman"/>
                <w:sz w:val="7"/>
                <w:szCs w:val="7"/>
                <w:color w:val="auto"/>
              </w:rPr>
              <w:t>956</w:t>
            </w:r>
            <w:r>
              <w:rPr>
                <w:rFonts w:ascii="Times New Roman" w:cs="Times New Roman" w:eastAsia="Times New Roman" w:hAnsi="Times New Roman"/>
                <w:sz w:val="12"/>
                <w:szCs w:val="12"/>
                <w:color w:val="auto"/>
                <w:vertAlign w:val="subscript"/>
              </w:rPr>
              <w:t>​</w:t>
            </w:r>
          </w:p>
        </w:tc>
        <w:tc>
          <w:tcPr>
            <w:tcW w:w="540" w:type="dxa"/>
            <w:vAlign w:val="bottom"/>
            <w:gridSpan w:val="6"/>
          </w:tcPr>
          <w:p>
            <w:pPr>
              <w:jc w:val="right"/>
              <w:ind w:right="5"/>
              <w:spacing w:after="0" w:line="112" w:lineRule="exact"/>
              <w:rPr>
                <w:sz w:val="20"/>
                <w:szCs w:val="20"/>
                <w:color w:val="auto"/>
              </w:rPr>
            </w:pPr>
            <w:r>
              <w:rPr>
                <w:rFonts w:ascii="Times New Roman" w:cs="Times New Roman" w:eastAsia="Times New Roman" w:hAnsi="Times New Roman"/>
                <w:sz w:val="7"/>
                <w:szCs w:val="7"/>
                <w:color w:val="auto"/>
              </w:rPr>
              <w:t>​17,589,380</w:t>
            </w:r>
            <w:r>
              <w:rPr>
                <w:rFonts w:ascii="Times New Roman" w:cs="Times New Roman" w:eastAsia="Times New Roman" w:hAnsi="Times New Roman"/>
                <w:sz w:val="12"/>
                <w:szCs w:val="12"/>
                <w:color w:val="auto"/>
                <w:vertAlign w:val="subscript"/>
              </w:rPr>
              <w:t>​</w:t>
            </w:r>
          </w:p>
        </w:tc>
        <w:tc>
          <w:tcPr>
            <w:tcW w:w="400" w:type="dxa"/>
            <w:vAlign w:val="bottom"/>
            <w:gridSpan w:val="2"/>
          </w:tcPr>
          <w:p>
            <w:pPr>
              <w:jc w:val="right"/>
              <w:spacing w:after="0" w:line="112" w:lineRule="exact"/>
              <w:rPr>
                <w:sz w:val="20"/>
                <w:szCs w:val="20"/>
                <w:color w:val="auto"/>
              </w:rPr>
            </w:pPr>
            <w:r>
              <w:rPr>
                <w:rFonts w:ascii="Times New Roman" w:cs="Times New Roman" w:eastAsia="Times New Roman" w:hAnsi="Times New Roman"/>
                <w:sz w:val="7"/>
                <w:szCs w:val="7"/>
                <w:color w:val="auto"/>
              </w:rPr>
              <w:t>$ 55,840</w:t>
            </w:r>
            <w:r>
              <w:rPr>
                <w:rFonts w:ascii="Times New Roman" w:cs="Times New Roman" w:eastAsia="Times New Roman" w:hAnsi="Times New Roman"/>
                <w:sz w:val="12"/>
                <w:szCs w:val="12"/>
                <w:color w:val="auto"/>
                <w:vertAlign w:val="subscript"/>
              </w:rPr>
              <w:t>​</w:t>
            </w:r>
          </w:p>
        </w:tc>
        <w:tc>
          <w:tcPr>
            <w:tcW w:w="80" w:type="dxa"/>
            <w:vAlign w:val="bottom"/>
          </w:tcPr>
          <w:p>
            <w:pPr>
              <w:spacing w:after="0"/>
              <w:rPr>
                <w:sz w:val="9"/>
                <w:szCs w:val="9"/>
                <w:color w:val="auto"/>
              </w:rPr>
            </w:pPr>
          </w:p>
        </w:tc>
        <w:tc>
          <w:tcPr>
            <w:tcW w:w="540" w:type="dxa"/>
            <w:vAlign w:val="bottom"/>
            <w:gridSpan w:val="5"/>
          </w:tcPr>
          <w:p>
            <w:pPr>
              <w:jc w:val="right"/>
              <w:ind w:right="25"/>
              <w:spacing w:after="0" w:line="112" w:lineRule="exact"/>
              <w:rPr>
                <w:sz w:val="20"/>
                <w:szCs w:val="20"/>
                <w:color w:val="auto"/>
              </w:rPr>
            </w:pPr>
            <w:r>
              <w:rPr>
                <w:rFonts w:ascii="Times New Roman" w:cs="Times New Roman" w:eastAsia="Times New Roman" w:hAnsi="Times New Roman"/>
                <w:sz w:val="7"/>
                <w:szCs w:val="7"/>
                <w:color w:val="auto"/>
              </w:rPr>
              <w:t>​81,242,587</w:t>
            </w:r>
            <w:r>
              <w:rPr>
                <w:rFonts w:ascii="Times New Roman" w:cs="Times New Roman" w:eastAsia="Times New Roman" w:hAnsi="Times New Roman"/>
                <w:sz w:val="12"/>
                <w:szCs w:val="12"/>
                <w:color w:val="auto"/>
                <w:vertAlign w:val="subscript"/>
              </w:rPr>
              <w:t>​</w:t>
            </w:r>
          </w:p>
        </w:tc>
        <w:tc>
          <w:tcPr>
            <w:tcW w:w="520" w:type="dxa"/>
            <w:vAlign w:val="bottom"/>
            <w:gridSpan w:val="3"/>
          </w:tcPr>
          <w:p>
            <w:pPr>
              <w:jc w:val="right"/>
              <w:ind w:right="33"/>
              <w:spacing w:after="0" w:line="112" w:lineRule="exact"/>
              <w:rPr>
                <w:sz w:val="20"/>
                <w:szCs w:val="20"/>
                <w:color w:val="auto"/>
              </w:rPr>
            </w:pPr>
            <w:r>
              <w:rPr>
                <w:rFonts w:ascii="Times New Roman" w:cs="Times New Roman" w:eastAsia="Times New Roman" w:hAnsi="Times New Roman"/>
                <w:sz w:val="7"/>
                <w:szCs w:val="7"/>
                <w:color w:val="auto"/>
              </w:rPr>
              <w:t>$  193,290</w:t>
            </w:r>
            <w:r>
              <w:rPr>
                <w:rFonts w:ascii="Times New Roman" w:cs="Times New Roman" w:eastAsia="Times New Roman" w:hAnsi="Times New Roman"/>
                <w:sz w:val="12"/>
                <w:szCs w:val="12"/>
                <w:color w:val="auto"/>
                <w:vertAlign w:val="subscript"/>
              </w:rPr>
              <w:t>​</w:t>
            </w:r>
          </w:p>
        </w:tc>
        <w:tc>
          <w:tcPr>
            <w:tcW w:w="540" w:type="dxa"/>
            <w:vAlign w:val="bottom"/>
            <w:gridSpan w:val="4"/>
          </w:tcPr>
          <w:p>
            <w:pPr>
              <w:jc w:val="right"/>
              <w:spacing w:after="0" w:line="112" w:lineRule="exact"/>
              <w:rPr>
                <w:sz w:val="20"/>
                <w:szCs w:val="20"/>
                <w:color w:val="auto"/>
              </w:rPr>
            </w:pPr>
            <w:r>
              <w:rPr>
                <w:rFonts w:ascii="Times New Roman" w:cs="Times New Roman" w:eastAsia="Times New Roman" w:hAnsi="Times New Roman"/>
                <w:sz w:val="7"/>
                <w:szCs w:val="7"/>
                <w:color w:val="auto"/>
              </w:rPr>
              <w:t>​116,275,239</w:t>
            </w:r>
            <w:r>
              <w:rPr>
                <w:rFonts w:ascii="Times New Roman" w:cs="Times New Roman" w:eastAsia="Times New Roman" w:hAnsi="Times New Roman"/>
                <w:sz w:val="12"/>
                <w:szCs w:val="12"/>
                <w:color w:val="auto"/>
                <w:vertAlign w:val="subscript"/>
              </w:rPr>
              <w:t>​</w:t>
            </w:r>
          </w:p>
        </w:tc>
        <w:tc>
          <w:tcPr>
            <w:tcW w:w="480" w:type="dxa"/>
            <w:vAlign w:val="bottom"/>
            <w:gridSpan w:val="4"/>
          </w:tcPr>
          <w:p>
            <w:pPr>
              <w:ind w:left="60"/>
              <w:spacing w:after="0" w:line="112" w:lineRule="exact"/>
              <w:rPr>
                <w:sz w:val="20"/>
                <w:szCs w:val="20"/>
                <w:color w:val="auto"/>
              </w:rPr>
            </w:pPr>
            <w:r>
              <w:rPr>
                <w:rFonts w:ascii="Times New Roman" w:cs="Times New Roman" w:eastAsia="Times New Roman" w:hAnsi="Times New Roman"/>
                <w:sz w:val="7"/>
                <w:szCs w:val="7"/>
                <w:u w:val="single" w:color="auto"/>
                <w:color w:val="auto"/>
              </w:rPr>
              <w:t>$</w:t>
            </w:r>
            <w:r>
              <w:rPr>
                <w:rFonts w:ascii="Times New Roman" w:cs="Times New Roman" w:eastAsia="Times New Roman" w:hAnsi="Times New Roman"/>
                <w:sz w:val="7"/>
                <w:szCs w:val="7"/>
                <w:color w:val="auto"/>
              </w:rPr>
              <w:t>199,526</w:t>
            </w:r>
            <w:r>
              <w:rPr>
                <w:rFonts w:ascii="Times New Roman" w:cs="Times New Roman" w:eastAsia="Times New Roman" w:hAnsi="Times New Roman"/>
                <w:sz w:val="12"/>
                <w:szCs w:val="12"/>
                <w:color w:val="auto"/>
                <w:vertAlign w:val="subscript"/>
              </w:rPr>
              <w:t>​</w:t>
            </w:r>
          </w:p>
        </w:tc>
        <w:tc>
          <w:tcPr>
            <w:tcW w:w="40" w:type="dxa"/>
            <w:vAlign w:val="bottom"/>
          </w:tcPr>
          <w:p>
            <w:pPr>
              <w:spacing w:after="0"/>
              <w:rPr>
                <w:sz w:val="9"/>
                <w:szCs w:val="9"/>
                <w:color w:val="auto"/>
              </w:rPr>
            </w:pPr>
          </w:p>
        </w:tc>
        <w:tc>
          <w:tcPr>
            <w:tcW w:w="520" w:type="dxa"/>
            <w:vAlign w:val="bottom"/>
            <w:gridSpan w:val="5"/>
          </w:tcPr>
          <w:p>
            <w:pPr>
              <w:jc w:val="right"/>
              <w:spacing w:after="0" w:line="112" w:lineRule="exact"/>
              <w:rPr>
                <w:sz w:val="20"/>
                <w:szCs w:val="20"/>
                <w:color w:val="auto"/>
              </w:rPr>
            </w:pPr>
            <w:r>
              <w:rPr>
                <w:rFonts w:ascii="Times New Roman" w:cs="Times New Roman" w:eastAsia="Times New Roman" w:hAnsi="Times New Roman"/>
                <w:sz w:val="10"/>
                <w:szCs w:val="10"/>
                <w:color w:val="auto"/>
              </w:rPr>
              <w:t>​13,705,292​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9"/>
                <w:szCs w:val="9"/>
                <w:color w:val="auto"/>
              </w:rPr>
            </w:pPr>
          </w:p>
        </w:tc>
        <w:tc>
          <w:tcPr>
            <w:tcW w:w="160" w:type="dxa"/>
            <w:vAlign w:val="bottom"/>
          </w:tcPr>
          <w:p>
            <w:pPr>
              <w:jc w:val="right"/>
              <w:ind w:right="48"/>
              <w:spacing w:after="0" w:line="112" w:lineRule="exact"/>
              <w:rPr>
                <w:sz w:val="20"/>
                <w:szCs w:val="20"/>
                <w:color w:val="auto"/>
              </w:rPr>
            </w:pPr>
            <w:r>
              <w:rPr>
                <w:rFonts w:ascii="Times New Roman" w:cs="Times New Roman" w:eastAsia="Times New Roman" w:hAnsi="Times New Roman"/>
                <w:sz w:val="12"/>
                <w:szCs w:val="12"/>
                <w:color w:val="auto"/>
                <w:vertAlign w:val="superscript"/>
              </w:rPr>
              <w:t>1</w:t>
            </w: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40" w:type="dxa"/>
            <w:vAlign w:val="bottom"/>
            <w:gridSpan w:val="5"/>
          </w:tcPr>
          <w:p>
            <w:pPr>
              <w:spacing w:after="0" w:line="112" w:lineRule="exact"/>
              <w:rPr>
                <w:sz w:val="20"/>
                <w:szCs w:val="20"/>
                <w:color w:val="auto"/>
              </w:rPr>
            </w:pPr>
            <w:r>
              <w:rPr>
                <w:rFonts w:ascii="Times New Roman" w:cs="Times New Roman" w:eastAsia="Times New Roman" w:hAnsi="Times New Roman"/>
                <w:sz w:val="7"/>
                <w:szCs w:val="7"/>
                <w:color w:val="auto"/>
              </w:rPr>
              <w:t>$   7,293</w:t>
            </w:r>
            <w:r>
              <w:rPr>
                <w:rFonts w:ascii="Times New Roman" w:cs="Times New Roman" w:eastAsia="Times New Roman" w:hAnsi="Times New Roman"/>
                <w:sz w:val="12"/>
                <w:szCs w:val="12"/>
                <w:color w:val="auto"/>
                <w:vertAlign w:val="subscript"/>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gridSpan w:val="5"/>
          </w:tcPr>
          <w:p>
            <w:pPr>
              <w:jc w:val="right"/>
              <w:spacing w:after="0" w:line="112" w:lineRule="exact"/>
              <w:rPr>
                <w:sz w:val="20"/>
                <w:szCs w:val="20"/>
                <w:color w:val="auto"/>
              </w:rPr>
            </w:pPr>
            <w:r>
              <w:rPr>
                <w:rFonts w:ascii="Times New Roman" w:cs="Times New Roman" w:eastAsia="Times New Roman" w:hAnsi="Times New Roman"/>
                <w:sz w:val="7"/>
                <w:szCs w:val="7"/>
                <w:color w:val="auto"/>
              </w:rPr>
              <w:t>$   104</w:t>
            </w:r>
            <w:r>
              <w:rPr>
                <w:rFonts w:ascii="Times New Roman" w:cs="Times New Roman" w:eastAsia="Times New Roman" w:hAnsi="Times New Roman"/>
                <w:sz w:val="12"/>
                <w:szCs w:val="12"/>
                <w:color w:val="auto"/>
                <w:vertAlign w:val="subscript"/>
              </w:rPr>
              <w:t>​</w:t>
            </w:r>
          </w:p>
        </w:tc>
        <w:tc>
          <w:tcPr>
            <w:tcW w:w="60" w:type="dxa"/>
            <w:vAlign w:val="bottom"/>
          </w:tcPr>
          <w:p>
            <w:pPr>
              <w:spacing w:after="0"/>
              <w:rPr>
                <w:sz w:val="9"/>
                <w:szCs w:val="9"/>
                <w:color w:val="auto"/>
              </w:rPr>
            </w:pPr>
          </w:p>
        </w:tc>
        <w:tc>
          <w:tcPr>
            <w:tcW w:w="540" w:type="dxa"/>
            <w:vAlign w:val="bottom"/>
            <w:gridSpan w:val="5"/>
          </w:tcPr>
          <w:p>
            <w:pPr>
              <w:jc w:val="right"/>
              <w:spacing w:after="0" w:line="112" w:lineRule="exact"/>
              <w:rPr>
                <w:sz w:val="20"/>
                <w:szCs w:val="20"/>
                <w:color w:val="auto"/>
              </w:rPr>
            </w:pPr>
            <w:r>
              <w:rPr>
                <w:rFonts w:ascii="Times New Roman" w:cs="Times New Roman" w:eastAsia="Times New Roman" w:hAnsi="Times New Roman"/>
                <w:sz w:val="10"/>
                <w:szCs w:val="10"/>
                <w:color w:val="auto"/>
                <w:w w:val="96"/>
              </w:rPr>
              <w:t>$   (296,180)</w:t>
            </w:r>
          </w:p>
        </w:tc>
        <w:tc>
          <w:tcPr>
            <w:tcW w:w="14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spacing w:after="0" w:line="112" w:lineRule="exact"/>
              <w:rPr>
                <w:sz w:val="20"/>
                <w:szCs w:val="20"/>
                <w:color w:val="auto"/>
              </w:rPr>
            </w:pPr>
            <w:r>
              <w:rPr>
                <w:rFonts w:ascii="Times New Roman" w:cs="Times New Roman" w:eastAsia="Times New Roman" w:hAnsi="Times New Roman"/>
                <w:sz w:val="10"/>
                <w:szCs w:val="10"/>
                <w:color w:val="auto"/>
              </w:rPr>
              <w:t>$  (288,782)</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44"/>
        </w:trPr>
        <w:tc>
          <w:tcPr>
            <w:tcW w:w="2780" w:type="dxa"/>
            <w:vAlign w:val="bottom"/>
            <w:gridSpan w:val="6"/>
          </w:tcPr>
          <w:p>
            <w:pPr>
              <w:spacing w:after="0"/>
              <w:rPr>
                <w:sz w:val="20"/>
                <w:szCs w:val="20"/>
                <w:color w:val="auto"/>
              </w:rPr>
            </w:pPr>
            <w:r>
              <w:rPr>
                <w:rFonts w:ascii="Times New Roman" w:cs="Times New Roman" w:eastAsia="Times New Roman" w:hAnsi="Times New Roman"/>
                <w:sz w:val="2"/>
                <w:szCs w:val="2"/>
                <w:color w:val="auto"/>
              </w:rPr>
              <w:t>​​​</w:t>
            </w:r>
          </w:p>
        </w:tc>
        <w:tc>
          <w:tcPr>
            <w:tcW w:w="160" w:type="dxa"/>
            <w:vAlign w:val="bottom"/>
          </w:tcPr>
          <w:p>
            <w:pPr>
              <w:jc w:val="right"/>
              <w:ind w:right="38"/>
              <w:spacing w:after="0"/>
              <w:rPr>
                <w:sz w:val="20"/>
                <w:szCs w:val="20"/>
                <w:color w:val="auto"/>
              </w:rPr>
            </w:pPr>
            <w:r>
              <w:rPr>
                <w:rFonts w:ascii="Times New Roman" w:cs="Times New Roman" w:eastAsia="Times New Roman" w:hAnsi="Times New Roman"/>
                <w:sz w:val="2"/>
                <w:szCs w:val="2"/>
                <w:color w:val="auto"/>
              </w:rPr>
              <w:t>​​​</w:t>
            </w:r>
          </w:p>
        </w:tc>
        <w:tc>
          <w:tcPr>
            <w:tcW w:w="260" w:type="dxa"/>
            <w:vAlign w:val="bottom"/>
            <w:gridSpan w:val="4"/>
          </w:tcPr>
          <w:p>
            <w:pPr>
              <w:spacing w:after="0"/>
              <w:rPr>
                <w:sz w:val="20"/>
                <w:szCs w:val="20"/>
                <w:color w:val="auto"/>
              </w:rPr>
            </w:pPr>
            <w:r>
              <w:rPr>
                <w:rFonts w:ascii="Times New Roman" w:cs="Times New Roman" w:eastAsia="Times New Roman" w:hAnsi="Times New Roman"/>
                <w:sz w:val="2"/>
                <w:szCs w:val="2"/>
                <w:color w:val="auto"/>
              </w:rPr>
              <w:t>​</w:t>
            </w:r>
          </w:p>
        </w:tc>
        <w:tc>
          <w:tcPr>
            <w:tcW w:w="540" w:type="dxa"/>
            <w:vAlign w:val="bottom"/>
            <w:gridSpan w:val="6"/>
          </w:tcPr>
          <w:p>
            <w:pPr>
              <w:ind w:left="20"/>
              <w:spacing w:after="0"/>
              <w:rPr>
                <w:sz w:val="20"/>
                <w:szCs w:val="20"/>
                <w:color w:val="auto"/>
              </w:rPr>
            </w:pPr>
            <w:r>
              <w:rPr>
                <w:rFonts w:ascii="Times New Roman" w:cs="Times New Roman" w:eastAsia="Times New Roman" w:hAnsi="Times New Roman"/>
                <w:sz w:val="2"/>
                <w:szCs w:val="2"/>
                <w:color w:val="auto"/>
              </w:rPr>
              <w:t>​​​​</w:t>
            </w:r>
          </w:p>
        </w:tc>
        <w:tc>
          <w:tcPr>
            <w:tcW w:w="480" w:type="dxa"/>
            <w:vAlign w:val="bottom"/>
            <w:gridSpan w:val="3"/>
          </w:tcPr>
          <w:p>
            <w:pPr>
              <w:jc w:val="right"/>
              <w:ind w:right="335"/>
              <w:spacing w:after="0"/>
              <w:rPr>
                <w:sz w:val="20"/>
                <w:szCs w:val="20"/>
                <w:color w:val="auto"/>
              </w:rPr>
            </w:pPr>
            <w:r>
              <w:rPr>
                <w:rFonts w:ascii="Times New Roman" w:cs="Times New Roman" w:eastAsia="Times New Roman" w:hAnsi="Times New Roman"/>
                <w:sz w:val="2"/>
                <w:szCs w:val="2"/>
                <w:color w:val="auto"/>
              </w:rPr>
              <w:t>​​​​</w:t>
            </w:r>
          </w:p>
        </w:tc>
        <w:tc>
          <w:tcPr>
            <w:tcW w:w="540" w:type="dxa"/>
            <w:vAlign w:val="bottom"/>
            <w:gridSpan w:val="5"/>
          </w:tcPr>
          <w:p>
            <w:pPr>
              <w:jc w:val="right"/>
              <w:ind w:right="397"/>
              <w:spacing w:after="0"/>
              <w:rPr>
                <w:sz w:val="20"/>
                <w:szCs w:val="20"/>
                <w:color w:val="auto"/>
              </w:rPr>
            </w:pPr>
            <w:r>
              <w:rPr>
                <w:rFonts w:ascii="Times New Roman" w:cs="Times New Roman" w:eastAsia="Times New Roman" w:hAnsi="Times New Roman"/>
                <w:sz w:val="2"/>
                <w:szCs w:val="2"/>
                <w:color w:val="auto"/>
              </w:rPr>
              <w:t>​​​​</w:t>
            </w:r>
          </w:p>
        </w:tc>
        <w:tc>
          <w:tcPr>
            <w:tcW w:w="500" w:type="dxa"/>
            <w:vAlign w:val="bottom"/>
            <w:gridSpan w:val="3"/>
          </w:tcPr>
          <w:p>
            <w:pPr>
              <w:spacing w:after="0"/>
              <w:rPr>
                <w:sz w:val="20"/>
                <w:szCs w:val="20"/>
                <w:color w:val="auto"/>
              </w:rPr>
            </w:pPr>
            <w:r>
              <w:rPr>
                <w:rFonts w:ascii="Times New Roman" w:cs="Times New Roman" w:eastAsia="Times New Roman" w:hAnsi="Times New Roman"/>
                <w:sz w:val="2"/>
                <w:szCs w:val="2"/>
                <w:color w:val="auto"/>
              </w:rPr>
              <w:t>​​​​</w:t>
            </w:r>
          </w:p>
        </w:tc>
        <w:tc>
          <w:tcPr>
            <w:tcW w:w="640" w:type="dxa"/>
            <w:vAlign w:val="bottom"/>
            <w:gridSpan w:val="5"/>
          </w:tcPr>
          <w:p>
            <w:pPr>
              <w:jc w:val="center"/>
              <w:ind w:right="464"/>
              <w:spacing w:after="0"/>
              <w:rPr>
                <w:sz w:val="20"/>
                <w:szCs w:val="20"/>
                <w:color w:val="auto"/>
              </w:rPr>
            </w:pPr>
            <w:r>
              <w:rPr>
                <w:rFonts w:ascii="Times New Roman" w:cs="Times New Roman" w:eastAsia="Times New Roman" w:hAnsi="Times New Roman"/>
                <w:sz w:val="2"/>
                <w:szCs w:val="2"/>
                <w:color w:val="auto"/>
              </w:rPr>
              <w:t>​​​​</w:t>
            </w:r>
          </w:p>
        </w:tc>
        <w:tc>
          <w:tcPr>
            <w:tcW w:w="440" w:type="dxa"/>
            <w:vAlign w:val="bottom"/>
            <w:gridSpan w:val="3"/>
          </w:tcPr>
          <w:p>
            <w:pPr>
              <w:spacing w:after="0"/>
              <w:rPr>
                <w:sz w:val="20"/>
                <w:szCs w:val="20"/>
                <w:color w:val="auto"/>
              </w:rPr>
            </w:pPr>
            <w:r>
              <w:rPr>
                <w:rFonts w:ascii="Times New Roman" w:cs="Times New Roman" w:eastAsia="Times New Roman" w:hAnsi="Times New Roman"/>
                <w:sz w:val="2"/>
                <w:szCs w:val="2"/>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560" w:type="dxa"/>
            <w:vAlign w:val="bottom"/>
            <w:gridSpan w:val="6"/>
          </w:tcPr>
          <w:p>
            <w:pPr>
              <w:ind w:left="20"/>
              <w:spacing w:after="0"/>
              <w:rPr>
                <w:sz w:val="20"/>
                <w:szCs w:val="20"/>
                <w:color w:val="auto"/>
              </w:rPr>
            </w:pPr>
            <w:r>
              <w:rPr>
                <w:rFonts w:ascii="Times New Roman" w:cs="Times New Roman" w:eastAsia="Times New Roman" w:hAnsi="Times New Roman"/>
                <w:sz w:val="2"/>
                <w:szCs w:val="2"/>
                <w:color w:val="auto"/>
              </w:rPr>
              <w:t>​​</w:t>
            </w:r>
          </w:p>
        </w:tc>
        <w:tc>
          <w:tcPr>
            <w:tcW w:w="120" w:type="dxa"/>
            <w:vAlign w:val="bottom"/>
            <w:vMerge w:val="continue"/>
          </w:tcPr>
          <w:p>
            <w:pPr>
              <w:spacing w:after="0"/>
              <w:rPr>
                <w:sz w:val="3"/>
                <w:szCs w:val="3"/>
                <w:color w:val="auto"/>
              </w:rPr>
            </w:pPr>
          </w:p>
        </w:tc>
        <w:tc>
          <w:tcPr>
            <w:tcW w:w="240" w:type="dxa"/>
            <w:vAlign w:val="bottom"/>
            <w:gridSpan w:val="3"/>
          </w:tcPr>
          <w:p>
            <w:pPr>
              <w:spacing w:after="0"/>
              <w:rPr>
                <w:sz w:val="20"/>
                <w:szCs w:val="20"/>
                <w:color w:val="auto"/>
              </w:rPr>
            </w:pPr>
            <w:r>
              <w:rPr>
                <w:rFonts w:ascii="Times New Roman" w:cs="Times New Roman" w:eastAsia="Times New Roman" w:hAnsi="Times New Roman"/>
                <w:sz w:val="2"/>
                <w:szCs w:val="2"/>
                <w:color w:val="auto"/>
              </w:rPr>
              <w:t>​</w:t>
            </w:r>
          </w:p>
        </w:tc>
        <w:tc>
          <w:tcPr>
            <w:tcW w:w="240" w:type="dxa"/>
            <w:vAlign w:val="bottom"/>
            <w:gridSpan w:val="2"/>
          </w:tcPr>
          <w:p>
            <w:pPr>
              <w:jc w:val="right"/>
              <w:ind w:right="70"/>
              <w:spacing w:after="0"/>
              <w:rPr>
                <w:sz w:val="20"/>
                <w:szCs w:val="20"/>
                <w:color w:val="auto"/>
              </w:rPr>
            </w:pPr>
            <w:r>
              <w:rPr>
                <w:rFonts w:ascii="Times New Roman" w:cs="Times New Roman" w:eastAsia="Times New Roman" w:hAnsi="Times New Roman"/>
                <w:sz w:val="2"/>
                <w:szCs w:val="2"/>
                <w:color w:val="auto"/>
              </w:rPr>
              <w:t>​​​</w:t>
            </w:r>
          </w:p>
        </w:tc>
        <w:tc>
          <w:tcPr>
            <w:tcW w:w="340" w:type="dxa"/>
            <w:vAlign w:val="bottom"/>
            <w:gridSpan w:val="4"/>
          </w:tcPr>
          <w:p>
            <w:pPr>
              <w:spacing w:after="0"/>
              <w:rPr>
                <w:sz w:val="20"/>
                <w:szCs w:val="20"/>
                <w:color w:val="auto"/>
              </w:rPr>
            </w:pPr>
            <w:r>
              <w:rPr>
                <w:rFonts w:ascii="Times New Roman" w:cs="Times New Roman" w:eastAsia="Times New Roman" w:hAnsi="Times New Roman"/>
                <w:sz w:val="2"/>
                <w:szCs w:val="2"/>
                <w:color w:val="auto"/>
              </w:rPr>
              <w:t>​</w:t>
            </w:r>
          </w:p>
        </w:tc>
        <w:tc>
          <w:tcPr>
            <w:tcW w:w="340" w:type="dxa"/>
            <w:vAlign w:val="bottom"/>
            <w:gridSpan w:val="4"/>
          </w:tcPr>
          <w:p>
            <w:pPr>
              <w:jc w:val="right"/>
              <w:ind w:right="209"/>
              <w:spacing w:after="0"/>
              <w:rPr>
                <w:sz w:val="20"/>
                <w:szCs w:val="20"/>
                <w:color w:val="auto"/>
              </w:rPr>
            </w:pPr>
            <w:r>
              <w:rPr>
                <w:rFonts w:ascii="Times New Roman" w:cs="Times New Roman" w:eastAsia="Times New Roman" w:hAnsi="Times New Roman"/>
                <w:sz w:val="2"/>
                <w:szCs w:val="2"/>
                <w:color w:val="auto"/>
              </w:rPr>
              <w:t>​​​</w:t>
            </w:r>
          </w:p>
        </w:tc>
        <w:tc>
          <w:tcPr>
            <w:tcW w:w="420" w:type="dxa"/>
            <w:vAlign w:val="bottom"/>
            <w:gridSpan w:val="5"/>
          </w:tcPr>
          <w:p>
            <w:pPr>
              <w:ind w:left="120"/>
              <w:spacing w:after="0"/>
              <w:rPr>
                <w:sz w:val="20"/>
                <w:szCs w:val="20"/>
                <w:color w:val="auto"/>
              </w:rPr>
            </w:pPr>
            <w:r>
              <w:rPr>
                <w:rFonts w:ascii="Times New Roman" w:cs="Times New Roman" w:eastAsia="Times New Roman" w:hAnsi="Times New Roman"/>
                <w:sz w:val="2"/>
                <w:szCs w:val="2"/>
                <w:color w:val="auto"/>
              </w:rPr>
              <w:t>​</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2"/>
                <w:szCs w:val="2"/>
                <w:color w:val="auto"/>
              </w:rPr>
              <w:t>​​​</w:t>
            </w:r>
          </w:p>
        </w:tc>
        <w:tc>
          <w:tcPr>
            <w:tcW w:w="540" w:type="dxa"/>
            <w:vAlign w:val="bottom"/>
            <w:gridSpan w:val="5"/>
          </w:tcPr>
          <w:p>
            <w:pPr>
              <w:spacing w:after="0"/>
              <w:rPr>
                <w:sz w:val="20"/>
                <w:szCs w:val="20"/>
                <w:color w:val="auto"/>
              </w:rPr>
            </w:pPr>
            <w:r>
              <w:rPr>
                <w:rFonts w:ascii="Times New Roman" w:cs="Times New Roman" w:eastAsia="Times New Roman" w:hAnsi="Times New Roman"/>
                <w:sz w:val="2"/>
                <w:szCs w:val="2"/>
                <w:color w:val="auto"/>
              </w:rPr>
              <w:t>​</w:t>
            </w:r>
          </w:p>
        </w:tc>
        <w:tc>
          <w:tcPr>
            <w:tcW w:w="140" w:type="dxa"/>
            <w:vAlign w:val="bottom"/>
            <w:vMerge w:val="continue"/>
          </w:tcPr>
          <w:p>
            <w:pPr>
              <w:spacing w:after="0"/>
              <w:rPr>
                <w:sz w:val="3"/>
                <w:szCs w:val="3"/>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2"/>
                <w:szCs w:val="2"/>
                <w:color w:val="auto"/>
              </w:rPr>
              <w:t>​</w:t>
            </w: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3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560" w:type="dxa"/>
            <w:vAlign w:val="bottom"/>
            <w:gridSpan w:val="15"/>
          </w:tcPr>
          <w:p>
            <w:pPr>
              <w:spacing w:after="0"/>
              <w:rPr>
                <w:sz w:val="18"/>
                <w:szCs w:val="18"/>
                <w:color w:val="auto"/>
              </w:rPr>
            </w:pPr>
          </w:p>
        </w:tc>
        <w:tc>
          <w:tcPr>
            <w:tcW w:w="1280" w:type="dxa"/>
            <w:vAlign w:val="bottom"/>
            <w:gridSpan w:val="11"/>
            <w:vMerge w:val="restart"/>
          </w:tcPr>
          <w:p>
            <w:pPr>
              <w:jc w:val="right"/>
              <w:ind w:right="65"/>
              <w:spacing w:after="0"/>
              <w:rPr>
                <w:sz w:val="20"/>
                <w:szCs w:val="20"/>
                <w:color w:val="auto"/>
              </w:rPr>
            </w:pPr>
            <w:r>
              <w:rPr>
                <w:rFonts w:ascii="Times New Roman" w:cs="Times New Roman" w:eastAsia="Times New Roman" w:hAnsi="Times New Roman"/>
                <w:sz w:val="10"/>
                <w:szCs w:val="10"/>
                <w:b w:val="1"/>
                <w:bCs w:val="1"/>
                <w:color w:val="auto"/>
                <w:w w:val="95"/>
              </w:rPr>
              <w:t>Convertible Preferred Stock</w:t>
            </w:r>
          </w:p>
        </w:tc>
        <w:tc>
          <w:tcPr>
            <w:tcW w:w="2900" w:type="dxa"/>
            <w:vAlign w:val="bottom"/>
            <w:gridSpan w:val="26"/>
          </w:tcPr>
          <w:p>
            <w:pPr>
              <w:spacing w:after="0"/>
              <w:rPr>
                <w:sz w:val="18"/>
                <w:szCs w:val="18"/>
                <w:color w:val="auto"/>
              </w:rPr>
            </w:pPr>
          </w:p>
        </w:tc>
        <w:tc>
          <w:tcPr>
            <w:tcW w:w="66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60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3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1140" w:type="dxa"/>
            <w:vAlign w:val="bottom"/>
            <w:gridSpan w:val="1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280" w:type="dxa"/>
            <w:vAlign w:val="bottom"/>
            <w:gridSpan w:val="11"/>
            <w:vMerge w:val="continue"/>
          </w:tcPr>
          <w:p>
            <w:pPr>
              <w:spacing w:after="0"/>
              <w:rPr>
                <w:sz w:val="10"/>
                <w:szCs w:val="10"/>
                <w:color w:val="auto"/>
              </w:rPr>
            </w:pPr>
          </w:p>
        </w:tc>
        <w:tc>
          <w:tcPr>
            <w:tcW w:w="2900" w:type="dxa"/>
            <w:vAlign w:val="bottom"/>
            <w:gridSpan w:val="26"/>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gridSpan w:val="7"/>
            <w:vMerge w:val="continue"/>
          </w:tcPr>
          <w:p>
            <w:pPr>
              <w:spacing w:after="0"/>
              <w:rPr>
                <w:sz w:val="10"/>
                <w:szCs w:val="10"/>
                <w:color w:val="auto"/>
              </w:rPr>
            </w:pPr>
          </w:p>
        </w:tc>
        <w:tc>
          <w:tcPr>
            <w:tcW w:w="160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6"/>
          </w:tcPr>
          <w:p>
            <w:pPr>
              <w:jc w:val="right"/>
              <w:spacing w:after="0"/>
              <w:rPr>
                <w:sz w:val="20"/>
                <w:szCs w:val="20"/>
                <w:color w:val="auto"/>
              </w:rPr>
            </w:pPr>
            <w:r>
              <w:rPr>
                <w:rFonts w:ascii="Times New Roman" w:cs="Times New Roman" w:eastAsia="Times New Roman" w:hAnsi="Times New Roman"/>
                <w:sz w:val="10"/>
                <w:szCs w:val="10"/>
                <w:b w:val="1"/>
                <w:bCs w:val="1"/>
                <w:color w:val="auto"/>
              </w:rPr>
              <w:t>Series Seed</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w w:val="79"/>
              </w:rPr>
              <w:t>Series A</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4"/>
          </w:tcPr>
          <w:p>
            <w:pPr>
              <w:ind w:left="180"/>
              <w:spacing w:after="0"/>
              <w:rPr>
                <w:sz w:val="20"/>
                <w:szCs w:val="20"/>
                <w:color w:val="auto"/>
              </w:rPr>
            </w:pPr>
            <w:r>
              <w:rPr>
                <w:rFonts w:ascii="Times New Roman" w:cs="Times New Roman" w:eastAsia="Times New Roman" w:hAnsi="Times New Roman"/>
                <w:sz w:val="10"/>
                <w:szCs w:val="10"/>
                <w:b w:val="1"/>
                <w:bCs w:val="1"/>
                <w:color w:val="auto"/>
                <w:w w:val="92"/>
              </w:rPr>
              <w:t>Series B</w:t>
            </w:r>
          </w:p>
        </w:tc>
        <w:tc>
          <w:tcPr>
            <w:tcW w:w="360" w:type="dxa"/>
            <w:vAlign w:val="bottom"/>
            <w:tcBorders>
              <w:top w:val="single" w:sz="8" w:color="auto"/>
            </w:tcBorders>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Pr>
          <w:p>
            <w:pPr>
              <w:spacing w:after="0"/>
              <w:rPr>
                <w:sz w:val="10"/>
                <w:szCs w:val="10"/>
                <w:color w:val="auto"/>
              </w:rPr>
            </w:pPr>
          </w:p>
        </w:tc>
        <w:tc>
          <w:tcPr>
            <w:tcW w:w="880" w:type="dxa"/>
            <w:vAlign w:val="bottom"/>
            <w:gridSpan w:val="8"/>
          </w:tcPr>
          <w:p>
            <w:pPr>
              <w:jc w:val="right"/>
              <w:ind w:right="89"/>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0"/>
                <w:szCs w:val="10"/>
                <w:color w:val="auto"/>
              </w:rPr>
            </w:pPr>
          </w:p>
        </w:tc>
        <w:tc>
          <w:tcPr>
            <w:tcW w:w="460" w:type="dxa"/>
            <w:vAlign w:val="bottom"/>
            <w:gridSpan w:val="5"/>
          </w:tcPr>
          <w:p>
            <w:pPr>
              <w:spacing w:after="0" w:line="107" w:lineRule="exact"/>
              <w:rPr>
                <w:sz w:val="20"/>
                <w:szCs w:val="20"/>
                <w:color w:val="auto"/>
              </w:rPr>
            </w:pPr>
            <w:r>
              <w:rPr>
                <w:rFonts w:ascii="Times New Roman" w:cs="Times New Roman" w:eastAsia="Times New Roman" w:hAnsi="Times New Roman"/>
                <w:sz w:val="10"/>
                <w:szCs w:val="10"/>
                <w:b w:val="1"/>
                <w:bCs w:val="1"/>
                <w:color w:val="auto"/>
                <w:w w:val="96"/>
              </w:rPr>
              <w:t>Additional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gridSpan w:val="3"/>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center"/>
              <w:ind w:right="129"/>
              <w:spacing w:after="0" w:line="107"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300" w:type="dxa"/>
            <w:vAlign w:val="bottom"/>
            <w:vMerge w:val="continue"/>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gridSpan w:val="4"/>
          </w:tcPr>
          <w:p>
            <w:pPr>
              <w:spacing w:after="0" w:line="64" w:lineRule="exact"/>
              <w:rPr>
                <w:sz w:val="20"/>
                <w:szCs w:val="20"/>
                <w:color w:val="auto"/>
              </w:rPr>
            </w:pPr>
            <w:r>
              <w:rPr>
                <w:rFonts w:ascii="Times New Roman" w:cs="Times New Roman" w:eastAsia="Times New Roman" w:hAnsi="Times New Roman"/>
                <w:sz w:val="7"/>
                <w:szCs w:val="7"/>
                <w:b w:val="1"/>
                <w:bCs w:val="1"/>
                <w:color w:val="auto"/>
              </w:rPr>
              <w:t>Paid-in</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8"/>
          </w:tcPr>
          <w:p>
            <w:pPr>
              <w:jc w:val="center"/>
              <w:spacing w:after="0" w:line="64"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80" w:type="dxa"/>
            <w:vAlign w:val="bottom"/>
          </w:tcPr>
          <w:p>
            <w:pPr>
              <w:spacing w:after="0"/>
              <w:rPr>
                <w:sz w:val="5"/>
                <w:szCs w:val="5"/>
                <w:color w:val="auto"/>
              </w:rPr>
            </w:pPr>
          </w:p>
        </w:tc>
        <w:tc>
          <w:tcPr>
            <w:tcW w:w="680" w:type="dxa"/>
            <w:vAlign w:val="bottom"/>
            <w:gridSpan w:val="7"/>
          </w:tcPr>
          <w:p>
            <w:pPr>
              <w:jc w:val="right"/>
              <w:spacing w:after="0" w:line="64"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00" w:type="dxa"/>
            <w:vAlign w:val="bottom"/>
          </w:tcPr>
          <w:p>
            <w:pPr>
              <w:spacing w:after="0"/>
              <w:rPr>
                <w:sz w:val="5"/>
                <w:szCs w:val="5"/>
                <w:color w:val="auto"/>
              </w:rPr>
            </w:pPr>
          </w:p>
        </w:tc>
        <w:tc>
          <w:tcPr>
            <w:tcW w:w="660" w:type="dxa"/>
            <w:vAlign w:val="bottom"/>
            <w:gridSpan w:val="4"/>
          </w:tcPr>
          <w:p>
            <w:pPr>
              <w:jc w:val="center"/>
              <w:spacing w:after="0" w:line="64"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3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3"/>
                <w:szCs w:val="13"/>
                <w:color w:val="auto"/>
              </w:rPr>
            </w:pPr>
          </w:p>
        </w:tc>
        <w:tc>
          <w:tcPr>
            <w:tcW w:w="400" w:type="dxa"/>
            <w:vAlign w:val="bottom"/>
            <w:gridSpan w:val="2"/>
          </w:tcPr>
          <w:p>
            <w:pPr>
              <w:jc w:val="right"/>
              <w:ind w:right="58"/>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gridSpan w:val="6"/>
          </w:tcPr>
          <w:p>
            <w:pPr>
              <w:jc w:val="right"/>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Amount </w:t>
            </w:r>
            <w:r>
              <w:rPr>
                <w:rFonts w:ascii="Times New Roman" w:cs="Times New Roman" w:eastAsia="Times New Roman" w:hAnsi="Times New Roman"/>
                <w:sz w:val="18"/>
                <w:szCs w:val="18"/>
                <w:b w:val="1"/>
                <w:bCs w:val="1"/>
                <w:color w:val="auto"/>
                <w:vertAlign w:val="subscript"/>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0"/>
                <w:szCs w:val="10"/>
                <w:b w:val="1"/>
                <w:bCs w:val="1"/>
                <w:color w:val="auto"/>
              </w:rPr>
              <w:t xml:space="preserve">Shares   </w:t>
            </w:r>
            <w:r>
              <w:rPr>
                <w:rFonts w:ascii="Times New Roman" w:cs="Times New Roman" w:eastAsia="Times New Roman" w:hAnsi="Times New Roman"/>
                <w:sz w:val="18"/>
                <w:szCs w:val="18"/>
                <w:b w:val="1"/>
                <w:bCs w:val="1"/>
                <w:color w:val="auto"/>
                <w:vertAlign w:val="subscript"/>
              </w:rPr>
              <w:t>​</w:t>
            </w:r>
          </w:p>
        </w:tc>
        <w:tc>
          <w:tcPr>
            <w:tcW w:w="580" w:type="dxa"/>
            <w:vAlign w:val="bottom"/>
            <w:gridSpan w:val="5"/>
          </w:tcPr>
          <w:p>
            <w:pPr>
              <w:jc w:val="right"/>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Amount </w:t>
            </w:r>
            <w:r>
              <w:rPr>
                <w:rFonts w:ascii="Times New Roman" w:cs="Times New Roman" w:eastAsia="Times New Roman" w:hAnsi="Times New Roman"/>
                <w:sz w:val="18"/>
                <w:szCs w:val="18"/>
                <w:b w:val="1"/>
                <w:bCs w:val="1"/>
                <w:color w:val="auto"/>
                <w:vertAlign w:val="subscript"/>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jc w:val="right"/>
              <w:ind w:right="53"/>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60" w:type="dxa"/>
            <w:vAlign w:val="bottom"/>
            <w:gridSpan w:val="3"/>
          </w:tcPr>
          <w:p>
            <w:pPr>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Amount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Pr>
          <w:p>
            <w:pPr>
              <w:spacing w:after="0"/>
              <w:rPr>
                <w:sz w:val="13"/>
                <w:szCs w:val="13"/>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gridSpan w:val="5"/>
          </w:tcPr>
          <w:p>
            <w:pPr>
              <w:jc w:val="right"/>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Amount </w:t>
            </w:r>
            <w:r>
              <w:rPr>
                <w:rFonts w:ascii="Times New Roman" w:cs="Times New Roman" w:eastAsia="Times New Roman" w:hAnsi="Times New Roman"/>
                <w:sz w:val="18"/>
                <w:szCs w:val="18"/>
                <w:b w:val="1"/>
                <w:bCs w:val="1"/>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3"/>
                <w:szCs w:val="13"/>
                <w:color w:val="auto"/>
              </w:rPr>
            </w:pPr>
          </w:p>
        </w:tc>
        <w:tc>
          <w:tcPr>
            <w:tcW w:w="420" w:type="dxa"/>
            <w:vAlign w:val="bottom"/>
            <w:gridSpan w:val="5"/>
          </w:tcPr>
          <w:p>
            <w:pPr>
              <w:spacing w:after="0" w:line="158" w:lineRule="exact"/>
              <w:rPr>
                <w:sz w:val="20"/>
                <w:szCs w:val="20"/>
                <w:color w:val="auto"/>
              </w:rPr>
            </w:pPr>
            <w:r>
              <w:rPr>
                <w:rFonts w:ascii="Times New Roman" w:cs="Times New Roman" w:eastAsia="Times New Roman" w:hAnsi="Times New Roman"/>
                <w:sz w:val="10"/>
                <w:szCs w:val="10"/>
                <w:b w:val="1"/>
                <w:bCs w:val="1"/>
                <w:color w:val="auto"/>
              </w:rPr>
              <w:t xml:space="preserve">Capital  </w:t>
            </w:r>
            <w:r>
              <w:rPr>
                <w:rFonts w:ascii="Times New Roman" w:cs="Times New Roman" w:eastAsia="Times New Roman" w:hAnsi="Times New Roman"/>
                <w:sz w:val="18"/>
                <w:szCs w:val="18"/>
                <w:b w:val="1"/>
                <w:bCs w:val="1"/>
                <w:color w:val="auto"/>
                <w:vertAlign w:val="subscript"/>
              </w:rPr>
              <w:t>​</w:t>
            </w:r>
          </w:p>
        </w:tc>
        <w:tc>
          <w:tcPr>
            <w:tcW w:w="860" w:type="dxa"/>
            <w:vAlign w:val="bottom"/>
            <w:gridSpan w:val="10"/>
          </w:tcPr>
          <w:p>
            <w:pPr>
              <w:jc w:val="right"/>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Income (Loss)  </w:t>
            </w:r>
            <w:r>
              <w:rPr>
                <w:rFonts w:ascii="Times New Roman" w:cs="Times New Roman" w:eastAsia="Times New Roman" w:hAnsi="Times New Roman"/>
                <w:sz w:val="18"/>
                <w:szCs w:val="18"/>
                <w:b w:val="1"/>
                <w:bCs w:val="1"/>
                <w:color w:val="auto"/>
                <w:vertAlign w:val="subscript"/>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1"/>
              </w:rPr>
              <w:t>Deficit</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jc w:val="center"/>
              <w:ind w:right="109"/>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0"/>
        </w:trPr>
        <w:tc>
          <w:tcPr>
            <w:tcW w:w="2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December 31, 2022</w:t>
            </w:r>
          </w:p>
        </w:tc>
        <w:tc>
          <w:tcPr>
            <w:tcW w:w="12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left w:val="single" w:sz="8" w:color="auto"/>
              <w:right w:val="single" w:sz="8" w:color="CCEEFF"/>
            </w:tcBorders>
            <w:gridSpan w:val="3"/>
            <w:shd w:val="clear" w:color="auto" w:fill="000000"/>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300" w:type="dxa"/>
            <w:vAlign w:val="bottom"/>
            <w:vMerge w:val="continue"/>
            <w:shd w:val="clear" w:color="auto" w:fill="CCEEFF"/>
          </w:tcPr>
          <w:p>
            <w:pPr>
              <w:spacing w:after="0"/>
              <w:rPr>
                <w:sz w:val="12"/>
                <w:szCs w:val="12"/>
                <w:color w:val="auto"/>
              </w:rPr>
            </w:pP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5"/>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vertAlign w:val="subscript"/>
              </w:rPr>
              <w:t>​ ​</w:t>
            </w:r>
            <w:r>
              <w:rPr>
                <w:rFonts w:ascii="Times New Roman" w:cs="Times New Roman" w:eastAsia="Times New Roman" w:hAnsi="Times New Roman"/>
                <w:sz w:val="9"/>
                <w:szCs w:val="9"/>
                <w:color w:val="auto"/>
              </w:rPr>
              <w:t>​1,785,714</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vertAlign w:val="subscript"/>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w w:val="87"/>
                <w:vertAlign w:val="subscript"/>
              </w:rPr>
              <w:t>​</w:t>
            </w:r>
            <w:r>
              <w:rPr>
                <w:rFonts w:ascii="Times New Roman" w:cs="Times New Roman" w:eastAsia="Times New Roman" w:hAnsi="Times New Roman"/>
                <w:sz w:val="9"/>
                <w:szCs w:val="9"/>
                <w:color w:val="auto"/>
                <w:w w:val="87"/>
              </w:rPr>
              <w:t>$</w:t>
            </w:r>
          </w:p>
        </w:tc>
        <w:tc>
          <w:tcPr>
            <w:tcW w:w="300" w:type="dxa"/>
            <w:vAlign w:val="bottom"/>
            <w:gridSpan w:val="3"/>
            <w:shd w:val="clear" w:color="auto" w:fill="CCEEFF"/>
          </w:tcPr>
          <w:p>
            <w:pPr>
              <w:jc w:val="right"/>
              <w:spacing w:after="0" w:line="145" w:lineRule="exact"/>
              <w:rPr>
                <w:sz w:val="20"/>
                <w:szCs w:val="20"/>
                <w:color w:val="auto"/>
              </w:rPr>
            </w:pPr>
            <w:r>
              <w:rPr>
                <w:rFonts w:ascii="Times New Roman" w:cs="Times New Roman" w:eastAsia="Times New Roman" w:hAnsi="Times New Roman"/>
                <w:sz w:val="9"/>
                <w:szCs w:val="9"/>
                <w:color w:val="auto"/>
              </w:rPr>
              <w:t>  956</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vertAlign w:val="subscript"/>
              </w:rPr>
              <w:t>​</w:t>
            </w:r>
          </w:p>
        </w:tc>
        <w:tc>
          <w:tcPr>
            <w:tcW w:w="600" w:type="dxa"/>
            <w:vAlign w:val="bottom"/>
            <w:tcBorders>
              <w:right w:val="single" w:sz="8" w:color="CCEEFF"/>
            </w:tcBorders>
            <w:gridSpan w:val="5"/>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vertAlign w:val="subscript"/>
              </w:rPr>
              <w:t>​ ​</w:t>
            </w:r>
            <w:r>
              <w:rPr>
                <w:rFonts w:ascii="Times New Roman" w:cs="Times New Roman" w:eastAsia="Times New Roman" w:hAnsi="Times New Roman"/>
                <w:sz w:val="9"/>
                <w:szCs w:val="9"/>
                <w:color w:val="auto"/>
              </w:rPr>
              <w:t>​17,589,380</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vertAlign w:val="subscript"/>
              </w:rPr>
              <w:t>​</w:t>
            </w:r>
          </w:p>
        </w:tc>
        <w:tc>
          <w:tcPr>
            <w:tcW w:w="580" w:type="dxa"/>
            <w:vAlign w:val="bottom"/>
            <w:gridSpan w:val="5"/>
            <w:shd w:val="clear" w:color="auto" w:fill="CCEEFF"/>
          </w:tcPr>
          <w:p>
            <w:pPr>
              <w:jc w:val="right"/>
              <w:spacing w:after="0" w:line="145" w:lineRule="exact"/>
              <w:rPr>
                <w:sz w:val="20"/>
                <w:szCs w:val="20"/>
                <w:color w:val="auto"/>
              </w:rPr>
            </w:pPr>
            <w:r>
              <w:rPr>
                <w:rFonts w:ascii="Times New Roman" w:cs="Times New Roman" w:eastAsia="Times New Roman" w:hAnsi="Times New Roman"/>
                <w:sz w:val="16"/>
                <w:szCs w:val="16"/>
                <w:color w:val="auto"/>
                <w:vertAlign w:val="subscript"/>
              </w:rPr>
              <w:t>​ ​</w:t>
            </w:r>
            <w:r>
              <w:rPr>
                <w:rFonts w:ascii="Times New Roman" w:cs="Times New Roman" w:eastAsia="Times New Roman" w:hAnsi="Times New Roman"/>
                <w:sz w:val="9"/>
                <w:szCs w:val="9"/>
                <w:color w:val="auto"/>
              </w:rPr>
              <w:t>$  55,840</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vertAlign w:val="subscript"/>
              </w:rPr>
              <w:t>​</w:t>
            </w:r>
          </w:p>
        </w:tc>
        <w:tc>
          <w:tcPr>
            <w:tcW w:w="680" w:type="dxa"/>
            <w:vAlign w:val="bottom"/>
            <w:tcBorders>
              <w:right w:val="single" w:sz="8" w:color="CCEEFF"/>
            </w:tcBorders>
            <w:gridSpan w:val="5"/>
            <w:shd w:val="clear" w:color="auto" w:fill="CCEEFF"/>
          </w:tcPr>
          <w:p>
            <w:pPr>
              <w:ind w:left="40"/>
              <w:spacing w:after="0" w:line="145" w:lineRule="exact"/>
              <w:rPr>
                <w:sz w:val="20"/>
                <w:szCs w:val="20"/>
                <w:color w:val="auto"/>
              </w:rPr>
            </w:pPr>
            <w:r>
              <w:rPr>
                <w:rFonts w:ascii="Times New Roman" w:cs="Times New Roman" w:eastAsia="Times New Roman" w:hAnsi="Times New Roman"/>
                <w:sz w:val="16"/>
                <w:szCs w:val="16"/>
                <w:color w:val="auto"/>
                <w:vertAlign w:val="subscript"/>
              </w:rPr>
              <w:t>​ ​</w:t>
            </w:r>
            <w:r>
              <w:rPr>
                <w:rFonts w:ascii="Times New Roman" w:cs="Times New Roman" w:eastAsia="Times New Roman" w:hAnsi="Times New Roman"/>
                <w:sz w:val="9"/>
                <w:szCs w:val="9"/>
                <w:color w:val="auto"/>
              </w:rPr>
              <w:t>​77,052,632</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vertAlign w:val="subscript"/>
              </w:rPr>
              <w:t>​</w:t>
            </w:r>
          </w:p>
        </w:tc>
        <w:tc>
          <w:tcPr>
            <w:tcW w:w="80" w:type="dxa"/>
            <w:vAlign w:val="bottom"/>
            <w:tcBorders>
              <w:lef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9"/>
                <w:szCs w:val="9"/>
                <w:color w:val="auto"/>
                <w:w w:val="78"/>
              </w:rPr>
              <w:t>​ ​</w:t>
            </w:r>
            <w:r>
              <w:rPr>
                <w:rFonts w:ascii="Times New Roman" w:cs="Times New Roman" w:eastAsia="Times New Roman" w:hAnsi="Times New Roman"/>
                <w:sz w:val="16"/>
                <w:szCs w:val="16"/>
                <w:color w:val="auto"/>
                <w:w w:val="78"/>
                <w:vertAlign w:val="superscript"/>
              </w:rPr>
              <w:t>$</w:t>
            </w:r>
          </w:p>
        </w:tc>
        <w:tc>
          <w:tcPr>
            <w:tcW w:w="20" w:type="dxa"/>
            <w:vAlign w:val="bottom"/>
            <w:shd w:val="clear" w:color="auto" w:fill="CCEEFF"/>
          </w:tcPr>
          <w:p>
            <w:pPr>
              <w:spacing w:after="0"/>
              <w:rPr>
                <w:sz w:val="12"/>
                <w:szCs w:val="12"/>
                <w:color w:val="auto"/>
              </w:rPr>
            </w:pPr>
          </w:p>
        </w:tc>
        <w:tc>
          <w:tcPr>
            <w:tcW w:w="440" w:type="dxa"/>
            <w:vAlign w:val="bottom"/>
            <w:tcBorders>
              <w:right w:val="single" w:sz="8" w:color="CCEEFF"/>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9"/>
                <w:szCs w:val="9"/>
                <w:color w:val="auto"/>
              </w:rPr>
              <w:t>183,290</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vertAlign w:val="subscript"/>
              </w:rPr>
              <w:t>​</w:t>
            </w:r>
          </w:p>
        </w:tc>
        <w:tc>
          <w:tcPr>
            <w:tcW w:w="640" w:type="dxa"/>
            <w:vAlign w:val="bottom"/>
            <w:tcBorders>
              <w:left w:val="single" w:sz="8" w:color="CCEEFF"/>
            </w:tcBorders>
            <w:gridSpan w:val="6"/>
            <w:shd w:val="clear" w:color="auto" w:fill="CCEEFF"/>
          </w:tcPr>
          <w:p>
            <w:pPr>
              <w:jc w:val="right"/>
              <w:spacing w:after="0" w:line="145" w:lineRule="exact"/>
              <w:rPr>
                <w:sz w:val="20"/>
                <w:szCs w:val="20"/>
                <w:color w:val="auto"/>
              </w:rPr>
            </w:pPr>
            <w:r>
              <w:rPr>
                <w:rFonts w:ascii="Times New Roman" w:cs="Times New Roman" w:eastAsia="Times New Roman" w:hAnsi="Times New Roman"/>
                <w:sz w:val="16"/>
                <w:szCs w:val="16"/>
                <w:color w:val="auto"/>
                <w:vertAlign w:val="subscript"/>
              </w:rPr>
              <w:t>​ ​</w:t>
            </w:r>
            <w:r>
              <w:rPr>
                <w:rFonts w:ascii="Times New Roman" w:cs="Times New Roman" w:eastAsia="Times New Roman" w:hAnsi="Times New Roman"/>
                <w:sz w:val="9"/>
                <w:szCs w:val="9"/>
                <w:color w:val="auto"/>
              </w:rPr>
              <w:t>​13,452,552</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vertAlign w:val="subscript"/>
              </w:rPr>
              <w:t>​</w:t>
            </w: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vertAlign w:val="subscript"/>
              </w:rPr>
              <w:t>​</w:t>
            </w:r>
            <w:r>
              <w:rPr>
                <w:rFonts w:ascii="Times New Roman" w:cs="Times New Roman" w:eastAsia="Times New Roman" w:hAnsi="Times New Roman"/>
                <w:sz w:val="9"/>
                <w:szCs w:val="9"/>
                <w:color w:val="auto"/>
              </w:rPr>
              <w:t>$</w:t>
            </w:r>
          </w:p>
        </w:tc>
        <w:tc>
          <w:tcPr>
            <w:tcW w:w="120" w:type="dxa"/>
            <w:vAlign w:val="bottom"/>
            <w:tcBorders>
              <w:left w:val="single" w:sz="8" w:color="CCEEFF"/>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9"/>
                <w:szCs w:val="9"/>
                <w:b w:val="1"/>
                <w:bCs w:val="1"/>
                <w:color w:val="auto"/>
              </w:rPr>
              <w:t xml:space="preserve">​ </w:t>
            </w:r>
            <w:r>
              <w:rPr>
                <w:rFonts w:ascii="Times New Roman" w:cs="Times New Roman" w:eastAsia="Times New Roman" w:hAnsi="Times New Roman"/>
                <w:sz w:val="9"/>
                <w:szCs w:val="9"/>
                <w:color w:val="auto"/>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6"/>
                <w:szCs w:val="6"/>
                <w:color w:val="auto"/>
                <w:w w:val="77"/>
                <w:vertAlign w:val="subscript"/>
              </w:rPr>
              <w:t>​</w:t>
            </w:r>
            <w:r>
              <w:rPr>
                <w:rFonts w:ascii="Times New Roman" w:cs="Times New Roman" w:eastAsia="Times New Roman" w:hAnsi="Times New Roman"/>
                <w:sz w:val="5"/>
                <w:szCs w:val="5"/>
                <w:color w:val="auto"/>
                <w:w w:val="77"/>
              </w:rPr>
              <w:t>$</w:t>
            </w:r>
          </w:p>
        </w:tc>
        <w:tc>
          <w:tcPr>
            <w:tcW w:w="360" w:type="dxa"/>
            <w:vAlign w:val="bottom"/>
            <w:tcBorders>
              <w:left w:val="single" w:sz="8" w:color="CCEEFF"/>
            </w:tcBorders>
            <w:gridSpan w:val="4"/>
            <w:shd w:val="clear" w:color="auto" w:fill="CCEEFF"/>
          </w:tcPr>
          <w:p>
            <w:pPr>
              <w:jc w:val="right"/>
              <w:spacing w:after="0" w:line="145" w:lineRule="exact"/>
              <w:rPr>
                <w:sz w:val="20"/>
                <w:szCs w:val="20"/>
                <w:color w:val="auto"/>
              </w:rPr>
            </w:pPr>
            <w:r>
              <w:rPr>
                <w:rFonts w:ascii="Times New Roman" w:cs="Times New Roman" w:eastAsia="Times New Roman" w:hAnsi="Times New Roman"/>
                <w:sz w:val="9"/>
                <w:szCs w:val="9"/>
                <w:color w:val="auto"/>
              </w:rPr>
              <w:t>1,033</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vertAlign w:val="subscript"/>
              </w:rPr>
              <w:t>​</w:t>
            </w:r>
          </w:p>
        </w:tc>
        <w:tc>
          <w:tcPr>
            <w:tcW w:w="2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240" w:type="dxa"/>
            <w:vAlign w:val="bottom"/>
            <w:gridSpan w:val="3"/>
            <w:shd w:val="clear" w:color="auto" w:fill="CCEEFF"/>
          </w:tcPr>
          <w:p>
            <w:pPr>
              <w:ind w:left="120"/>
              <w:spacing w:after="0" w:line="145" w:lineRule="exact"/>
              <w:rPr>
                <w:sz w:val="20"/>
                <w:szCs w:val="20"/>
                <w:color w:val="auto"/>
              </w:rPr>
            </w:pPr>
            <w:r>
              <w:rPr>
                <w:rFonts w:ascii="Times New Roman" w:cs="Times New Roman" w:eastAsia="Times New Roman" w:hAnsi="Times New Roman"/>
                <w:sz w:val="16"/>
                <w:szCs w:val="16"/>
                <w:color w:val="auto"/>
                <w:vertAlign w:val="subscript"/>
              </w:rPr>
              <w:t>​</w:t>
            </w:r>
            <w:r>
              <w:rPr>
                <w:rFonts w:ascii="Times New Roman" w:cs="Times New Roman" w:eastAsia="Times New Roman" w:hAnsi="Times New Roman"/>
                <w:sz w:val="9"/>
                <w:szCs w:val="9"/>
                <w:color w:val="auto"/>
              </w:rPr>
              <w:t>$</w:t>
            </w:r>
          </w:p>
        </w:tc>
        <w:tc>
          <w:tcPr>
            <w:tcW w:w="300" w:type="dxa"/>
            <w:vAlign w:val="bottom"/>
            <w:gridSpan w:val="4"/>
            <w:shd w:val="clear" w:color="auto" w:fill="CCEEFF"/>
          </w:tcPr>
          <w:p>
            <w:pPr>
              <w:jc w:val="right"/>
              <w:spacing w:after="0" w:line="145" w:lineRule="exact"/>
              <w:rPr>
                <w:sz w:val="20"/>
                <w:szCs w:val="20"/>
                <w:color w:val="auto"/>
              </w:rPr>
            </w:pPr>
            <w:r>
              <w:rPr>
                <w:rFonts w:ascii="Times New Roman" w:cs="Times New Roman" w:eastAsia="Times New Roman" w:hAnsi="Times New Roman"/>
                <w:sz w:val="9"/>
                <w:szCs w:val="9"/>
                <w:color w:val="auto"/>
              </w:rPr>
              <w:t xml:space="preserve">(41) </w:t>
            </w:r>
            <w:r>
              <w:rPr>
                <w:rFonts w:ascii="Times New Roman" w:cs="Times New Roman" w:eastAsia="Times New Roman" w:hAnsi="Times New Roman"/>
                <w:sz w:val="16"/>
                <w:szCs w:val="16"/>
                <w:color w:val="auto"/>
                <w:vertAlign w:val="subscript"/>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6"/>
                <w:szCs w:val="16"/>
                <w:color w:val="auto"/>
                <w:vertAlign w:val="subscript"/>
              </w:rPr>
              <w:t>​</w:t>
            </w: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2"/>
                <w:szCs w:val="12"/>
                <w:color w:val="auto"/>
              </w:rPr>
            </w:pPr>
          </w:p>
        </w:tc>
        <w:tc>
          <w:tcPr>
            <w:tcW w:w="540" w:type="dxa"/>
            <w:vAlign w:val="bottom"/>
            <w:gridSpan w:val="5"/>
            <w:shd w:val="clear" w:color="auto" w:fill="CCEEFF"/>
          </w:tcPr>
          <w:p>
            <w:pPr>
              <w:jc w:val="right"/>
              <w:spacing w:after="0" w:line="145" w:lineRule="exact"/>
              <w:rPr>
                <w:sz w:val="20"/>
                <w:szCs w:val="20"/>
                <w:color w:val="auto"/>
              </w:rPr>
            </w:pPr>
            <w:r>
              <w:rPr>
                <w:rFonts w:ascii="Times New Roman" w:cs="Times New Roman" w:eastAsia="Times New Roman" w:hAnsi="Times New Roman"/>
                <w:sz w:val="9"/>
                <w:szCs w:val="9"/>
                <w:color w:val="auto"/>
              </w:rPr>
              <w:t xml:space="preserve">(193,279) </w:t>
            </w:r>
            <w:r>
              <w:rPr>
                <w:rFonts w:ascii="Times New Roman" w:cs="Times New Roman" w:eastAsia="Times New Roman" w:hAnsi="Times New Roman"/>
                <w:sz w:val="16"/>
                <w:szCs w:val="16"/>
                <w:color w:val="auto"/>
                <w:vertAlign w:val="subscript"/>
              </w:rPr>
              <w:t>​​</w:t>
            </w:r>
          </w:p>
        </w:tc>
        <w:tc>
          <w:tcPr>
            <w:tcW w:w="140" w:type="dxa"/>
            <w:vAlign w:val="bottom"/>
            <w:tcBorders>
              <w:left w:val="single" w:sz="8" w:color="CCEEFF"/>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6"/>
                <w:szCs w:val="6"/>
                <w:color w:val="auto"/>
                <w:w w:val="77"/>
                <w:vertAlign w:val="subscript"/>
              </w:rPr>
              <w:t>​</w:t>
            </w:r>
            <w:r>
              <w:rPr>
                <w:rFonts w:ascii="Times New Roman" w:cs="Times New Roman" w:eastAsia="Times New Roman" w:hAnsi="Times New Roman"/>
                <w:sz w:val="5"/>
                <w:szCs w:val="5"/>
                <w:color w:val="auto"/>
                <w:w w:val="77"/>
              </w:rPr>
              <w:t>$</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(192,286)</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5"/>
        </w:trPr>
        <w:tc>
          <w:tcPr>
            <w:tcW w:w="2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Exercises of common stock options</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9"/>
                <w:szCs w:val="19"/>
                <w:color w:val="auto"/>
                <w:vertAlign w:val="superscript"/>
              </w:rPr>
              <w:t>​</w:t>
            </w:r>
          </w:p>
        </w:tc>
        <w:tc>
          <w:tcPr>
            <w:tcW w:w="240" w:type="dxa"/>
            <w:vAlign w:val="bottom"/>
          </w:tcPr>
          <w:p>
            <w:pPr>
              <w:spacing w:after="0"/>
              <w:rPr>
                <w:sz w:val="14"/>
                <w:szCs w:val="14"/>
                <w:color w:val="auto"/>
              </w:rPr>
            </w:pPr>
          </w:p>
        </w:tc>
        <w:tc>
          <w:tcPr>
            <w:tcW w:w="2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4"/>
                <w:szCs w:val="14"/>
                <w:color w:val="auto"/>
              </w:rPr>
            </w:pPr>
          </w:p>
        </w:tc>
        <w:tc>
          <w:tcPr>
            <w:tcW w:w="140" w:type="dxa"/>
            <w:vAlign w:val="bottom"/>
            <w:gridSpan w:val="2"/>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22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16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9"/>
                <w:szCs w:val="19"/>
                <w:color w:val="auto"/>
                <w:vertAlign w:val="superscript"/>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ind w:left="120"/>
              <w:spacing w:after="0" w:line="165" w:lineRule="exact"/>
              <w:rPr>
                <w:sz w:val="20"/>
                <w:szCs w:val="20"/>
                <w:color w:val="auto"/>
              </w:rPr>
            </w:pPr>
            <w:r>
              <w:rPr>
                <w:rFonts w:ascii="Times New Roman" w:cs="Times New Roman" w:eastAsia="Times New Roman" w:hAnsi="Times New Roman"/>
                <w:sz w:val="19"/>
                <w:szCs w:val="19"/>
                <w:color w:val="auto"/>
                <w:w w:val="78"/>
                <w:vertAlign w:val="superscript"/>
              </w:rPr>
              <w:t>—</w:t>
            </w:r>
            <w:r>
              <w:rPr>
                <w:rFonts w:ascii="Times New Roman" w:cs="Times New Roman" w:eastAsia="Times New Roman" w:hAnsi="Times New Roman"/>
                <w:sz w:val="10"/>
                <w:szCs w:val="10"/>
                <w:b w:val="1"/>
                <w:bCs w:val="1"/>
                <w:color w:val="auto"/>
                <w:w w:val="78"/>
              </w:rPr>
              <w:t xml:space="preserve">​ </w:t>
            </w:r>
            <w:r>
              <w:rPr>
                <w:rFonts w:ascii="Times New Roman" w:cs="Times New Roman" w:eastAsia="Times New Roman" w:hAnsi="Times New Roman"/>
                <w:sz w:val="10"/>
                <w:szCs w:val="10"/>
                <w:color w:val="auto"/>
                <w:w w:val="78"/>
              </w:rPr>
              <w:t>​</w:t>
            </w:r>
          </w:p>
        </w:tc>
        <w:tc>
          <w:tcPr>
            <w:tcW w:w="260" w:type="dxa"/>
            <w:vAlign w:val="bottom"/>
            <w:gridSpan w:val="3"/>
          </w:tcPr>
          <w:p>
            <w:pPr>
              <w:jc w:val="right"/>
              <w:ind w:right="59"/>
              <w:spacing w:after="0" w:line="165"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9"/>
                <w:szCs w:val="19"/>
                <w:color w:val="auto"/>
                <w:vertAlign w:val="superscript"/>
              </w:rPr>
              <w:t>​</w:t>
            </w:r>
          </w:p>
        </w:tc>
        <w:tc>
          <w:tcPr>
            <w:tcW w:w="32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160" w:type="dxa"/>
            <w:vAlign w:val="bottom"/>
            <w:gridSpan w:val="2"/>
          </w:tcPr>
          <w:p>
            <w:pPr>
              <w:ind w:left="40"/>
              <w:spacing w:after="0" w:line="16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9"/>
                <w:szCs w:val="19"/>
                <w:color w:val="auto"/>
                <w:vertAlign w:val="superscript"/>
              </w:rPr>
              <w:t>​</w:t>
            </w:r>
          </w:p>
        </w:tc>
        <w:tc>
          <w:tcPr>
            <w:tcW w:w="100" w:type="dxa"/>
            <w:vAlign w:val="bottom"/>
          </w:tcPr>
          <w:p>
            <w:pPr>
              <w:spacing w:after="0"/>
              <w:rPr>
                <w:sz w:val="14"/>
                <w:szCs w:val="14"/>
                <w:color w:val="auto"/>
              </w:rPr>
            </w:pPr>
          </w:p>
        </w:tc>
        <w:tc>
          <w:tcPr>
            <w:tcW w:w="420" w:type="dxa"/>
            <w:vAlign w:val="bottom"/>
            <w:gridSpan w:val="2"/>
          </w:tcPr>
          <w:p>
            <w:pPr>
              <w:jc w:val="right"/>
              <w:ind w:right="53"/>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10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9"/>
                <w:szCs w:val="19"/>
                <w:color w:val="auto"/>
                <w:vertAlign w:val="superscript"/>
              </w:rPr>
              <w:t>​</w:t>
            </w:r>
          </w:p>
        </w:tc>
        <w:tc>
          <w:tcPr>
            <w:tcW w:w="44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160" w:type="dxa"/>
            <w:vAlign w:val="bottom"/>
            <w:gridSpan w:val="2"/>
          </w:tcPr>
          <w:p>
            <w:pPr>
              <w:jc w:val="right"/>
              <w:ind w:right="20"/>
              <w:spacing w:after="0" w:line="16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9"/>
                <w:szCs w:val="19"/>
                <w:color w:val="auto"/>
                <w:vertAlign w:val="superscript"/>
              </w:rPr>
              <w:t>​</w:t>
            </w:r>
          </w:p>
        </w:tc>
        <w:tc>
          <w:tcPr>
            <w:tcW w:w="480" w:type="dxa"/>
            <w:vAlign w:val="bottom"/>
            <w:gridSpan w:val="4"/>
          </w:tcPr>
          <w:p>
            <w:pPr>
              <w:jc w:val="right"/>
              <w:spacing w:after="0" w:line="165" w:lineRule="exact"/>
              <w:rPr>
                <w:sz w:val="20"/>
                <w:szCs w:val="20"/>
                <w:color w:val="auto"/>
              </w:rPr>
            </w:pPr>
            <w:r>
              <w:rPr>
                <w:rFonts w:ascii="Times New Roman" w:cs="Times New Roman" w:eastAsia="Times New Roman" w:hAnsi="Times New Roman"/>
                <w:sz w:val="10"/>
                <w:szCs w:val="10"/>
                <w:color w:val="auto"/>
              </w:rPr>
              <w:t>164,500</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bscript"/>
              </w:rPr>
              <w:t>​</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3"/>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4"/>
                <w:szCs w:val="14"/>
                <w:color w:val="auto"/>
              </w:rPr>
            </w:pPr>
          </w:p>
        </w:tc>
        <w:tc>
          <w:tcPr>
            <w:tcW w:w="220" w:type="dxa"/>
            <w:vAlign w:val="bottom"/>
            <w:gridSpan w:val="2"/>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200" w:type="dxa"/>
            <w:vAlign w:val="bottom"/>
            <w:gridSpan w:val="3"/>
          </w:tcPr>
          <w:p>
            <w:pPr>
              <w:jc w:val="right"/>
              <w:spacing w:after="0" w:line="165" w:lineRule="exact"/>
              <w:rPr>
                <w:sz w:val="20"/>
                <w:szCs w:val="20"/>
                <w:color w:val="auto"/>
              </w:rPr>
            </w:pPr>
            <w:r>
              <w:rPr>
                <w:rFonts w:ascii="Times New Roman" w:cs="Times New Roman" w:eastAsia="Times New Roman" w:hAnsi="Times New Roman"/>
                <w:sz w:val="10"/>
                <w:szCs w:val="10"/>
                <w:color w:val="auto"/>
              </w:rPr>
              <w:t>66</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bscript"/>
              </w:rPr>
              <w:t>​</w:t>
            </w:r>
          </w:p>
        </w:tc>
        <w:tc>
          <w:tcPr>
            <w:tcW w:w="220" w:type="dxa"/>
            <w:vAlign w:val="bottom"/>
            <w:gridSpan w:val="2"/>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4"/>
                <w:szCs w:val="14"/>
                <w:color w:val="auto"/>
              </w:rPr>
            </w:pPr>
          </w:p>
        </w:tc>
        <w:tc>
          <w:tcPr>
            <w:tcW w:w="240" w:type="dxa"/>
            <w:vAlign w:val="bottom"/>
            <w:gridSpan w:val="3"/>
          </w:tcPr>
          <w:p>
            <w:pPr>
              <w:ind w:left="120"/>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300" w:type="dxa"/>
            <w:vAlign w:val="bottom"/>
            <w:gridSpan w:val="4"/>
          </w:tcPr>
          <w:p>
            <w:pPr>
              <w:jc w:val="right"/>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bscript"/>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bscript"/>
              </w:rPr>
              <w:t>​​</w:t>
            </w:r>
          </w:p>
        </w:tc>
        <w:tc>
          <w:tcPr>
            <w:tcW w:w="1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gridSpan w:val="2"/>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8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0"/>
                <w:szCs w:val="10"/>
                <w:color w:val="auto"/>
              </w:rPr>
              <w:t xml:space="preserve">66​ </w:t>
            </w:r>
            <w:r>
              <w:rPr>
                <w:rFonts w:ascii="Times New Roman" w:cs="Times New Roman" w:eastAsia="Times New Roman" w:hAnsi="Times New Roman"/>
                <w:sz w:val="19"/>
                <w:szCs w:val="19"/>
                <w:color w:val="auto"/>
                <w:vertAlign w:val="subscript"/>
              </w:rPr>
              <w:t>​</w:t>
            </w:r>
          </w:p>
        </w:tc>
        <w:tc>
          <w:tcPr>
            <w:tcW w:w="0" w:type="dxa"/>
            <w:vAlign w:val="bottom"/>
          </w:tcPr>
          <w:p>
            <w:pPr>
              <w:spacing w:after="0"/>
              <w:rPr>
                <w:sz w:val="1"/>
                <w:szCs w:val="1"/>
                <w:color w:val="auto"/>
              </w:rPr>
            </w:pPr>
          </w:p>
        </w:tc>
      </w:tr>
      <w:tr>
        <w:trPr>
          <w:trHeight w:val="14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of Series B convertible preferred stock as</w:t>
            </w: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w:t>
            </w:r>
          </w:p>
        </w:tc>
        <w:tc>
          <w:tcPr>
            <w:tcW w:w="24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w w:val="95"/>
              </w:rPr>
              <w:t>—</w:t>
            </w:r>
            <w:r>
              <w:rPr>
                <w:rFonts w:ascii="Times New Roman" w:cs="Times New Roman" w:eastAsia="Times New Roman" w:hAnsi="Times New Roman"/>
                <w:sz w:val="10"/>
                <w:szCs w:val="10"/>
                <w:b w:val="1"/>
                <w:bCs w:val="1"/>
                <w:color w:val="auto"/>
                <w:w w:val="95"/>
              </w:rPr>
              <w:t>​</w:t>
            </w:r>
            <w:r>
              <w:rPr>
                <w:rFonts w:ascii="Times New Roman" w:cs="Times New Roman" w:eastAsia="Times New Roman" w:hAnsi="Times New Roman"/>
                <w:sz w:val="10"/>
                <w:szCs w:val="10"/>
                <w:color w:val="auto"/>
                <w:w w:val="95"/>
              </w:rPr>
              <w:t xml:space="preserve"> ​</w:t>
            </w:r>
          </w:p>
        </w:tc>
        <w:tc>
          <w:tcPr>
            <w:tcW w:w="260" w:type="dxa"/>
            <w:vAlign w:val="bottom"/>
            <w:gridSpan w:val="3"/>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0"/>
                <w:szCs w:val="10"/>
                <w:color w:val="auto"/>
              </w:rPr>
              <w:t>​ ​ ​</w:t>
            </w: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w:t>
            </w:r>
          </w:p>
        </w:tc>
        <w:tc>
          <w:tcPr>
            <w:tcW w:w="680" w:type="dxa"/>
            <w:vAlign w:val="bottom"/>
            <w:tcBorders>
              <w:right w:val="single" w:sz="8" w:color="CCEEFF"/>
            </w:tcBorders>
            <w:gridSpan w:val="5"/>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 4,189,955</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w:t>
            </w:r>
          </w:p>
        </w:tc>
        <w:tc>
          <w:tcPr>
            <w:tcW w:w="10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 ​</w:t>
            </w:r>
          </w:p>
        </w:tc>
        <w:tc>
          <w:tcPr>
            <w:tcW w:w="4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10,000</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w:t>
            </w:r>
          </w:p>
        </w:tc>
        <w:tc>
          <w:tcPr>
            <w:tcW w:w="160" w:type="dxa"/>
            <w:vAlign w:val="bottom"/>
            <w:tcBorders>
              <w:left w:val="single" w:sz="8" w:color="CCEEFF"/>
            </w:tcBorders>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 ​</w:t>
            </w:r>
          </w:p>
        </w:tc>
        <w:tc>
          <w:tcPr>
            <w:tcW w:w="280" w:type="dxa"/>
            <w:vAlign w:val="bottom"/>
            <w:shd w:val="clear" w:color="auto" w:fill="CCEEFF"/>
          </w:tcPr>
          <w:p>
            <w:pPr>
              <w:spacing w:after="0"/>
              <w:rPr>
                <w:sz w:val="12"/>
                <w:szCs w:val="12"/>
                <w:color w:val="auto"/>
              </w:rPr>
            </w:pPr>
          </w:p>
        </w:tc>
        <w:tc>
          <w:tcPr>
            <w:tcW w:w="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 ​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w:t>
            </w: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4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 ​</w:t>
            </w:r>
          </w:p>
        </w:tc>
        <w:tc>
          <w:tcPr>
            <w:tcW w:w="3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4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payment of Xencor milestone</w:t>
            </w: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1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260" w:type="dxa"/>
            <w:vAlign w:val="bottom"/>
            <w:gridSpan w:val="3"/>
            <w:vMerge w:val="continue"/>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680" w:type="dxa"/>
            <w:vAlign w:val="bottom"/>
            <w:tcBorders>
              <w:right w:val="single" w:sz="8" w:color="CCEEFF"/>
            </w:tcBorders>
            <w:gridSpan w:val="5"/>
            <w:vMerge w:val="continue"/>
            <w:shd w:val="clear" w:color="auto" w:fill="CCEEFF"/>
          </w:tcPr>
          <w:p>
            <w:pPr>
              <w:spacing w:after="0"/>
              <w:rPr>
                <w:sz w:val="11"/>
                <w:szCs w:val="11"/>
                <w:color w:val="auto"/>
              </w:rPr>
            </w:pPr>
          </w:p>
        </w:tc>
        <w:tc>
          <w:tcPr>
            <w:tcW w:w="100" w:type="dxa"/>
            <w:vAlign w:val="bottom"/>
            <w:tcBorders>
              <w:left w:val="single" w:sz="8" w:color="CCEEFF"/>
            </w:tcBorders>
            <w:gridSpan w:val="2"/>
            <w:vMerge w:val="continue"/>
            <w:shd w:val="clear" w:color="auto" w:fill="CCEEFF"/>
          </w:tcPr>
          <w:p>
            <w:pPr>
              <w:spacing w:after="0"/>
              <w:rPr>
                <w:sz w:val="11"/>
                <w:szCs w:val="11"/>
                <w:color w:val="auto"/>
              </w:rPr>
            </w:pPr>
          </w:p>
        </w:tc>
        <w:tc>
          <w:tcPr>
            <w:tcW w:w="440" w:type="dxa"/>
            <w:vAlign w:val="bottom"/>
            <w:tcBorders>
              <w:right w:val="single" w:sz="8" w:color="CCEEFF"/>
            </w:tcBorders>
            <w:gridSpan w:val="2"/>
            <w:vMerge w:val="continue"/>
            <w:shd w:val="clear" w:color="auto" w:fill="CCEEFF"/>
          </w:tcPr>
          <w:p>
            <w:pPr>
              <w:spacing w:after="0"/>
              <w:rPr>
                <w:sz w:val="11"/>
                <w:szCs w:val="11"/>
                <w:color w:val="auto"/>
              </w:rPr>
            </w:pPr>
          </w:p>
        </w:tc>
        <w:tc>
          <w:tcPr>
            <w:tcW w:w="160" w:type="dxa"/>
            <w:vAlign w:val="bottom"/>
            <w:tcBorders>
              <w:left w:val="single" w:sz="8" w:color="CCEEFF"/>
            </w:tcBorders>
            <w:gridSpan w:val="2"/>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gridSpan w:val="3"/>
            <w:vMerge w:val="continue"/>
            <w:shd w:val="clear" w:color="auto" w:fill="CCEEFF"/>
          </w:tcPr>
          <w:p>
            <w:pPr>
              <w:spacing w:after="0"/>
              <w:rPr>
                <w:sz w:val="11"/>
                <w:szCs w:val="11"/>
                <w:color w:val="auto"/>
              </w:rPr>
            </w:pP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3"/>
            <w:vMerge w:val="continue"/>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right w:val="single" w:sz="8" w:color="CCEEFF"/>
            </w:tcBorders>
            <w:gridSpan w:val="2"/>
            <w:vMerge w:val="continue"/>
            <w:shd w:val="clear" w:color="auto" w:fill="CCEEFF"/>
          </w:tcPr>
          <w:p>
            <w:pPr>
              <w:spacing w:after="0"/>
              <w:rPr>
                <w:sz w:val="11"/>
                <w:szCs w:val="11"/>
                <w:color w:val="auto"/>
              </w:rPr>
            </w:pPr>
          </w:p>
        </w:tc>
        <w:tc>
          <w:tcPr>
            <w:tcW w:w="200" w:type="dxa"/>
            <w:vAlign w:val="bottom"/>
            <w:gridSpan w:val="3"/>
            <w:vMerge w:val="continue"/>
            <w:shd w:val="clear" w:color="auto" w:fill="CCEEFF"/>
          </w:tcPr>
          <w:p>
            <w:pPr>
              <w:spacing w:after="0"/>
              <w:rPr>
                <w:sz w:val="11"/>
                <w:szCs w:val="11"/>
                <w:color w:val="auto"/>
              </w:rPr>
            </w:pPr>
          </w:p>
        </w:tc>
        <w:tc>
          <w:tcPr>
            <w:tcW w:w="2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240" w:type="dxa"/>
            <w:vAlign w:val="bottom"/>
            <w:gridSpan w:val="3"/>
            <w:vMerge w:val="continue"/>
            <w:shd w:val="clear" w:color="auto" w:fill="CCEEFF"/>
          </w:tcPr>
          <w:p>
            <w:pPr>
              <w:spacing w:after="0"/>
              <w:rPr>
                <w:sz w:val="11"/>
                <w:szCs w:val="11"/>
                <w:color w:val="auto"/>
              </w:rPr>
            </w:pPr>
          </w:p>
        </w:tc>
        <w:tc>
          <w:tcPr>
            <w:tcW w:w="300" w:type="dxa"/>
            <w:vAlign w:val="bottom"/>
            <w:gridSpan w:val="4"/>
            <w:vMerge w:val="continue"/>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140" w:type="dxa"/>
            <w:vAlign w:val="bottom"/>
            <w:tcBorders>
              <w:left w:val="single" w:sz="8" w:color="CCEEFF"/>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5"/>
        </w:trPr>
        <w:tc>
          <w:tcPr>
            <w:tcW w:w="2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9"/>
                <w:szCs w:val="19"/>
                <w:color w:val="auto"/>
                <w:vertAlign w:val="superscript"/>
              </w:rPr>
              <w:t>​</w:t>
            </w:r>
          </w:p>
        </w:tc>
        <w:tc>
          <w:tcPr>
            <w:tcW w:w="240" w:type="dxa"/>
            <w:vAlign w:val="bottom"/>
          </w:tcPr>
          <w:p>
            <w:pPr>
              <w:spacing w:after="0"/>
              <w:rPr>
                <w:sz w:val="14"/>
                <w:szCs w:val="14"/>
                <w:color w:val="auto"/>
              </w:rPr>
            </w:pPr>
          </w:p>
        </w:tc>
        <w:tc>
          <w:tcPr>
            <w:tcW w:w="2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4"/>
                <w:szCs w:val="14"/>
                <w:color w:val="auto"/>
              </w:rPr>
            </w:pPr>
          </w:p>
        </w:tc>
        <w:tc>
          <w:tcPr>
            <w:tcW w:w="140" w:type="dxa"/>
            <w:vAlign w:val="bottom"/>
            <w:gridSpan w:val="2"/>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22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16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9"/>
                <w:szCs w:val="19"/>
                <w:color w:val="auto"/>
                <w:vertAlign w:val="superscript"/>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ind w:left="120"/>
              <w:spacing w:after="0" w:line="165" w:lineRule="exact"/>
              <w:rPr>
                <w:sz w:val="20"/>
                <w:szCs w:val="20"/>
                <w:color w:val="auto"/>
              </w:rPr>
            </w:pPr>
            <w:r>
              <w:rPr>
                <w:rFonts w:ascii="Times New Roman" w:cs="Times New Roman" w:eastAsia="Times New Roman" w:hAnsi="Times New Roman"/>
                <w:sz w:val="19"/>
                <w:szCs w:val="19"/>
                <w:color w:val="auto"/>
                <w:w w:val="78"/>
                <w:vertAlign w:val="superscript"/>
              </w:rPr>
              <w:t>—</w:t>
            </w:r>
            <w:r>
              <w:rPr>
                <w:rFonts w:ascii="Times New Roman" w:cs="Times New Roman" w:eastAsia="Times New Roman" w:hAnsi="Times New Roman"/>
                <w:sz w:val="10"/>
                <w:szCs w:val="10"/>
                <w:b w:val="1"/>
                <w:bCs w:val="1"/>
                <w:color w:val="auto"/>
                <w:w w:val="78"/>
              </w:rPr>
              <w:t xml:space="preserve">​ </w:t>
            </w:r>
            <w:r>
              <w:rPr>
                <w:rFonts w:ascii="Times New Roman" w:cs="Times New Roman" w:eastAsia="Times New Roman" w:hAnsi="Times New Roman"/>
                <w:sz w:val="10"/>
                <w:szCs w:val="10"/>
                <w:color w:val="auto"/>
                <w:w w:val="78"/>
              </w:rPr>
              <w:t>​</w:t>
            </w:r>
          </w:p>
        </w:tc>
        <w:tc>
          <w:tcPr>
            <w:tcW w:w="260" w:type="dxa"/>
            <w:vAlign w:val="bottom"/>
            <w:gridSpan w:val="3"/>
          </w:tcPr>
          <w:p>
            <w:pPr>
              <w:jc w:val="right"/>
              <w:ind w:right="59"/>
              <w:spacing w:after="0" w:line="165"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9"/>
                <w:szCs w:val="19"/>
                <w:color w:val="auto"/>
                <w:vertAlign w:val="superscript"/>
              </w:rPr>
              <w:t>​</w:t>
            </w:r>
          </w:p>
        </w:tc>
        <w:tc>
          <w:tcPr>
            <w:tcW w:w="32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160" w:type="dxa"/>
            <w:vAlign w:val="bottom"/>
            <w:gridSpan w:val="2"/>
          </w:tcPr>
          <w:p>
            <w:pPr>
              <w:ind w:left="40"/>
              <w:spacing w:after="0" w:line="16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9"/>
                <w:szCs w:val="19"/>
                <w:color w:val="auto"/>
                <w:vertAlign w:val="superscript"/>
              </w:rPr>
              <w:t>​</w:t>
            </w:r>
          </w:p>
        </w:tc>
        <w:tc>
          <w:tcPr>
            <w:tcW w:w="100" w:type="dxa"/>
            <w:vAlign w:val="bottom"/>
          </w:tcPr>
          <w:p>
            <w:pPr>
              <w:spacing w:after="0"/>
              <w:rPr>
                <w:sz w:val="14"/>
                <w:szCs w:val="14"/>
                <w:color w:val="auto"/>
              </w:rPr>
            </w:pPr>
          </w:p>
        </w:tc>
        <w:tc>
          <w:tcPr>
            <w:tcW w:w="420" w:type="dxa"/>
            <w:vAlign w:val="bottom"/>
            <w:gridSpan w:val="2"/>
          </w:tcPr>
          <w:p>
            <w:pPr>
              <w:jc w:val="right"/>
              <w:ind w:right="53"/>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10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9"/>
                <w:szCs w:val="19"/>
                <w:color w:val="auto"/>
                <w:vertAlign w:val="superscript"/>
              </w:rPr>
              <w:t>​</w:t>
            </w:r>
          </w:p>
        </w:tc>
        <w:tc>
          <w:tcPr>
            <w:tcW w:w="44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160" w:type="dxa"/>
            <w:vAlign w:val="bottom"/>
            <w:gridSpan w:val="2"/>
          </w:tcPr>
          <w:p>
            <w:pPr>
              <w:jc w:val="right"/>
              <w:ind w:right="20"/>
              <w:spacing w:after="0" w:line="16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9"/>
                <w:szCs w:val="19"/>
                <w:color w:val="auto"/>
                <w:vertAlign w:val="superscript"/>
              </w:rPr>
              <w:t>​</w:t>
            </w:r>
          </w:p>
        </w:tc>
        <w:tc>
          <w:tcPr>
            <w:tcW w:w="280" w:type="dxa"/>
            <w:vAlign w:val="bottom"/>
          </w:tcPr>
          <w:p>
            <w:pPr>
              <w:spacing w:after="0"/>
              <w:rPr>
                <w:sz w:val="14"/>
                <w:szCs w:val="14"/>
                <w:color w:val="auto"/>
              </w:rPr>
            </w:pPr>
          </w:p>
        </w:tc>
        <w:tc>
          <w:tcPr>
            <w:tcW w:w="200" w:type="dxa"/>
            <w:vAlign w:val="bottom"/>
            <w:gridSpan w:val="3"/>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3"/>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4"/>
                <w:szCs w:val="14"/>
                <w:color w:val="auto"/>
              </w:rPr>
            </w:pPr>
          </w:p>
        </w:tc>
        <w:tc>
          <w:tcPr>
            <w:tcW w:w="420" w:type="dxa"/>
            <w:vAlign w:val="bottom"/>
            <w:gridSpan w:val="5"/>
          </w:tcPr>
          <w:p>
            <w:pPr>
              <w:spacing w:after="0" w:line="165"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 1,356</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bscript"/>
              </w:rPr>
              <w:t>​</w:t>
            </w:r>
          </w:p>
        </w:tc>
        <w:tc>
          <w:tcPr>
            <w:tcW w:w="220" w:type="dxa"/>
            <w:vAlign w:val="bottom"/>
            <w:gridSpan w:val="2"/>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4"/>
                <w:szCs w:val="14"/>
                <w:color w:val="auto"/>
              </w:rPr>
            </w:pPr>
          </w:p>
        </w:tc>
        <w:tc>
          <w:tcPr>
            <w:tcW w:w="240" w:type="dxa"/>
            <w:vAlign w:val="bottom"/>
            <w:gridSpan w:val="3"/>
          </w:tcPr>
          <w:p>
            <w:pPr>
              <w:ind w:left="120"/>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300" w:type="dxa"/>
            <w:vAlign w:val="bottom"/>
            <w:gridSpan w:val="4"/>
          </w:tcPr>
          <w:p>
            <w:pPr>
              <w:jc w:val="right"/>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bscript"/>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bscript"/>
              </w:rPr>
              <w:t>​​</w:t>
            </w:r>
          </w:p>
        </w:tc>
        <w:tc>
          <w:tcPr>
            <w:tcW w:w="1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gridSpan w:val="2"/>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8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0"/>
                <w:szCs w:val="10"/>
                <w:color w:val="auto"/>
              </w:rPr>
              <w:t xml:space="preserve">1,356​ </w:t>
            </w:r>
            <w:r>
              <w:rPr>
                <w:rFonts w:ascii="Times New Roman" w:cs="Times New Roman" w:eastAsia="Times New Roman" w:hAnsi="Times New Roman"/>
                <w:sz w:val="19"/>
                <w:szCs w:val="19"/>
                <w:color w:val="auto"/>
                <w:vertAlign w:val="subscript"/>
              </w:rPr>
              <w:t>​</w:t>
            </w:r>
          </w:p>
        </w:tc>
        <w:tc>
          <w:tcPr>
            <w:tcW w:w="0" w:type="dxa"/>
            <w:vAlign w:val="bottom"/>
          </w:tcPr>
          <w:p>
            <w:pPr>
              <w:spacing w:after="0"/>
              <w:rPr>
                <w:sz w:val="1"/>
                <w:szCs w:val="1"/>
                <w:color w:val="auto"/>
              </w:rPr>
            </w:pPr>
          </w:p>
        </w:tc>
      </w:tr>
      <w:tr>
        <w:trPr>
          <w:trHeight w:val="165"/>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9"/>
                <w:szCs w:val="19"/>
                <w:color w:val="auto"/>
                <w:vertAlign w:val="superscript"/>
              </w:rPr>
              <w:t>​</w:t>
            </w:r>
          </w:p>
        </w:tc>
        <w:tc>
          <w:tcPr>
            <w:tcW w:w="2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22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16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9"/>
                <w:szCs w:val="19"/>
                <w:color w:val="auto"/>
                <w:vertAlign w:val="superscript"/>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ind w:left="120"/>
              <w:spacing w:after="0" w:line="165" w:lineRule="exact"/>
              <w:rPr>
                <w:sz w:val="20"/>
                <w:szCs w:val="20"/>
                <w:color w:val="auto"/>
              </w:rPr>
            </w:pPr>
            <w:r>
              <w:rPr>
                <w:rFonts w:ascii="Times New Roman" w:cs="Times New Roman" w:eastAsia="Times New Roman" w:hAnsi="Times New Roman"/>
                <w:sz w:val="19"/>
                <w:szCs w:val="19"/>
                <w:color w:val="auto"/>
                <w:w w:val="78"/>
                <w:vertAlign w:val="superscript"/>
              </w:rPr>
              <w:t>—</w:t>
            </w:r>
            <w:r>
              <w:rPr>
                <w:rFonts w:ascii="Times New Roman" w:cs="Times New Roman" w:eastAsia="Times New Roman" w:hAnsi="Times New Roman"/>
                <w:sz w:val="10"/>
                <w:szCs w:val="10"/>
                <w:b w:val="1"/>
                <w:bCs w:val="1"/>
                <w:color w:val="auto"/>
                <w:w w:val="78"/>
              </w:rPr>
              <w:t xml:space="preserve">​ </w:t>
            </w:r>
            <w:r>
              <w:rPr>
                <w:rFonts w:ascii="Times New Roman" w:cs="Times New Roman" w:eastAsia="Times New Roman" w:hAnsi="Times New Roman"/>
                <w:sz w:val="10"/>
                <w:szCs w:val="10"/>
                <w:color w:val="auto"/>
                <w:w w:val="78"/>
              </w:rPr>
              <w:t>​</w:t>
            </w:r>
          </w:p>
        </w:tc>
        <w:tc>
          <w:tcPr>
            <w:tcW w:w="260" w:type="dxa"/>
            <w:vAlign w:val="bottom"/>
            <w:gridSpan w:val="3"/>
            <w:shd w:val="clear" w:color="auto" w:fill="CCEEFF"/>
          </w:tcPr>
          <w:p>
            <w:pPr>
              <w:jc w:val="right"/>
              <w:ind w:right="59"/>
              <w:spacing w:after="0" w:line="165"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9"/>
                <w:szCs w:val="19"/>
                <w:color w:val="auto"/>
                <w:vertAlign w:val="superscript"/>
              </w:rPr>
              <w:t>​</w:t>
            </w:r>
          </w:p>
        </w:tc>
        <w:tc>
          <w:tcPr>
            <w:tcW w:w="32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160" w:type="dxa"/>
            <w:vAlign w:val="bottom"/>
            <w:gridSpan w:val="2"/>
            <w:shd w:val="clear" w:color="auto" w:fill="CCEEFF"/>
          </w:tcPr>
          <w:p>
            <w:pPr>
              <w:ind w:left="40"/>
              <w:spacing w:after="0" w:line="16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9"/>
                <w:szCs w:val="19"/>
                <w:color w:val="auto"/>
                <w:vertAlign w:val="superscript"/>
              </w:rPr>
              <w:t>​</w:t>
            </w:r>
          </w:p>
        </w:tc>
        <w:tc>
          <w:tcPr>
            <w:tcW w:w="10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ind w:right="53"/>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100" w:type="dxa"/>
            <w:vAlign w:val="bottom"/>
            <w:tcBorders>
              <w:left w:val="single" w:sz="8" w:color="CCEEFF"/>
            </w:tcBorders>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9"/>
                <w:szCs w:val="19"/>
                <w:color w:val="auto"/>
                <w:vertAlign w:val="superscript"/>
              </w:rPr>
              <w:t>​</w:t>
            </w:r>
          </w:p>
        </w:tc>
        <w:tc>
          <w:tcPr>
            <w:tcW w:w="440" w:type="dxa"/>
            <w:vAlign w:val="bottom"/>
            <w:tcBorders>
              <w:right w:val="single" w:sz="8" w:color="CCEEFF"/>
            </w:tcBorders>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160" w:type="dxa"/>
            <w:vAlign w:val="bottom"/>
            <w:tcBorders>
              <w:left w:val="single" w:sz="8" w:color="CCEEFF"/>
            </w:tcBorders>
            <w:gridSpan w:val="2"/>
            <w:shd w:val="clear" w:color="auto" w:fill="CCEEFF"/>
          </w:tcPr>
          <w:p>
            <w:pPr>
              <w:jc w:val="right"/>
              <w:ind w:right="20"/>
              <w:spacing w:after="0" w:line="16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9"/>
                <w:szCs w:val="19"/>
                <w:color w:val="auto"/>
                <w:vertAlign w:val="superscript"/>
              </w:rPr>
              <w:t>​</w:t>
            </w:r>
          </w:p>
        </w:tc>
        <w:tc>
          <w:tcPr>
            <w:tcW w:w="28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3"/>
            <w:shd w:val="clear" w:color="auto" w:fill="CCEEFF"/>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b w:val="1"/>
                <w:bCs w:val="1"/>
                <w:color w:val="auto"/>
                <w:vertAlign w:val="superscript"/>
              </w:rPr>
              <w:t>​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tcBorders>
              <w:right w:val="single" w:sz="8" w:color="CCEEFF"/>
            </w:tcBorders>
            <w:gridSpan w:val="2"/>
            <w:shd w:val="clear" w:color="auto" w:fill="CCEEFF"/>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b w:val="1"/>
                <w:bCs w:val="1"/>
                <w:color w:val="auto"/>
                <w:vertAlign w:val="superscript"/>
              </w:rPr>
              <w:t>​</w:t>
            </w:r>
          </w:p>
        </w:tc>
        <w:tc>
          <w:tcPr>
            <w:tcW w:w="200" w:type="dxa"/>
            <w:vAlign w:val="bottom"/>
            <w:gridSpan w:val="3"/>
            <w:shd w:val="clear" w:color="auto" w:fill="CCEEFF"/>
          </w:tcPr>
          <w:p>
            <w:pPr>
              <w:jc w:val="right"/>
              <w:spacing w:after="0" w:line="165" w:lineRule="exact"/>
              <w:rPr>
                <w:sz w:val="20"/>
                <w:szCs w:val="20"/>
                <w:color w:val="auto"/>
              </w:rPr>
            </w:pP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240" w:type="dxa"/>
            <w:vAlign w:val="bottom"/>
            <w:gridSpan w:val="3"/>
            <w:shd w:val="clear" w:color="auto" w:fill="CCEEFF"/>
          </w:tcPr>
          <w:p>
            <w:pPr>
              <w:ind w:left="120"/>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b w:val="1"/>
                <w:bCs w:val="1"/>
                <w:color w:val="auto"/>
                <w:vertAlign w:val="superscript"/>
              </w:rPr>
              <w:t>​</w:t>
            </w:r>
          </w:p>
        </w:tc>
        <w:tc>
          <w:tcPr>
            <w:tcW w:w="300" w:type="dxa"/>
            <w:vAlign w:val="bottom"/>
            <w:gridSpan w:val="4"/>
            <w:shd w:val="clear" w:color="auto" w:fill="CCEEFF"/>
          </w:tcPr>
          <w:p>
            <w:pPr>
              <w:jc w:val="right"/>
              <w:spacing w:after="0" w:line="165"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color w:val="auto"/>
                <w:vertAlign w:val="subscript"/>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shd w:val="clear" w:color="auto" w:fill="CCEEFF"/>
          </w:tcPr>
          <w:p>
            <w:pPr>
              <w:jc w:val="cente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0" w:type="dxa"/>
            <w:vAlign w:val="bottom"/>
            <w:shd w:val="clear" w:color="auto" w:fill="CCEEFF"/>
          </w:tcPr>
          <w:p>
            <w:pPr>
              <w:spacing w:after="0"/>
              <w:rPr>
                <w:sz w:val="14"/>
                <w:szCs w:val="14"/>
                <w:color w:val="auto"/>
              </w:rPr>
            </w:pPr>
          </w:p>
        </w:tc>
        <w:tc>
          <w:tcPr>
            <w:tcW w:w="500" w:type="dxa"/>
            <w:vAlign w:val="bottom"/>
            <w:gridSpan w:val="4"/>
            <w:shd w:val="clear" w:color="auto" w:fill="CCEEFF"/>
          </w:tcPr>
          <w:p>
            <w:pPr>
              <w:jc w:val="right"/>
              <w:spacing w:after="0" w:line="165" w:lineRule="exact"/>
              <w:rPr>
                <w:sz w:val="20"/>
                <w:szCs w:val="20"/>
                <w:color w:val="auto"/>
              </w:rPr>
            </w:pPr>
            <w:r>
              <w:rPr>
                <w:rFonts w:ascii="Times New Roman" w:cs="Times New Roman" w:eastAsia="Times New Roman" w:hAnsi="Times New Roman"/>
                <w:sz w:val="10"/>
                <w:szCs w:val="10"/>
                <w:color w:val="auto"/>
              </w:rPr>
              <w:t xml:space="preserve">(48,144) </w:t>
            </w:r>
            <w:r>
              <w:rPr>
                <w:rFonts w:ascii="Times New Roman" w:cs="Times New Roman" w:eastAsia="Times New Roman" w:hAnsi="Times New Roman"/>
                <w:sz w:val="19"/>
                <w:szCs w:val="19"/>
                <w:color w:val="auto"/>
                <w:vertAlign w:val="subscript"/>
              </w:rPr>
              <w:t>​​</w:t>
            </w:r>
          </w:p>
        </w:tc>
        <w:tc>
          <w:tcPr>
            <w:tcW w:w="140" w:type="dxa"/>
            <w:vAlign w:val="bottom"/>
            <w:tcBorders>
              <w:left w:val="single" w:sz="8" w:color="CCEEFF"/>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(48,144)</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2480" w:type="dxa"/>
            <w:vAlign w:val="bottom"/>
            <w:gridSpan w:val="4"/>
          </w:tcPr>
          <w:p>
            <w:pPr>
              <w:ind w:left="20"/>
              <w:spacing w:after="0"/>
              <w:rPr>
                <w:sz w:val="20"/>
                <w:szCs w:val="20"/>
                <w:color w:val="auto"/>
              </w:rPr>
            </w:pPr>
            <w:r>
              <w:rPr>
                <w:rFonts w:ascii="Times New Roman" w:cs="Times New Roman" w:eastAsia="Times New Roman" w:hAnsi="Times New Roman"/>
                <w:sz w:val="10"/>
                <w:szCs w:val="10"/>
                <w:color w:val="auto"/>
              </w:rPr>
              <w:t>Foreign currency translation adjustment</w:t>
            </w:r>
          </w:p>
        </w:tc>
        <w:tc>
          <w:tcPr>
            <w:tcW w:w="3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3"/>
          </w:tcPr>
          <w:p>
            <w:pPr>
              <w:jc w:val="right"/>
              <w:ind w:right="7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gridSpan w:val="2"/>
          </w:tcPr>
          <w:p>
            <w:pPr>
              <w:jc w:val="right"/>
              <w:ind w:right="59"/>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tcPr>
          <w:p>
            <w:pPr>
              <w:jc w:val="right"/>
              <w:ind w:right="97"/>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w w:val="99"/>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540" w:type="dxa"/>
            <w:vAlign w:val="bottom"/>
            <w:gridSpan w:val="3"/>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tcPr>
          <w:p>
            <w:pPr>
              <w:jc w:val="right"/>
              <w:ind w:right="270"/>
              <w:spacing w:after="0"/>
              <w:rPr>
                <w:sz w:val="20"/>
                <w:szCs w:val="20"/>
                <w:color w:val="auto"/>
              </w:rPr>
            </w:pPr>
            <w:r>
              <w:rPr>
                <w:rFonts w:ascii="Times New Roman" w:cs="Times New Roman" w:eastAsia="Times New Roman" w:hAnsi="Times New Roman"/>
                <w:sz w:val="1"/>
                <w:szCs w:val="1"/>
                <w:color w:val="auto"/>
                <w:w w:val="4294942296"/>
              </w:rPr>
              <w:t>​</w:t>
            </w:r>
          </w:p>
        </w:tc>
        <w:tc>
          <w:tcPr>
            <w:tcW w:w="420" w:type="dxa"/>
            <w:vAlign w:val="bottom"/>
            <w:gridSpan w:val="5"/>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460" w:type="dxa"/>
            <w:vAlign w:val="bottom"/>
            <w:gridSpan w:val="4"/>
          </w:tcPr>
          <w:p>
            <w:pPr>
              <w:jc w:val="right"/>
              <w:ind w:right="190"/>
              <w:spacing w:after="0"/>
              <w:rPr>
                <w:sz w:val="20"/>
                <w:szCs w:val="20"/>
                <w:color w:val="auto"/>
              </w:rPr>
            </w:pPr>
            <w:r>
              <w:rPr>
                <w:rFonts w:ascii="Times New Roman" w:cs="Times New Roman" w:eastAsia="Times New Roman" w:hAnsi="Times New Roman"/>
                <w:sz w:val="10"/>
                <w:szCs w:val="10"/>
                <w:color w:val="auto"/>
              </w:rPr>
              <w:t>​ —​</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jc w:val="right"/>
              <w:ind w:right="108"/>
              <w:spacing w:after="0"/>
              <w:rPr>
                <w:sz w:val="20"/>
                <w:szCs w:val="20"/>
                <w:color w:val="auto"/>
              </w:rPr>
            </w:pPr>
            <w:r>
              <w:rPr>
                <w:rFonts w:ascii="Times New Roman" w:cs="Times New Roman" w:eastAsia="Times New Roman" w:hAnsi="Times New Roman"/>
                <w:sz w:val="1"/>
                <w:szCs w:val="1"/>
                <w:color w:val="auto"/>
                <w:w w:val="4294942296"/>
              </w:rPr>
              <w:t>​</w:t>
            </w:r>
          </w:p>
        </w:tc>
        <w:tc>
          <w:tcPr>
            <w:tcW w:w="520" w:type="dxa"/>
            <w:vAlign w:val="bottom"/>
            <w:gridSpan w:val="6"/>
          </w:tcPr>
          <w:p>
            <w:pPr>
              <w:jc w:val="right"/>
              <w:ind w:right="329"/>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 156​</w:t>
            </w:r>
          </w:p>
        </w:tc>
        <w:tc>
          <w:tcPr>
            <w:tcW w:w="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color w:val="auto"/>
              </w:rPr>
              <w:t>​​ ​ ​</w:t>
            </w:r>
          </w:p>
        </w:tc>
        <w:tc>
          <w:tcPr>
            <w:tcW w:w="340" w:type="dxa"/>
            <w:vAlign w:val="bottom"/>
            <w:gridSpan w:val="4"/>
          </w:tcPr>
          <w:p>
            <w:pP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9"/>
              </w:rPr>
              <w:t>—​</w:t>
            </w:r>
          </w:p>
        </w:tc>
        <w:tc>
          <w:tcPr>
            <w:tcW w:w="24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55"/>
        </w:trPr>
        <w:tc>
          <w:tcPr>
            <w:tcW w:w="2300" w:type="dxa"/>
            <w:vAlign w:val="bottom"/>
          </w:tcPr>
          <w:p>
            <w:pPr>
              <w:spacing w:after="0"/>
              <w:rPr>
                <w:sz w:val="4"/>
                <w:szCs w:val="4"/>
                <w:color w:val="auto"/>
              </w:rPr>
            </w:pPr>
          </w:p>
        </w:tc>
        <w:tc>
          <w:tcPr>
            <w:tcW w:w="240" w:type="dxa"/>
            <w:vAlign w:val="bottom"/>
            <w:gridSpan w:val="4"/>
          </w:tcPr>
          <w:p>
            <w:pPr>
              <w:ind w:left="60"/>
              <w:spacing w:after="0" w:line="55" w:lineRule="exact"/>
              <w:rPr>
                <w:sz w:val="20"/>
                <w:szCs w:val="20"/>
                <w:color w:val="auto"/>
              </w:rPr>
            </w:pPr>
            <w:r>
              <w:rPr>
                <w:rFonts w:ascii="Times New Roman" w:cs="Times New Roman" w:eastAsia="Times New Roman" w:hAnsi="Times New Roman"/>
                <w:sz w:val="6"/>
                <w:szCs w:val="6"/>
                <w:color w:val="auto"/>
              </w:rPr>
              <w:t>​ ​ ​</w:t>
            </w: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gridSpan w:val="3"/>
          </w:tcPr>
          <w:p>
            <w:pPr>
              <w:jc w:val="center"/>
              <w:ind w:right="11"/>
              <w:spacing w:after="0" w:line="55" w:lineRule="exact"/>
              <w:rPr>
                <w:sz w:val="20"/>
                <w:szCs w:val="20"/>
                <w:color w:val="auto"/>
              </w:rPr>
            </w:pPr>
            <w:r>
              <w:rPr>
                <w:rFonts w:ascii="Times New Roman" w:cs="Times New Roman" w:eastAsia="Times New Roman" w:hAnsi="Times New Roman"/>
                <w:sz w:val="6"/>
                <w:szCs w:val="6"/>
                <w:color w:val="auto"/>
              </w:rPr>
              <w:t>​​ ​ ​</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line="55" w:lineRule="exact"/>
              <w:rPr>
                <w:sz w:val="20"/>
                <w:szCs w:val="20"/>
                <w:color w:val="auto"/>
              </w:rPr>
            </w:pPr>
            <w:r>
              <w:rPr>
                <w:rFonts w:ascii="Times New Roman" w:cs="Times New Roman" w:eastAsia="Times New Roman" w:hAnsi="Times New Roman"/>
                <w:sz w:val="6"/>
                <w:szCs w:val="6"/>
                <w:color w:val="auto"/>
              </w:rPr>
              <w:t>​​ ​ ​</w:t>
            </w: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gridSpan w:val="3"/>
          </w:tcPr>
          <w:p>
            <w:pPr>
              <w:jc w:val="right"/>
              <w:ind w:right="25"/>
              <w:spacing w:after="0" w:line="55" w:lineRule="exact"/>
              <w:rPr>
                <w:sz w:val="20"/>
                <w:szCs w:val="20"/>
                <w:color w:val="auto"/>
              </w:rPr>
            </w:pPr>
            <w:r>
              <w:rPr>
                <w:rFonts w:ascii="Times New Roman" w:cs="Times New Roman" w:eastAsia="Times New Roman" w:hAnsi="Times New Roman"/>
                <w:sz w:val="6"/>
                <w:szCs w:val="6"/>
                <w:color w:val="auto"/>
              </w:rPr>
              <w:t>​​ ​ ​</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gridSpan w:val="2"/>
          </w:tcPr>
          <w:p>
            <w:pPr>
              <w:jc w:val="center"/>
              <w:spacing w:after="0" w:line="55" w:lineRule="exact"/>
              <w:rPr>
                <w:sz w:val="20"/>
                <w:szCs w:val="20"/>
                <w:color w:val="auto"/>
              </w:rPr>
            </w:pPr>
            <w:r>
              <w:rPr>
                <w:rFonts w:ascii="Times New Roman" w:cs="Times New Roman" w:eastAsia="Times New Roman" w:hAnsi="Times New Roman"/>
                <w:sz w:val="6"/>
                <w:szCs w:val="6"/>
                <w:color w:val="auto"/>
              </w:rPr>
              <w:t>​​ ​ ​</w:t>
            </w: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gridSpan w:val="2"/>
          </w:tcPr>
          <w:p>
            <w:pPr>
              <w:ind w:left="60"/>
              <w:spacing w:after="0" w:line="55" w:lineRule="exact"/>
              <w:rPr>
                <w:sz w:val="20"/>
                <w:szCs w:val="20"/>
                <w:color w:val="auto"/>
              </w:rPr>
            </w:pPr>
            <w:r>
              <w:rPr>
                <w:rFonts w:ascii="Times New Roman" w:cs="Times New Roman" w:eastAsia="Times New Roman" w:hAnsi="Times New Roman"/>
                <w:sz w:val="6"/>
                <w:szCs w:val="6"/>
                <w:color w:val="auto"/>
              </w:rPr>
              <w:t>​ ​</w:t>
            </w: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gridSpan w:val="3"/>
          </w:tcPr>
          <w:p>
            <w:pPr>
              <w:jc w:val="right"/>
              <w:ind w:right="160"/>
              <w:spacing w:after="0" w:line="55" w:lineRule="exact"/>
              <w:rPr>
                <w:sz w:val="20"/>
                <w:szCs w:val="20"/>
                <w:color w:val="auto"/>
              </w:rPr>
            </w:pPr>
            <w:r>
              <w:rPr>
                <w:rFonts w:ascii="Times New Roman" w:cs="Times New Roman" w:eastAsia="Times New Roman" w:hAnsi="Times New Roman"/>
                <w:sz w:val="6"/>
                <w:szCs w:val="6"/>
                <w:color w:val="auto"/>
              </w:rPr>
              <w:t>​​ ​</w:t>
            </w:r>
          </w:p>
        </w:tc>
        <w:tc>
          <w:tcPr>
            <w:tcW w:w="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gridSpan w:val="3"/>
          </w:tcPr>
          <w:p>
            <w:pPr>
              <w:jc w:val="right"/>
              <w:ind w:right="92"/>
              <w:spacing w:after="0" w:line="55"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left w:val="single" w:sz="8" w:color="auto"/>
              <w:right w:val="single" w:sz="8" w:color="CCEEFF"/>
            </w:tcBorders>
            <w:gridSpan w:val="3"/>
            <w:shd w:val="clear" w:color="auto" w:fill="000000"/>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left w:val="single" w:sz="8" w:color="CCEEFF"/>
            </w:tcBorders>
            <w:gridSpan w:val="3"/>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gridSpan w:val="6"/>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30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Balance at June 30, 2023</w:t>
            </w:r>
          </w:p>
        </w:tc>
        <w:tc>
          <w:tcPr>
            <w:tcW w:w="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4"/>
            <w:shd w:val="clear" w:color="auto" w:fill="CCEEFF"/>
          </w:tcPr>
          <w:p>
            <w:pPr>
              <w:spacing w:after="0" w:line="112" w:lineRule="exact"/>
              <w:rPr>
                <w:sz w:val="20"/>
                <w:szCs w:val="20"/>
                <w:color w:val="auto"/>
              </w:rPr>
            </w:pPr>
            <w:r>
              <w:rPr>
                <w:rFonts w:ascii="Times New Roman" w:cs="Times New Roman" w:eastAsia="Times New Roman" w:hAnsi="Times New Roman"/>
                <w:sz w:val="7"/>
                <w:szCs w:val="7"/>
                <w:color w:val="auto"/>
              </w:rPr>
              <w:t>​1,785,714</w:t>
            </w:r>
            <w:r>
              <w:rPr>
                <w:rFonts w:ascii="Times New Roman" w:cs="Times New Roman" w:eastAsia="Times New Roman" w:hAnsi="Times New Roman"/>
                <w:sz w:val="12"/>
                <w:szCs w:val="12"/>
                <w:color w:val="auto"/>
                <w:vertAlign w:val="subscript"/>
              </w:rPr>
              <w:t>​</w:t>
            </w:r>
          </w:p>
        </w:tc>
        <w:tc>
          <w:tcPr>
            <w:tcW w:w="6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3"/>
            <w:shd w:val="clear" w:color="auto" w:fill="CCEEFF"/>
          </w:tcPr>
          <w:p>
            <w:pPr>
              <w:jc w:val="right"/>
              <w:ind w:right="29"/>
              <w:spacing w:after="0" w:line="112" w:lineRule="exact"/>
              <w:rPr>
                <w:sz w:val="20"/>
                <w:szCs w:val="20"/>
                <w:color w:val="auto"/>
              </w:rPr>
            </w:pPr>
            <w:r>
              <w:rPr>
                <w:rFonts w:ascii="Times New Roman" w:cs="Times New Roman" w:eastAsia="Times New Roman" w:hAnsi="Times New Roman"/>
                <w:sz w:val="7"/>
                <w:szCs w:val="7"/>
                <w:color w:val="auto"/>
              </w:rPr>
              <w:t>956</w:t>
            </w:r>
            <w:r>
              <w:rPr>
                <w:rFonts w:ascii="Times New Roman" w:cs="Times New Roman" w:eastAsia="Times New Roman" w:hAnsi="Times New Roman"/>
                <w:sz w:val="12"/>
                <w:szCs w:val="12"/>
                <w:color w:val="auto"/>
                <w:vertAlign w:val="subscript"/>
              </w:rPr>
              <w:t>​</w:t>
            </w:r>
          </w:p>
        </w:tc>
        <w:tc>
          <w:tcPr>
            <w:tcW w:w="60" w:type="dxa"/>
            <w:vAlign w:val="bottom"/>
            <w:shd w:val="clear" w:color="auto" w:fill="CCEEFF"/>
          </w:tcPr>
          <w:p>
            <w:pPr>
              <w:spacing w:after="0"/>
              <w:rPr>
                <w:sz w:val="9"/>
                <w:szCs w:val="9"/>
                <w:color w:val="auto"/>
              </w:rPr>
            </w:pPr>
          </w:p>
        </w:tc>
        <w:tc>
          <w:tcPr>
            <w:tcW w:w="540" w:type="dxa"/>
            <w:vAlign w:val="bottom"/>
            <w:tcBorders>
              <w:right w:val="single" w:sz="8" w:color="CCEEFF"/>
            </w:tcBorders>
            <w:gridSpan w:val="4"/>
            <w:shd w:val="clear" w:color="auto" w:fill="CCEEFF"/>
          </w:tcPr>
          <w:p>
            <w:pPr>
              <w:ind w:left="20"/>
              <w:spacing w:after="0" w:line="112" w:lineRule="exact"/>
              <w:rPr>
                <w:sz w:val="20"/>
                <w:szCs w:val="20"/>
                <w:color w:val="auto"/>
              </w:rPr>
            </w:pPr>
            <w:r>
              <w:rPr>
                <w:rFonts w:ascii="Times New Roman" w:cs="Times New Roman" w:eastAsia="Times New Roman" w:hAnsi="Times New Roman"/>
                <w:sz w:val="7"/>
                <w:szCs w:val="7"/>
                <w:color w:val="auto"/>
              </w:rPr>
              <w:t>​17,589,380</w:t>
            </w:r>
            <w:r>
              <w:rPr>
                <w:rFonts w:ascii="Times New Roman" w:cs="Times New Roman" w:eastAsia="Times New Roman" w:hAnsi="Times New Roman"/>
                <w:sz w:val="12"/>
                <w:szCs w:val="12"/>
                <w:color w:val="auto"/>
                <w:vertAlign w:val="subscript"/>
              </w:rPr>
              <w:t>​</w:t>
            </w:r>
          </w:p>
        </w:tc>
        <w:tc>
          <w:tcPr>
            <w:tcW w:w="120" w:type="dxa"/>
            <w:vAlign w:val="bottom"/>
            <w:tcBorders>
              <w:right w:val="single" w:sz="8" w:color="CCEEFF"/>
            </w:tcBorders>
            <w:shd w:val="clear" w:color="auto" w:fill="CCEEFF"/>
          </w:tcPr>
          <w:p>
            <w:pPr>
              <w:spacing w:after="0"/>
              <w:rPr>
                <w:sz w:val="9"/>
                <w:szCs w:val="9"/>
                <w:color w:val="auto"/>
              </w:rPr>
            </w:pPr>
          </w:p>
        </w:tc>
        <w:tc>
          <w:tcPr>
            <w:tcW w:w="460" w:type="dxa"/>
            <w:vAlign w:val="bottom"/>
            <w:tcBorders>
              <w:left w:val="single" w:sz="8" w:color="CCEEFF"/>
            </w:tcBorders>
            <w:gridSpan w:val="4"/>
            <w:shd w:val="clear" w:color="auto" w:fill="CCEEFF"/>
          </w:tcPr>
          <w:p>
            <w:pPr>
              <w:jc w:val="right"/>
              <w:ind w:right="16"/>
              <w:spacing w:after="0" w:line="112" w:lineRule="exact"/>
              <w:rPr>
                <w:sz w:val="20"/>
                <w:szCs w:val="20"/>
                <w:color w:val="auto"/>
              </w:rPr>
            </w:pPr>
            <w:r>
              <w:rPr>
                <w:rFonts w:ascii="Times New Roman" w:cs="Times New Roman" w:eastAsia="Times New Roman" w:hAnsi="Times New Roman"/>
                <w:sz w:val="7"/>
                <w:szCs w:val="7"/>
                <w:color w:val="auto"/>
              </w:rPr>
              <w:t>$ 55,840</w:t>
            </w:r>
            <w:r>
              <w:rPr>
                <w:rFonts w:ascii="Times New Roman" w:cs="Times New Roman" w:eastAsia="Times New Roman" w:hAnsi="Times New Roman"/>
                <w:sz w:val="12"/>
                <w:szCs w:val="12"/>
                <w:color w:val="auto"/>
                <w:vertAlign w:val="subscript"/>
              </w:rPr>
              <w:t>​</w:t>
            </w:r>
          </w:p>
        </w:tc>
        <w:tc>
          <w:tcPr>
            <w:tcW w:w="80" w:type="dxa"/>
            <w:vAlign w:val="bottom"/>
            <w:tcBorders>
              <w:right w:val="single" w:sz="8" w:color="CCEEFF"/>
            </w:tcBorders>
            <w:shd w:val="clear" w:color="auto" w:fill="CCEEFF"/>
          </w:tcPr>
          <w:p>
            <w:pPr>
              <w:spacing w:after="0"/>
              <w:rPr>
                <w:sz w:val="9"/>
                <w:szCs w:val="9"/>
                <w:color w:val="auto"/>
              </w:rPr>
            </w:pPr>
          </w:p>
        </w:tc>
        <w:tc>
          <w:tcPr>
            <w:tcW w:w="500" w:type="dxa"/>
            <w:vAlign w:val="bottom"/>
            <w:tcBorders>
              <w:left w:val="single" w:sz="8" w:color="CCEEFF"/>
              <w:right w:val="single" w:sz="8" w:color="CCEEFF"/>
            </w:tcBorders>
            <w:gridSpan w:val="3"/>
            <w:shd w:val="clear" w:color="auto" w:fill="CCEEFF"/>
          </w:tcPr>
          <w:p>
            <w:pPr>
              <w:spacing w:after="0" w:line="112" w:lineRule="exact"/>
              <w:rPr>
                <w:sz w:val="20"/>
                <w:szCs w:val="20"/>
                <w:color w:val="auto"/>
              </w:rPr>
            </w:pPr>
            <w:r>
              <w:rPr>
                <w:rFonts w:ascii="Times New Roman" w:cs="Times New Roman" w:eastAsia="Times New Roman" w:hAnsi="Times New Roman"/>
                <w:sz w:val="7"/>
                <w:szCs w:val="7"/>
                <w:color w:val="auto"/>
              </w:rPr>
              <w:t>​81,242,587</w:t>
            </w:r>
            <w:r>
              <w:rPr>
                <w:rFonts w:ascii="Times New Roman" w:cs="Times New Roman" w:eastAsia="Times New Roman" w:hAnsi="Times New Roman"/>
                <w:sz w:val="12"/>
                <w:szCs w:val="12"/>
                <w:color w:val="auto"/>
                <w:vertAlign w:val="subscript"/>
              </w:rPr>
              <w:t>​</w:t>
            </w: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540" w:type="dxa"/>
            <w:vAlign w:val="bottom"/>
            <w:tcBorders>
              <w:left w:val="single" w:sz="8" w:color="CCEEFF"/>
              <w:right w:val="single" w:sz="8" w:color="CCEEFF"/>
            </w:tcBorders>
            <w:gridSpan w:val="4"/>
            <w:shd w:val="clear" w:color="auto" w:fill="CCEEFF"/>
          </w:tcPr>
          <w:p>
            <w:pPr>
              <w:jc w:val="right"/>
              <w:ind w:right="4"/>
              <w:spacing w:after="0" w:line="112" w:lineRule="exact"/>
              <w:rPr>
                <w:sz w:val="20"/>
                <w:szCs w:val="20"/>
                <w:color w:val="auto"/>
              </w:rPr>
            </w:pPr>
            <w:r>
              <w:rPr>
                <w:rFonts w:ascii="Times New Roman" w:cs="Times New Roman" w:eastAsia="Times New Roman" w:hAnsi="Times New Roman"/>
                <w:sz w:val="7"/>
                <w:szCs w:val="7"/>
                <w:color w:val="auto"/>
              </w:rPr>
              <w:t>$  193,290</w:t>
            </w:r>
            <w:r>
              <w:rPr>
                <w:rFonts w:ascii="Times New Roman" w:cs="Times New Roman" w:eastAsia="Times New Roman" w:hAnsi="Times New Roman"/>
                <w:sz w:val="12"/>
                <w:szCs w:val="12"/>
                <w:color w:val="auto"/>
                <w:vertAlign w:val="subscript"/>
              </w:rPr>
              <w:t>​</w:t>
            </w: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540" w:type="dxa"/>
            <w:vAlign w:val="bottom"/>
            <w:gridSpan w:val="5"/>
            <w:shd w:val="clear" w:color="auto" w:fill="CCEEFF"/>
          </w:tcPr>
          <w:p>
            <w:pPr>
              <w:jc w:val="right"/>
              <w:ind w:right="21"/>
              <w:spacing w:after="0" w:line="112" w:lineRule="exact"/>
              <w:rPr>
                <w:sz w:val="20"/>
                <w:szCs w:val="20"/>
                <w:color w:val="auto"/>
              </w:rPr>
            </w:pPr>
            <w:r>
              <w:rPr>
                <w:rFonts w:ascii="Times New Roman" w:cs="Times New Roman" w:eastAsia="Times New Roman" w:hAnsi="Times New Roman"/>
                <w:sz w:val="7"/>
                <w:szCs w:val="7"/>
                <w:color w:val="auto"/>
              </w:rPr>
              <w:t>​13,617,052</w:t>
            </w:r>
            <w:r>
              <w:rPr>
                <w:rFonts w:ascii="Times New Roman" w:cs="Times New Roman" w:eastAsia="Times New Roman" w:hAnsi="Times New Roman"/>
                <w:sz w:val="12"/>
                <w:szCs w:val="12"/>
                <w:color w:val="auto"/>
                <w:vertAlign w:val="subscript"/>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tcBorders>
              <w:right w:val="single" w:sz="8" w:color="CCEEFF"/>
            </w:tcBorders>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left w:val="single" w:sz="8" w:color="CCEEFF"/>
            </w:tcBorders>
            <w:shd w:val="clear" w:color="auto" w:fill="CCEEFF"/>
          </w:tcPr>
          <w:p>
            <w:pPr>
              <w:jc w:val="right"/>
              <w:ind w:right="19"/>
              <w:spacing w:after="0" w:line="112" w:lineRule="exact"/>
              <w:rPr>
                <w:sz w:val="20"/>
                <w:szCs w:val="20"/>
                <w:color w:val="auto"/>
              </w:rPr>
            </w:pPr>
            <w:r>
              <w:rPr>
                <w:rFonts w:ascii="Times New Roman" w:cs="Times New Roman" w:eastAsia="Times New Roman" w:hAnsi="Times New Roman"/>
                <w:sz w:val="7"/>
                <w:szCs w:val="7"/>
                <w:color w:val="auto"/>
              </w:rPr>
              <w:t>1</w:t>
            </w:r>
            <w:r>
              <w:rPr>
                <w:rFonts w:ascii="Times New Roman" w:cs="Times New Roman" w:eastAsia="Times New Roman" w:hAnsi="Times New Roman"/>
                <w:sz w:val="12"/>
                <w:szCs w:val="12"/>
                <w:color w:val="auto"/>
                <w:vertAlign w:val="subscript"/>
              </w:rPr>
              <w:t>​</w:t>
            </w: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420" w:type="dxa"/>
            <w:vAlign w:val="bottom"/>
            <w:gridSpan w:val="5"/>
            <w:shd w:val="clear" w:color="auto" w:fill="CCEEFF"/>
          </w:tcPr>
          <w:p>
            <w:pPr>
              <w:jc w:val="right"/>
              <w:ind w:right="21"/>
              <w:spacing w:after="0" w:line="112" w:lineRule="exact"/>
              <w:rPr>
                <w:sz w:val="20"/>
                <w:szCs w:val="20"/>
                <w:color w:val="auto"/>
              </w:rPr>
            </w:pPr>
            <w:r>
              <w:rPr>
                <w:rFonts w:ascii="Times New Roman" w:cs="Times New Roman" w:eastAsia="Times New Roman" w:hAnsi="Times New Roman"/>
                <w:sz w:val="7"/>
                <w:szCs w:val="7"/>
                <w:color w:val="auto"/>
              </w:rPr>
              <w:t>$   2,455</w:t>
            </w:r>
            <w:r>
              <w:rPr>
                <w:rFonts w:ascii="Times New Roman" w:cs="Times New Roman" w:eastAsia="Times New Roman" w:hAnsi="Times New Roman"/>
                <w:sz w:val="12"/>
                <w:szCs w:val="12"/>
                <w:color w:val="auto"/>
                <w:vertAlign w:val="subscript"/>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gridSpan w:val="5"/>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   115​</w:t>
            </w:r>
          </w:p>
        </w:tc>
        <w:tc>
          <w:tcPr>
            <w:tcW w:w="80" w:type="dxa"/>
            <w:vAlign w:val="bottom"/>
            <w:shd w:val="clear" w:color="auto" w:fill="CCEEFF"/>
          </w:tcPr>
          <w:p>
            <w:pPr>
              <w:spacing w:after="0"/>
              <w:rPr>
                <w:sz w:val="9"/>
                <w:szCs w:val="9"/>
                <w:color w:val="auto"/>
              </w:rPr>
            </w:pPr>
          </w:p>
        </w:tc>
        <w:tc>
          <w:tcPr>
            <w:tcW w:w="120" w:type="dxa"/>
            <w:vAlign w:val="bottom"/>
            <w:tcBorders>
              <w:left w:val="single" w:sz="8" w:color="CCEEFF"/>
            </w:tcBorders>
            <w:shd w:val="clear" w:color="auto" w:fill="CCEEFF"/>
          </w:tcPr>
          <w:p>
            <w:pPr>
              <w:spacing w:after="0"/>
              <w:rPr>
                <w:sz w:val="9"/>
                <w:szCs w:val="9"/>
                <w:color w:val="auto"/>
              </w:rPr>
            </w:pPr>
          </w:p>
        </w:tc>
        <w:tc>
          <w:tcPr>
            <w:tcW w:w="560" w:type="dxa"/>
            <w:vAlign w:val="bottom"/>
            <w:gridSpan w:val="6"/>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   (241,423)</w:t>
            </w:r>
          </w:p>
        </w:tc>
        <w:tc>
          <w:tcPr>
            <w:tcW w:w="240" w:type="dxa"/>
            <w:vAlign w:val="bottom"/>
            <w:tcBorders>
              <w:right w:val="single" w:sz="8" w:color="CCEEFF"/>
            </w:tcBorders>
            <w:gridSpan w:val="2"/>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3"/>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  (238,852)</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64"/>
        </w:trPr>
        <w:tc>
          <w:tcPr>
            <w:tcW w:w="2300" w:type="dxa"/>
            <w:vAlign w:val="bottom"/>
            <w:shd w:val="clear" w:color="auto" w:fill="CCEEFF"/>
          </w:tcPr>
          <w:p>
            <w:pPr>
              <w:spacing w:after="0"/>
              <w:rPr>
                <w:sz w:val="5"/>
                <w:szCs w:val="5"/>
                <w:color w:val="auto"/>
              </w:rPr>
            </w:pPr>
          </w:p>
        </w:tc>
        <w:tc>
          <w:tcPr>
            <w:tcW w:w="2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2"/>
                <w:szCs w:val="2"/>
                <w:color w:val="auto"/>
              </w:rPr>
              <w:t>​ ​ ​</w:t>
            </w:r>
          </w:p>
        </w:tc>
        <w:tc>
          <w:tcPr>
            <w:tcW w:w="240" w:type="dxa"/>
            <w:vAlign w:val="bottom"/>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 ​</w:t>
            </w: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rPr>
              <w:t>​</w:t>
            </w: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gridSpan w:val="3"/>
            <w:shd w:val="clear" w:color="auto" w:fill="CCEEFF"/>
          </w:tcPr>
          <w:p>
            <w:pPr>
              <w:jc w:val="center"/>
              <w:ind w:right="11"/>
              <w:spacing w:after="0"/>
              <w:rPr>
                <w:sz w:val="20"/>
                <w:szCs w:val="20"/>
                <w:color w:val="auto"/>
              </w:rPr>
            </w:pPr>
            <w:r>
              <w:rPr>
                <w:rFonts w:ascii="Times New Roman" w:cs="Times New Roman" w:eastAsia="Times New Roman" w:hAnsi="Times New Roman"/>
                <w:sz w:val="2"/>
                <w:szCs w:val="2"/>
                <w:color w:val="auto"/>
              </w:rPr>
              <w:t>​​ ​ ​</w:t>
            </w: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rPr>
              <w:t>​​ ​ ​</w:t>
            </w:r>
          </w:p>
        </w:tc>
        <w:tc>
          <w:tcPr>
            <w:tcW w:w="80" w:type="dxa"/>
            <w:vAlign w:val="bottom"/>
            <w:tcBorders>
              <w:left w:val="single" w:sz="8" w:color="CCEEFF"/>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40" w:type="dxa"/>
            <w:vAlign w:val="bottom"/>
            <w:gridSpan w:val="3"/>
            <w:shd w:val="clear" w:color="auto" w:fill="CCEEFF"/>
          </w:tcPr>
          <w:p>
            <w:pPr>
              <w:jc w:val="right"/>
              <w:ind w:right="25"/>
              <w:spacing w:after="0"/>
              <w:rPr>
                <w:sz w:val="20"/>
                <w:szCs w:val="20"/>
                <w:color w:val="auto"/>
              </w:rPr>
            </w:pPr>
            <w:r>
              <w:rPr>
                <w:rFonts w:ascii="Times New Roman" w:cs="Times New Roman" w:eastAsia="Times New Roman" w:hAnsi="Times New Roman"/>
                <w:sz w:val="2"/>
                <w:szCs w:val="2"/>
                <w:color w:val="auto"/>
              </w:rPr>
              <w:t>​​ ​ ​</w:t>
            </w:r>
          </w:p>
        </w:tc>
        <w:tc>
          <w:tcPr>
            <w:tcW w:w="100" w:type="dxa"/>
            <w:vAlign w:val="bottom"/>
            <w:shd w:val="clear" w:color="auto" w:fill="CCEEFF"/>
          </w:tcPr>
          <w:p>
            <w:pPr>
              <w:spacing w:after="0"/>
              <w:rPr>
                <w:sz w:val="5"/>
                <w:szCs w:val="5"/>
                <w:color w:val="auto"/>
              </w:rPr>
            </w:pPr>
          </w:p>
        </w:tc>
        <w:tc>
          <w:tcPr>
            <w:tcW w:w="320" w:type="dxa"/>
            <w:vAlign w:val="bottom"/>
            <w:tcBorders>
              <w:right w:val="single" w:sz="8" w:color="CCEEFF"/>
            </w:tcBorders>
            <w:shd w:val="clear" w:color="auto" w:fill="CCEEFF"/>
          </w:tcPr>
          <w:p>
            <w:pPr>
              <w:spacing w:after="0"/>
              <w:rPr>
                <w:sz w:val="5"/>
                <w:szCs w:val="5"/>
                <w:color w:val="auto"/>
              </w:rPr>
            </w:pPr>
          </w:p>
        </w:tc>
        <w:tc>
          <w:tcPr>
            <w:tcW w:w="180" w:type="dxa"/>
            <w:vAlign w:val="bottom"/>
            <w:tcBorders>
              <w:lef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 ​ ​</w:t>
            </w:r>
          </w:p>
        </w:tc>
        <w:tc>
          <w:tcPr>
            <w:tcW w:w="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1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2"/>
                <w:szCs w:val="2"/>
                <w:color w:val="auto"/>
              </w:rPr>
              <w:t>​ ​</w:t>
            </w:r>
          </w:p>
        </w:tc>
        <w:tc>
          <w:tcPr>
            <w:tcW w:w="2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4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2"/>
                <w:szCs w:val="2"/>
                <w:color w:val="auto"/>
              </w:rPr>
              <w:t>​​ ​</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160" w:type="dxa"/>
            <w:vAlign w:val="bottom"/>
            <w:tcBorders>
              <w:right w:val="single" w:sz="8" w:color="CCEEFF"/>
            </w:tcBorders>
            <w:shd w:val="clear" w:color="auto" w:fill="CCEEFF"/>
          </w:tcPr>
          <w:p>
            <w:pPr>
              <w:spacing w:after="0"/>
              <w:rPr>
                <w:sz w:val="5"/>
                <w:szCs w:val="5"/>
                <w:color w:val="auto"/>
              </w:rPr>
            </w:pPr>
          </w:p>
        </w:tc>
        <w:tc>
          <w:tcPr>
            <w:tcW w:w="20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 ​</w:t>
            </w:r>
          </w:p>
        </w:tc>
        <w:tc>
          <w:tcPr>
            <w:tcW w:w="10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rPr>
              <w:t>​</w:t>
            </w:r>
          </w:p>
        </w:tc>
        <w:tc>
          <w:tcPr>
            <w:tcW w:w="160" w:type="dxa"/>
            <w:vAlign w:val="bottom"/>
            <w:tcBorders>
              <w:left w:val="single" w:sz="8" w:color="CCEEFF"/>
              <w:righ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tcBorders>
              <w:left w:val="single" w:sz="8" w:color="CCEEFF"/>
            </w:tcBorders>
            <w:shd w:val="clear" w:color="auto" w:fill="CCEEFF"/>
          </w:tcPr>
          <w:p>
            <w:pPr>
              <w:spacing w:after="0"/>
              <w:rPr>
                <w:sz w:val="5"/>
                <w:szCs w:val="5"/>
                <w:color w:val="auto"/>
              </w:rPr>
            </w:pPr>
          </w:p>
        </w:tc>
        <w:tc>
          <w:tcPr>
            <w:tcW w:w="28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2"/>
                <w:szCs w:val="2"/>
                <w:color w:val="auto"/>
              </w:rPr>
              <w:t>​​ ​</w:t>
            </w:r>
          </w:p>
        </w:tc>
        <w:tc>
          <w:tcPr>
            <w:tcW w:w="100" w:type="dxa"/>
            <w:vAlign w:val="bottom"/>
            <w:tcBorders>
              <w:right w:val="single" w:sz="8" w:color="CCEEFF"/>
            </w:tcBorders>
            <w:shd w:val="clear" w:color="auto" w:fill="CCEEFF"/>
          </w:tcPr>
          <w:p>
            <w:pPr>
              <w:spacing w:after="0"/>
              <w:rPr>
                <w:sz w:val="5"/>
                <w:szCs w:val="5"/>
                <w:color w:val="auto"/>
              </w:rPr>
            </w:pPr>
          </w:p>
        </w:tc>
        <w:tc>
          <w:tcPr>
            <w:tcW w:w="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
                <w:szCs w:val="2"/>
                <w:color w:val="auto"/>
              </w:rPr>
              <w:t>​</w:t>
            </w: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 ​ ​</w:t>
            </w: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40" w:type="dxa"/>
            <w:vAlign w:val="bottom"/>
            <w:tcBorders>
              <w:right w:val="single" w:sz="8" w:color="CCEEFF"/>
            </w:tcBorders>
            <w:gridSpan w:val="2"/>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rPr>
              <w:t>​</w:t>
            </w:r>
          </w:p>
        </w:tc>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gridSpan w:val="4"/>
          </w:tcPr>
          <w:p>
            <w:pPr>
              <w:spacing w:after="0" w:line="20" w:lineRule="exact"/>
              <w:rPr>
                <w:sz w:val="1"/>
                <w:szCs w:val="1"/>
                <w:color w:val="auto"/>
              </w:rPr>
            </w:pPr>
          </w:p>
        </w:tc>
        <w:tc>
          <w:tcPr>
            <w:tcW w:w="46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CCEEFF"/>
            </w:tcBorders>
            <w:gridSpan w:val="3"/>
          </w:tcPr>
          <w:p>
            <w:pPr>
              <w:spacing w:after="0" w:line="20" w:lineRule="exact"/>
              <w:rPr>
                <w:sz w:val="1"/>
                <w:szCs w:val="1"/>
                <w:color w:val="auto"/>
              </w:rPr>
            </w:pPr>
          </w:p>
        </w:tc>
        <w:tc>
          <w:tcPr>
            <w:tcW w:w="2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4"/>
          </w:tcPr>
          <w:p>
            <w:pPr>
              <w:spacing w:after="0" w:line="20" w:lineRule="exact"/>
              <w:rPr>
                <w:sz w:val="1"/>
                <w:szCs w:val="1"/>
                <w:color w:val="auto"/>
              </w:rPr>
            </w:pPr>
          </w:p>
        </w:tc>
        <w:tc>
          <w:tcPr>
            <w:tcW w:w="340" w:type="dxa"/>
            <w:vAlign w:val="bottom"/>
            <w:tcBorders>
              <w:top w:val="single" w:sz="8" w:color="CCEEFF"/>
            </w:tcBorders>
            <w:gridSpan w:val="3"/>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300" w:type="dxa"/>
            <w:vAlign w:val="bottom"/>
            <w:tcBorders>
              <w:top w:val="single" w:sz="8" w:color="auto"/>
              <w:bottom w:val="single" w:sz="8" w:color="auto"/>
            </w:tcBorders>
            <w:gridSpan w:val="3"/>
          </w:tcPr>
          <w:p>
            <w:pPr>
              <w:spacing w:after="0" w:line="20" w:lineRule="exact"/>
              <w:rPr>
                <w:sz w:val="1"/>
                <w:szCs w:val="1"/>
                <w:color w:val="auto"/>
              </w:rPr>
            </w:pPr>
          </w:p>
        </w:tc>
        <w:tc>
          <w:tcPr>
            <w:tcW w:w="560" w:type="dxa"/>
            <w:vAlign w:val="bottom"/>
            <w:tcBorders>
              <w:top w:val="single" w:sz="8" w:color="CCEEFF"/>
            </w:tcBorders>
            <w:gridSpan w:val="6"/>
          </w:tcPr>
          <w:p>
            <w:pPr>
              <w:spacing w:after="0" w:line="20" w:lineRule="exact"/>
              <w:rPr>
                <w:sz w:val="1"/>
                <w:szCs w:val="1"/>
                <w:color w:val="auto"/>
              </w:rPr>
            </w:pPr>
          </w:p>
        </w:tc>
        <w:tc>
          <w:tcPr>
            <w:tcW w:w="340" w:type="dxa"/>
            <w:vAlign w:val="bottom"/>
            <w:tcBorders>
              <w:top w:val="single" w:sz="8" w:color="auto"/>
              <w:bottom w:val="single" w:sz="8" w:color="auto"/>
            </w:tcBorders>
            <w:gridSpan w:val="5"/>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6"/>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-2580640</wp:posOffset>
            </wp:positionV>
            <wp:extent cx="5937250" cy="12700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937250" cy="127000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-139065</wp:posOffset>
            </wp:positionV>
            <wp:extent cx="146685"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5788660</wp:posOffset>
            </wp:positionH>
            <wp:positionV relativeFrom="paragraph">
              <wp:posOffset>-139065</wp:posOffset>
            </wp:positionV>
            <wp:extent cx="132715"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-139065</wp:posOffset>
            </wp:positionV>
            <wp:extent cx="327660"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27660" cy="6985"/>
                    </a:xfrm>
                    <a:prstGeom prst="rect">
                      <a:avLst/>
                    </a:prstGeom>
                    <a:noFill/>
                  </pic:spPr>
                </pic:pic>
              </a:graphicData>
            </a:graphic>
          </wp:anchor>
        </w:drawing>
        <w:drawing>
          <wp:anchor simplePos="0" relativeHeight="251657728" behindDoc="1" locked="0" layoutInCell="0" allowOverlap="1">
            <wp:simplePos x="0" y="0"/>
            <wp:positionH relativeFrom="column">
              <wp:posOffset>4853940</wp:posOffset>
            </wp:positionH>
            <wp:positionV relativeFrom="paragraph">
              <wp:posOffset>-139065</wp:posOffset>
            </wp:positionV>
            <wp:extent cx="174625"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-139065</wp:posOffset>
            </wp:positionV>
            <wp:extent cx="188595"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-139065</wp:posOffset>
            </wp:positionV>
            <wp:extent cx="111760"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-139065</wp:posOffset>
            </wp:positionV>
            <wp:extent cx="104775"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-139065</wp:posOffset>
            </wp:positionV>
            <wp:extent cx="104775"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-139065</wp:posOffset>
            </wp:positionV>
            <wp:extent cx="104775"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-139065</wp:posOffset>
            </wp:positionV>
            <wp:extent cx="2260600"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260600" cy="698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-843280</wp:posOffset>
            </wp:positionV>
            <wp:extent cx="97790"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-843280</wp:posOffset>
            </wp:positionV>
            <wp:extent cx="104775"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-843280</wp:posOffset>
            </wp:positionV>
            <wp:extent cx="97790"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-843280</wp:posOffset>
            </wp:positionV>
            <wp:extent cx="97790" cy="6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-843280</wp:posOffset>
            </wp:positionV>
            <wp:extent cx="97790"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-843280</wp:posOffset>
            </wp:positionV>
            <wp:extent cx="97790"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-843280</wp:posOffset>
            </wp:positionV>
            <wp:extent cx="1932305"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932305" cy="6985"/>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-843280</wp:posOffset>
            </wp:positionV>
            <wp:extent cx="97790" cy="6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5788660</wp:posOffset>
            </wp:positionH>
            <wp:positionV relativeFrom="paragraph">
              <wp:posOffset>-843280</wp:posOffset>
            </wp:positionV>
            <wp:extent cx="97790" cy="69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-843280</wp:posOffset>
            </wp:positionV>
            <wp:extent cx="97790"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4853940</wp:posOffset>
            </wp:positionH>
            <wp:positionV relativeFrom="paragraph">
              <wp:posOffset>-843280</wp:posOffset>
            </wp:positionV>
            <wp:extent cx="97790"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97790" cy="6985"/>
                    </a:xfrm>
                    <a:prstGeom prst="rect">
                      <a:avLst/>
                    </a:prstGeom>
                    <a:noFill/>
                  </pic:spPr>
                </pic:pic>
              </a:graphicData>
            </a:graphic>
          </wp:anchor>
        </w:drawing>
      </w:r>
    </w:p>
    <w:p>
      <w:pPr>
        <w:spacing w:after="0" w:line="16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221220" cy="3937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80"/>
          </w:cols>
          <w:pgMar w:left="300" w:top="98" w:right="919" w:bottom="1440" w:gutter="0" w:footer="0" w:header="0"/>
        </w:sectPr>
      </w:pPr>
    </w:p>
    <w:bookmarkStart w:id="251" w:name="page252"/>
    <w:bookmarkEnd w:id="251"/>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w:t>
      </w:r>
    </w:p>
    <w:p>
      <w:pPr>
        <w:spacing w:after="0" w:line="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3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2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Six Months Ended</w:t>
            </w:r>
          </w:p>
        </w:tc>
        <w:tc>
          <w:tcPr>
            <w:tcW w:w="60" w:type="dxa"/>
            <w:vAlign w:val="bottom"/>
          </w:tcPr>
          <w:p>
            <w:pPr>
              <w:spacing w:after="0"/>
              <w:rPr>
                <w:sz w:val="12"/>
                <w:szCs w:val="12"/>
                <w:color w:val="auto"/>
              </w:rPr>
            </w:pPr>
          </w:p>
        </w:tc>
      </w:tr>
      <w:tr>
        <w:trPr>
          <w:trHeight w:val="162"/>
        </w:trPr>
        <w:tc>
          <w:tcPr>
            <w:tcW w:w="2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600" w:type="dxa"/>
            <w:vAlign w:val="bottom"/>
          </w:tcPr>
          <w:p>
            <w:pPr>
              <w:ind w:left="2440"/>
              <w:spacing w:after="0"/>
              <w:rPr>
                <w:sz w:val="20"/>
                <w:szCs w:val="20"/>
                <w:color w:val="auto"/>
              </w:rPr>
            </w:pPr>
            <w:r>
              <w:rPr>
                <w:rFonts w:ascii="Times New Roman" w:cs="Times New Roman" w:eastAsia="Times New Roman" w:hAnsi="Times New Roman"/>
                <w:sz w:val="12"/>
                <w:szCs w:val="12"/>
                <w:b w:val="1"/>
                <w:bCs w:val="1"/>
                <w:color w:val="auto"/>
              </w:rPr>
              <w:t>​ ​</w:t>
            </w: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June 30,</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600" w:type="dxa"/>
            <w:vAlign w:val="bottom"/>
          </w:tcPr>
          <w:p>
            <w:pPr>
              <w:ind w:left="2480"/>
              <w:spacing w:after="0"/>
              <w:rPr>
                <w:sz w:val="20"/>
                <w:szCs w:val="20"/>
                <w:color w:val="auto"/>
              </w:rPr>
            </w:pPr>
            <w:r>
              <w:rPr>
                <w:rFonts w:ascii="Times New Roman" w:cs="Times New Roman" w:eastAsia="Times New Roman" w:hAnsi="Times New Roman"/>
                <w:sz w:val="12"/>
                <w:szCs w:val="12"/>
                <w:b w:val="1"/>
                <w:bCs w:val="1"/>
                <w:color w:val="auto"/>
              </w:rPr>
              <w:t>​ ​</w:t>
            </w: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bottom w:val="single" w:sz="8" w:color="auto"/>
            </w:tcBorders>
          </w:tcPr>
          <w:p>
            <w:pPr>
              <w:spacing w:after="0"/>
              <w:rPr>
                <w:sz w:val="14"/>
                <w:szCs w:val="1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2"/>
                <w:szCs w:val="12"/>
                <w:b w:val="1"/>
                <w:bCs w:val="1"/>
                <w:color w:val="auto"/>
              </w:rPr>
              <w:t>2023</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-6350</wp:posOffset>
            </wp:positionV>
            <wp:extent cx="4241800" cy="12573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241800" cy="12573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1905</wp:posOffset>
            </wp:positionV>
            <wp:extent cx="4241800" cy="1187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241800" cy="11874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p>
      <w:pPr>
        <w:spacing w:after="0" w:line="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Acquired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1905</wp:posOffset>
            </wp:positionV>
            <wp:extent cx="4241800" cy="1187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241800" cy="118745"/>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5"/>
          <w:szCs w:val="15"/>
          <w:color w:val="auto"/>
        </w:rPr>
        <w:t>Depreciation expense</w:t>
      </w:r>
    </w:p>
    <w:p>
      <w:pPr>
        <w:spacing w:after="0" w:line="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1905</wp:posOffset>
            </wp:positionV>
            <wp:extent cx="4241800" cy="1187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241800" cy="118745"/>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5"/>
          <w:szCs w:val="15"/>
          <w:color w:val="auto"/>
        </w:rPr>
        <w:t>Change in fair value of convertible notes</w:t>
      </w:r>
    </w:p>
    <w:p>
      <w:pPr>
        <w:spacing w:after="0" w:line="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Non-cash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1905</wp:posOffset>
            </wp:positionV>
            <wp:extent cx="4241800" cy="1187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241800" cy="118745"/>
                    </a:xfrm>
                    <a:prstGeom prst="rect">
                      <a:avLst/>
                    </a:prstGeom>
                    <a:noFill/>
                  </pic:spPr>
                </pic:pic>
              </a:graphicData>
            </a:graphic>
          </wp:anchor>
        </w:drawing>
      </w:r>
    </w:p>
    <w:p>
      <w:pPr>
        <w:ind w:left="1460"/>
        <w:spacing w:after="0"/>
        <w:rPr>
          <w:sz w:val="20"/>
          <w:szCs w:val="20"/>
          <w:color w:val="auto"/>
        </w:rPr>
      </w:pPr>
      <w:r>
        <w:rPr>
          <w:rFonts w:ascii="Times New Roman" w:cs="Times New Roman" w:eastAsia="Times New Roman" w:hAnsi="Times New Roman"/>
          <w:sz w:val="15"/>
          <w:szCs w:val="15"/>
          <w:color w:val="auto"/>
        </w:rPr>
        <w:t>Changes in operating assets and liabilities:</w:t>
      </w:r>
    </w:p>
    <w:p>
      <w:pPr>
        <w:spacing w:after="0" w:line="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1905</wp:posOffset>
            </wp:positionV>
            <wp:extent cx="4241800" cy="1187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241800" cy="118745"/>
                    </a:xfrm>
                    <a:prstGeom prst="rect">
                      <a:avLst/>
                    </a:prstGeom>
                    <a:noFill/>
                  </pic:spPr>
                </pic:pic>
              </a:graphicData>
            </a:graphic>
          </wp:anchor>
        </w:drawing>
      </w:r>
    </w:p>
    <w:p>
      <w:pPr>
        <w:ind w:left="1460"/>
        <w:spacing w:after="0"/>
        <w:rPr>
          <w:sz w:val="20"/>
          <w:szCs w:val="20"/>
          <w:color w:val="auto"/>
        </w:rPr>
      </w:pPr>
      <w:r>
        <w:rPr>
          <w:rFonts w:ascii="Times New Roman" w:cs="Times New Roman" w:eastAsia="Times New Roman" w:hAnsi="Times New Roman"/>
          <w:sz w:val="15"/>
          <w:szCs w:val="15"/>
          <w:color w:val="auto"/>
        </w:rPr>
        <w:t>Accounts payable</w:t>
      </w:r>
    </w:p>
    <w:p>
      <w:pPr>
        <w:spacing w:after="0" w:line="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1905</wp:posOffset>
            </wp:positionV>
            <wp:extent cx="4241800" cy="1187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241800" cy="118745"/>
                    </a:xfrm>
                    <a:prstGeom prst="rect">
                      <a:avLst/>
                    </a:prstGeom>
                    <a:noFill/>
                  </pic:spPr>
                </pic:pic>
              </a:graphicData>
            </a:graphic>
          </wp:anchor>
        </w:drawing>
      </w:r>
    </w:p>
    <w:p>
      <w:pPr>
        <w:ind w:left="1460"/>
        <w:spacing w:after="0"/>
        <w:rPr>
          <w:sz w:val="20"/>
          <w:szCs w:val="20"/>
          <w:color w:val="auto"/>
        </w:rPr>
      </w:pPr>
      <w:r>
        <w:rPr>
          <w:rFonts w:ascii="Times New Roman" w:cs="Times New Roman" w:eastAsia="Times New Roman" w:hAnsi="Times New Roman"/>
          <w:sz w:val="15"/>
          <w:szCs w:val="15"/>
          <w:color w:val="auto"/>
        </w:rPr>
        <w:t>Operating lease liabilities</w:t>
      </w:r>
    </w:p>
    <w:p>
      <w:pPr>
        <w:spacing w:after="0" w:line="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8890</wp:posOffset>
            </wp:positionV>
            <wp:extent cx="4241800" cy="1397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Net cash used in operating activities</w:t>
      </w:r>
    </w:p>
    <w:p>
      <w:pPr>
        <w:spacing w:after="0" w:line="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8"/>
        </w:trPr>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 ​​$  (65,777)​​</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(48,144)​​</w:t>
            </w:r>
          </w:p>
        </w:tc>
      </w:tr>
      <w:tr>
        <w:trPr>
          <w:trHeight w:val="176"/>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10,000​ ​​</w:t>
            </w:r>
          </w:p>
        </w:tc>
      </w:tr>
      <w:tr>
        <w:trPr>
          <w:trHeight w:val="187"/>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68​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57​ ​​</w:t>
            </w:r>
          </w:p>
        </w:tc>
      </w:tr>
      <w:tr>
        <w:trPr>
          <w:trHeight w:val="187"/>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2,483​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1,356​ ​​</w:t>
            </w:r>
          </w:p>
        </w:tc>
      </w:tr>
      <w:tr>
        <w:trPr>
          <w:trHeight w:val="187"/>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846​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198"/>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298​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398​ ​​</w:t>
            </w:r>
          </w:p>
        </w:tc>
      </w:tr>
      <w:tr>
        <w:trPr>
          <w:trHeight w:val="176"/>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(1,315)​​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(1,697)</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2,927​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(2,198)</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10,184​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(6,357)</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(305)​​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0"/>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530​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7" w:lineRule="exact"/>
        <w:rPr>
          <w:sz w:val="20"/>
          <w:szCs w:val="20"/>
          <w:color w:val="auto"/>
        </w:rPr>
      </w:pPr>
    </w:p>
    <w:p>
      <w:pPr>
        <w:ind w:left="80" w:hanging="75"/>
        <w:spacing w:after="0"/>
        <w:tabs>
          <w:tab w:leader="none" w:pos="8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 ​ (50,061)</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auto"/>
        </w:rPr>
        <w:t>​ ​ (46,975)</w:t>
      </w:r>
      <w:r>
        <w:rPr>
          <w:rFonts w:ascii="Times New Roman" w:cs="Times New Roman" w:eastAsia="Times New Roman" w:hAnsi="Times New Roman"/>
          <w:sz w:val="15"/>
          <w:szCs w:val="15"/>
          <w:color w:val="auto"/>
        </w:rPr>
        <w:t>​​</w:t>
      </w:r>
    </w:p>
    <w:p>
      <w:pPr>
        <w:spacing w:after="0" w:line="41" w:lineRule="exact"/>
        <w:rPr>
          <w:sz w:val="20"/>
          <w:szCs w:val="20"/>
          <w:color w:val="auto"/>
        </w:rPr>
      </w:pPr>
    </w:p>
    <w:p>
      <w:pPr>
        <w:spacing w:after="0"/>
        <w:tabs>
          <w:tab w:leader="none" w:pos="720" w:val="left"/>
          <w:tab w:leader="none" w:pos="1560" w:val="left"/>
        </w:tabs>
        <w:rPr>
          <w:sz w:val="20"/>
          <w:szCs w:val="20"/>
          <w:color w:val="auto"/>
        </w:rPr>
      </w:pPr>
      <w:r>
        <w:rPr>
          <w:rFonts w:ascii="Times New Roman" w:cs="Times New Roman" w:eastAsia="Times New Roman" w:hAnsi="Times New Roman"/>
          <w:sz w:val="15"/>
          <w:szCs w:val="15"/>
          <w:b w:val="1"/>
          <w:bCs w:val="1"/>
          <w:color w:val="auto"/>
        </w:rPr>
        <w:t>​ ​​ ​</w:t>
      </w:r>
      <w:r>
        <w:rPr>
          <w:sz w:val="20"/>
          <w:szCs w:val="20"/>
          <w:color w:val="auto"/>
        </w:rPr>
        <w:tab/>
      </w:r>
      <w:r>
        <w:rPr>
          <w:rFonts w:ascii="Times New Roman" w:cs="Times New Roman" w:eastAsia="Times New Roman" w:hAnsi="Times New Roman"/>
          <w:sz w:val="15"/>
          <w:szCs w:val="15"/>
          <w:b w:val="1"/>
          <w:bCs w:val="1"/>
          <w:color w:val="auto"/>
        </w:rPr>
        <w:t>​​​ ​​ ​</w:t>
      </w:r>
      <w:r>
        <w:rPr>
          <w:sz w:val="20"/>
          <w:szCs w:val="20"/>
          <w:color w:val="auto"/>
        </w:rPr>
        <w:tab/>
      </w:r>
      <w:r>
        <w:rPr>
          <w:rFonts w:ascii="Times New Roman" w:cs="Times New Roman" w:eastAsia="Times New Roman" w:hAnsi="Times New Roman"/>
          <w:sz w:val="15"/>
          <w:szCs w:val="15"/>
          <w:b w:val="1"/>
          <w:bCs w:val="1"/>
          <w:color w:val="auto"/>
        </w:rPr>
        <w:t>​​​</w:t>
      </w:r>
    </w:p>
    <w:p>
      <w:pPr>
        <w:spacing w:after="0" w:line="20" w:lineRule="exact"/>
        <w:rPr>
          <w:sz w:val="20"/>
          <w:szCs w:val="20"/>
          <w:color w:val="auto"/>
        </w:rPr>
      </w:pPr>
    </w:p>
    <w:p>
      <w:pPr>
        <w:sectPr>
          <w:pgSz w:w="11900" w:h="16838" w:orient="portrait"/>
          <w:cols w:equalWidth="0" w:num="2">
            <w:col w:w="5640" w:space="480"/>
            <w:col w:w="2899"/>
          </w:cols>
          <w:pgMar w:left="1440" w:top="98" w:right="1440" w:bottom="1440" w:gutter="0" w:footer="0" w:header="0"/>
          <w:type w:val="continuous"/>
        </w:sectPr>
      </w:pPr>
    </w:p>
    <w:tbl>
      <w:tblPr>
        <w:tblLayout w:type="fixed"/>
        <w:tblInd w:w="1160" w:type="dxa"/>
        <w:tblCellMar>
          <w:top w:w="0" w:type="dxa"/>
          <w:left w:w="0" w:type="dxa"/>
          <w:bottom w:w="0" w:type="dxa"/>
          <w:right w:w="0" w:type="dxa"/>
        </w:tblCellMar>
      </w:tblPr>
      <w:tr>
        <w:trPr>
          <w:trHeight w:val="18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gridSpan w:val="3"/>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20" w:type="dxa"/>
            <w:vAlign w:val="bottom"/>
            <w:vMerge w:val="continue"/>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 ​​ ​</w:t>
            </w: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issuance of Series C convertible preferred stock, net of issuance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costs</w:t>
            </w:r>
          </w:p>
        </w:tc>
        <w:tc>
          <w:tcPr>
            <w:tcW w:w="1180" w:type="dxa"/>
            <w:vAlign w:val="bottom"/>
            <w:gridSpan w:val="7"/>
          </w:tcPr>
          <w:p>
            <w:pPr>
              <w:ind w:left="40"/>
              <w:spacing w:after="0"/>
              <w:rPr>
                <w:sz w:val="20"/>
                <w:szCs w:val="20"/>
                <w:color w:val="auto"/>
              </w:rPr>
            </w:pPr>
            <w:r>
              <w:rPr>
                <w:rFonts w:ascii="Times New Roman" w:cs="Times New Roman" w:eastAsia="Times New Roman" w:hAnsi="Times New Roman"/>
                <w:sz w:val="15"/>
                <w:szCs w:val="15"/>
                <w:color w:val="auto"/>
              </w:rPr>
              <w:t>​ ​​ ​178,381​​​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 of initial public offering costs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(1,422)</w:t>
            </w: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66​ ​​</w:t>
            </w: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3"/>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​177,125​</w:t>
            </w: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 ​​</w:t>
            </w: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gridSpan w:val="3"/>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Effect of exchange rate changes on cash and restricted cash</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161​ ​​</w:t>
            </w:r>
          </w:p>
        </w:tc>
        <w:tc>
          <w:tcPr>
            <w:tcW w:w="0" w:type="dxa"/>
            <w:vAlign w:val="bottom"/>
          </w:tcPr>
          <w:p>
            <w:pPr>
              <w:spacing w:after="0"/>
              <w:rPr>
                <w:sz w:val="1"/>
                <w:szCs w:val="1"/>
                <w:color w:val="auto"/>
              </w:rPr>
            </w:pPr>
          </w:p>
        </w:tc>
      </w:tr>
      <w:tr>
        <w:trPr>
          <w:trHeight w:val="198"/>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increase (decrease) in cash and restricted cash</w:t>
            </w:r>
          </w:p>
        </w:tc>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 xml:space="preserve">​ ​​ </w:t>
            </w:r>
            <w:r>
              <w:rPr>
                <w:rFonts w:ascii="Times New Roman" w:cs="Times New Roman" w:eastAsia="Times New Roman" w:hAnsi="Times New Roman"/>
                <w:sz w:val="15"/>
                <w:szCs w:val="15"/>
                <w:color w:val="auto"/>
              </w:rPr>
              <w:t>​127,075</w:t>
            </w:r>
            <w:r>
              <w:rPr>
                <w:rFonts w:ascii="Times New Roman" w:cs="Times New Roman" w:eastAsia="Times New Roman" w:hAnsi="Times New Roman"/>
                <w:sz w:val="15"/>
                <w:szCs w:val="15"/>
                <w:b w:val="1"/>
                <w:bCs w:val="1"/>
                <w:color w:val="auto"/>
              </w:rPr>
              <w:t>​</w:t>
            </w:r>
          </w:p>
        </w:tc>
        <w:tc>
          <w:tcPr>
            <w:tcW w:w="9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 ​​ </w:t>
            </w:r>
            <w:r>
              <w:rPr>
                <w:rFonts w:ascii="Times New Roman" w:cs="Times New Roman" w:eastAsia="Times New Roman" w:hAnsi="Times New Roman"/>
                <w:sz w:val="15"/>
                <w:szCs w:val="15"/>
                <w:color w:val="auto"/>
              </w:rPr>
              <w:t>​ (46,748)</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Cash and restricted cash at beginning of period</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56,943​</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67,295​ ​​</w:t>
            </w: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3"/>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restricted cash at end of period</w:t>
            </w:r>
          </w:p>
        </w:tc>
        <w:tc>
          <w:tcPr>
            <w:tcW w:w="1100" w:type="dxa"/>
            <w:vAlign w:val="bottom"/>
            <w:tcBorders>
              <w:right w:val="single" w:sz="8" w:color="CCEEFF"/>
            </w:tcBorders>
            <w:gridSpan w:val="6"/>
            <w:shd w:val="clear" w:color="auto" w:fill="CCEEFF"/>
          </w:tcPr>
          <w:p>
            <w:pPr>
              <w:ind w:left="40"/>
              <w:spacing w:after="0" w:line="189" w:lineRule="exact"/>
              <w:rPr>
                <w:sz w:val="20"/>
                <w:szCs w:val="20"/>
                <w:color w:val="auto"/>
              </w:rPr>
            </w:pP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 xml:space="preserve">$ 184,018​ </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2"/>
                <w:szCs w:val="12"/>
                <w:color w:val="auto"/>
              </w:rPr>
              <w:t xml:space="preserve">20,547​ </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20" w:type="dxa"/>
            <w:vAlign w:val="bottom"/>
            <w:vMerge w:val="continue"/>
          </w:tcPr>
          <w:p>
            <w:pPr>
              <w:spacing w:after="0"/>
              <w:rPr>
                <w:sz w:val="11"/>
                <w:szCs w:val="11"/>
                <w:color w:val="auto"/>
              </w:rPr>
            </w:pPr>
          </w:p>
        </w:tc>
        <w:tc>
          <w:tcPr>
            <w:tcW w:w="3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 ​​ ​</w:t>
            </w:r>
          </w:p>
        </w:tc>
        <w:tc>
          <w:tcPr>
            <w:tcW w:w="860" w:type="dxa"/>
            <w:vAlign w:val="bottom"/>
            <w:gridSpan w:val="5"/>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 ​​ ​</w:t>
            </w:r>
          </w:p>
        </w:tc>
        <w:tc>
          <w:tcPr>
            <w:tcW w:w="5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Conversion of BMS Note into Series C convertible preferred stock</w:t>
            </w:r>
          </w:p>
        </w:tc>
        <w:tc>
          <w:tcPr>
            <w:tcW w:w="32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1"/>
                <w:szCs w:val="21"/>
                <w:color w:val="auto"/>
                <w:vertAlign w:val="superscript"/>
              </w:rPr>
              <w:t>$</w:t>
            </w:r>
          </w:p>
        </w:tc>
        <w:tc>
          <w:tcPr>
            <w:tcW w:w="78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2"/>
                <w:szCs w:val="12"/>
                <w:color w:val="auto"/>
              </w:rPr>
              <w:t xml:space="preserve">21,146​ </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9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Deferred offering costs in accounts payable and accrued expenses</w:t>
            </w:r>
          </w:p>
        </w:tc>
        <w:tc>
          <w:tcPr>
            <w:tcW w:w="3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8"/>
                <w:szCs w:val="18"/>
                <w:color w:val="auto"/>
                <w:vertAlign w:val="superscript"/>
              </w:rPr>
              <w:t>$</w:t>
            </w:r>
          </w:p>
        </w:tc>
        <w:tc>
          <w:tcPr>
            <w:tcW w:w="780" w:type="dxa"/>
            <w:vAlign w:val="bottom"/>
            <w:gridSpan w:val="4"/>
          </w:tcPr>
          <w:p>
            <w:pPr>
              <w:jc w:val="right"/>
              <w:spacing w:after="0" w:line="162" w:lineRule="exact"/>
              <w:rPr>
                <w:sz w:val="20"/>
                <w:szCs w:val="20"/>
                <w:color w:val="auto"/>
              </w:rPr>
            </w:pPr>
            <w:r>
              <w:rPr>
                <w:rFonts w:ascii="Times New Roman" w:cs="Times New Roman" w:eastAsia="Times New Roman" w:hAnsi="Times New Roman"/>
                <w:sz w:val="11"/>
                <w:szCs w:val="11"/>
                <w:color w:val="auto"/>
              </w:rPr>
              <w:t xml:space="preserve">2,268​ </w:t>
            </w: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5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Reconciliation of cash and restricted cash:</w:t>
            </w:r>
          </w:p>
        </w:tc>
        <w:tc>
          <w:tcPr>
            <w:tcW w:w="3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5"/>
                <w:szCs w:val="15"/>
                <w:b w:val="1"/>
                <w:bCs w:val="1"/>
                <w:color w:val="auto"/>
              </w:rPr>
              <w:t>​ ​​ ​</w:t>
            </w:r>
          </w:p>
        </w:tc>
        <w:tc>
          <w:tcPr>
            <w:tcW w:w="86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b w:val="1"/>
                <w:bCs w:val="1"/>
                <w:color w:val="auto"/>
              </w:rPr>
              <w:t>​​​ ​​ ​</w:t>
            </w: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Cash</w:t>
            </w:r>
          </w:p>
        </w:tc>
        <w:tc>
          <w:tcPr>
            <w:tcW w:w="1100" w:type="dxa"/>
            <w:vAlign w:val="bottom"/>
            <w:gridSpan w:val="6"/>
          </w:tcPr>
          <w:p>
            <w:pPr>
              <w:ind w:left="40"/>
              <w:spacing w:after="0"/>
              <w:rPr>
                <w:sz w:val="20"/>
                <w:szCs w:val="20"/>
                <w:color w:val="auto"/>
              </w:rPr>
            </w:pPr>
            <w:r>
              <w:rPr>
                <w:rFonts w:ascii="Times New Roman" w:cs="Times New Roman" w:eastAsia="Times New Roman" w:hAnsi="Times New Roman"/>
                <w:sz w:val="15"/>
                <w:szCs w:val="15"/>
                <w:color w:val="auto"/>
              </w:rPr>
              <w:t>​ ​​$ 183,930​ ​​ ​​$</w:t>
            </w:r>
          </w:p>
        </w:tc>
        <w:tc>
          <w:tcPr>
            <w:tcW w:w="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20,461​ ​​</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 ​​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 ​​</w:t>
            </w: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3"/>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Total cash and restricted cash</w:t>
            </w:r>
          </w:p>
        </w:tc>
        <w:tc>
          <w:tcPr>
            <w:tcW w:w="1100" w:type="dxa"/>
            <w:vAlign w:val="bottom"/>
            <w:gridSpan w:val="6"/>
          </w:tcPr>
          <w:p>
            <w:pPr>
              <w:ind w:left="40"/>
              <w:spacing w:after="0" w:line="189" w:lineRule="exact"/>
              <w:rPr>
                <w:sz w:val="20"/>
                <w:szCs w:val="20"/>
                <w:color w:val="auto"/>
              </w:rPr>
            </w:pP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 xml:space="preserve">$ 184,018​ </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w:t>
            </w:r>
          </w:p>
        </w:tc>
        <w:tc>
          <w:tcPr>
            <w:tcW w:w="80" w:type="dxa"/>
            <w:vAlign w:val="bottom"/>
          </w:tcPr>
          <w:p>
            <w:pPr>
              <w:spacing w:after="0"/>
              <w:rPr>
                <w:sz w:val="17"/>
                <w:szCs w:val="17"/>
                <w:color w:val="auto"/>
              </w:rPr>
            </w:pPr>
          </w:p>
        </w:tc>
        <w:tc>
          <w:tcPr>
            <w:tcW w:w="5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2"/>
                <w:szCs w:val="12"/>
                <w:color w:val="auto"/>
              </w:rPr>
              <w:t xml:space="preserve">20,547​ </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-1115695</wp:posOffset>
            </wp:positionV>
            <wp:extent cx="4241800"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-1645920</wp:posOffset>
            </wp:positionV>
            <wp:extent cx="4241800"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-2259965</wp:posOffset>
            </wp:positionV>
            <wp:extent cx="4241800" cy="69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52" w:name="page253"/>
    <w:bookmarkEnd w:id="252"/>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 Nature of Business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Organization</w:t>
      </w:r>
    </w:p>
    <w:p>
      <w:pPr>
        <w:spacing w:after="0" w:line="128"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Zenas BioPharma, Inc. (“Zenas” or the “Company”) was incorporated in November 2019 as Zenas BioPharma (Cayman) Limited, an exempted company incorporated in the Cayman Islands with limited liability, and commenced operations in 2020. On August 2, 2023, the Company (then known as Zenas BioPharma (Cayman) Limited (“Zenas Cayman”)) de-registered from the Cayman Islands and registered by way of continuation in the State of Delaware. Zenas is a clinical-stage global biopharmaceutical company committed to being a leader in the development and commercialization of transformative immunology-based therapies for patients in need. The Company’s primary focus is to transform the lives of patients with unmet medical needs by developing and commercializing immune-based therapies. The Company has in-licensed and is developing several product candidates for the treatment of various auto-immune and rare diseases. The Company is headquartered in Waltham, Massachusetts and operates in one segment, which is the business of acquiring and developing immune-based therapies for potential commercialization.</w:t>
      </w:r>
    </w:p>
    <w:p>
      <w:pPr>
        <w:spacing w:after="0" w:line="10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The Company’s consolidated financial statements include the accounts of its wholly owned subsidiaries which include Zenas BioPharma (HK) Limited (“Zenas HK”), a Zenas BioPharma (USA) LLC (“Zenas US”), Shanghai Zenas Biotechnology Co. Limited (“Zenas China”), Zenas Securities Corporation, and Zenas BioPharma GmbH.</w:t>
      </w:r>
    </w:p>
    <w:p>
      <w:pPr>
        <w:spacing w:after="0" w:line="89"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Since its inception, the Company has devoted its efforts principally to research and development and raising capital. The Company is subject to risks and uncertainties common to early-stage companies in the biopharmaceutical industry, including, but not limited to, completing preclinical studies and clinical trials, obtaining regulatory approval for product candidates,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revenues to date have been generated from payments received under the Company’s license agreement with Bristol-Myers Squibb Company (“BMS”) (see Note 7). The Company has not generated any revenue from product sales since inception, and its product candidates currently under development will require significant additional research and development efforts, including extensive clinical testing and regulatory approval prior to commercialization.</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Redomicile</w:t>
      </w:r>
    </w:p>
    <w:p>
      <w:pPr>
        <w:spacing w:after="0" w:line="128"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On August 2, 2023, Zenas Cayman de-registered from the Cayman Islands and registered by way of continuation in the State of Delaware, whereby the Company filed a Certificate of Domestication to incorporate in the State of Delaware (the “Redomicile”) under the name of Zenas BioPharma, Inc. In connection with the Redomicile, (i) the existing shares of convertible preferred stock and ordinary stock holders of Zenas Cayman were automatically converted into shares of Zenas Cayman for the same number and classes of common stock and convertible preferred stock, as applicable, of the Company on a one-to-one basis, with rights substantially similar to the exchanged shares of Zenas Cayman; and (ii) all outstanding stock awards of Zenas Cayman under the Zenas BioPharma (Cayman) Limited 2020 Equity Incentive Plan (the “2020 Plan”) exercisable for ordinary stock, were automatically converted into outstanding awards of the Company, exercisable for common stock, with no other changes to the underlying terms of the awards.</w:t>
      </w:r>
    </w:p>
    <w:p>
      <w:pPr>
        <w:spacing w:after="0" w:line="279"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Upon completion of the Redomicile and name change, the historical consolidated financial statements of Zenas Cayman became the historical consolidated financial statements of Zenas BioPharma, Inc. For the period ended June 30, 2023, the ordinary stock is referred to as common stock throughout the condensed consolidated financial statements and related footnotes for consistency with the presentation as of June 30, 2024 and December 31, 2023. There was no impact on the condensed consolidated financial statements as a result of the Redomicile and name change.</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3" w:name="page254"/>
    <w:bookmarkEnd w:id="25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 Nature of Business (Continued)</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Going Concern</w:t>
      </w:r>
    </w:p>
    <w:p>
      <w:pPr>
        <w:spacing w:after="0" w:line="128"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The Company has incurred operating losses and negative cash flows since its inception, including net losses of $65.8 million and $48.1 million for the six months ended June 30, 2024 and 2023, respectively. As of June 30, 2024, the Company had an accumulated deficit of $296.2 million. The Company has not generated any product revenue since inception and has relied on its ability to fund its operations through collaboration arrangements, private equity and convertible debt financings. Management expects operating losses and negative operating cash flows to continue for the foreseeable future as it continues its research and development efforts, advances its product candidates through preclinical and clinical development, enhances its platforms and programs, expands its product pipeline, seeks regulatory approval, prepares for commercialization, hires additional personnel, protects its intellectual property and grows its business. As the Company continues to incur losses, transitioning to profitability is dependent upon the successful development, approval, and commercialization of its product candidates and the generation of sufficient revenues to support its cost structure.</w:t>
      </w:r>
    </w:p>
    <w:p>
      <w:pPr>
        <w:spacing w:after="0" w:line="285"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The Company expects that its existing cash of $183.9 million as of June 30, 2024 will be sufficient to fund its operating expenses and capital expenditure requirements into the fourth quarter of 2025, which is at least twelve months from the date these condensed consolidated financial statements were issued. The accompanying condensed consolidated financial statements have been prepared on a going concern basis, which contemplates the realization of assets and the satisfaction of liabilities and commitments in the normal course of business. The Company will need additional financing to support its continuing operations and to pursue its growth strategy. Until such time as the Company can generate significant revenue from product sales, if ever, it expects to finance its operations through a combination of private equity financings, debt financings or other capital sources, including collaborations with other companies or other strategic transactions and licensing agreements. The Company may be unable to raise additional funds or enter into such other agreements when needed on favorable terms or at all. The inability to raise capital as and when needed could have a negative impact on the Company’s financial condition and its ability to pursue its business strategy. The Company will need to generate significant revenue to achieve profitability, and it may never do so.</w:t>
      </w:r>
    </w:p>
    <w:p>
      <w:pPr>
        <w:spacing w:after="0" w:line="96"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The Company is seeking to complete an initial public offering (“IPO”) of its common stock. Upon the completion of an IPO, the Company’s outstanding convertible preferred stock will convert into shares of common stock (see Note 9).</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w:t>
      </w:r>
    </w:p>
    <w:p>
      <w:pPr>
        <w:spacing w:after="0" w:line="126"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The Company’s significant accounting policies are disclosed in Note 2, “Summary of Significant Accounting Policies,” in the audited consolidated financial statements for the years ended December 31, 2023 and 2022 included elsewhere in this prospectus. Since the date of those financial statements, there have been no changes to the Company’s significant accounting policies, except as noted below.</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Unaudited Interim Financial Information</w:t>
      </w:r>
    </w:p>
    <w:p>
      <w:pPr>
        <w:spacing w:after="0" w:line="128"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The accompanying condensed consolidated balance sheet as of June 30, 2024, and the condensed consolidated statements of operations and comprehensive loss, statements of changes in convertible preferred stock and stockholders’ deficit and statements of cash flows for the six months ended June 30, 2024 and 2023 are unaudited. The condensed consolidated interim financial statements have been prepared on the same basis as the audited annual financial statements and, in the opinion of management, reflect all adjustments, which include only normal recurring adjustments necessary for the fair presentation of the Company’s financial position as of June 30, 2024 and the results of its operations and its cash flows for the six months ended June 30, 2024 and 2023. The financial data and other information disclosed in these notes related to the</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4" w:name="page255"/>
    <w:bookmarkEnd w:id="25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 (Continued)</w:t>
      </w:r>
    </w:p>
    <w:p>
      <w:pPr>
        <w:spacing w:after="0" w:line="181"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six months ended June 30, 2024 and 2023 are also unaudited. The results for the six months ended June 30, 2024 are not necessarily indicative of results to be expected for the year ending December 31, 2024, or for any other subsequent period.</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Deferred Offering Costs</w:t>
      </w:r>
    </w:p>
    <w:p>
      <w:pPr>
        <w:spacing w:after="0" w:line="128"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The Company capitalizes legal, professional accounting and other third-party fees that are directly associated with the planned IPO and other in-process equity financings as other non-current assets until such financings are consummated. After consummation of the IPO or equity financing, these costs will be recorded in stockholders’ deficit as a reduction of additional paid- in-capital generated as a result of the offering. If the Company terminates its plan for an IPO or equity financing, any costs deferred will be expensed immediately. As of June 30, 2024 and December 31, 2023, the Company had $3.7 million and $1.4 million in deferred offering costs, respectively, which were included in other assets.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3. Fair Value Measurement</w:t>
      </w:r>
    </w:p>
    <w:p>
      <w:pPr>
        <w:spacing w:after="0" w:line="126"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Company had no assets or liabilities utilizing fair value measurements as of June 30, 2024. The following table presents information about the Company’s financial assets and liabilities measured at fair value on a recurring basis (in thousands):</w:t>
      </w:r>
    </w:p>
    <w:p>
      <w:pPr>
        <w:spacing w:after="0" w:line="96"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2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380" w:type="dxa"/>
            <w:vAlign w:val="bottom"/>
          </w:tcPr>
          <w:p>
            <w:pPr>
              <w:ind w:left="6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bottom w:val="single" w:sz="8" w:color="auto"/>
            </w:tcBorders>
            <w:gridSpan w:val="2"/>
          </w:tcPr>
          <w:p>
            <w:pPr>
              <w:spacing w:after="0"/>
              <w:rPr>
                <w:sz w:val="16"/>
                <w:szCs w:val="16"/>
                <w:color w:val="auto"/>
              </w:rPr>
            </w:pPr>
          </w:p>
        </w:tc>
        <w:tc>
          <w:tcPr>
            <w:tcW w:w="1180" w:type="dxa"/>
            <w:vAlign w:val="bottom"/>
            <w:tcBorders>
              <w:bottom w:val="single" w:sz="8" w:color="auto"/>
            </w:tcBorders>
            <w:gridSpan w:val="6"/>
          </w:tcPr>
          <w:p>
            <w:pPr>
              <w:jc w:val="right"/>
              <w:ind w:right="34"/>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Balance Sheet Classification</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Level 1 </w:t>
            </w:r>
            <w:r>
              <w:rPr>
                <w:rFonts w:ascii="Times New Roman" w:cs="Times New Roman" w:eastAsia="Times New Roman" w:hAnsi="Times New Roman"/>
                <w:sz w:val="21"/>
                <w:szCs w:val="21"/>
                <w:b w:val="1"/>
                <w:bCs w:val="1"/>
                <w:color w:val="auto"/>
                <w:vertAlign w:val="subscript"/>
              </w:rPr>
              <w:t>​</w:t>
            </w: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Level 2 </w:t>
            </w:r>
            <w:r>
              <w:rPr>
                <w:rFonts w:ascii="Times New Roman" w:cs="Times New Roman" w:eastAsia="Times New Roman" w:hAnsi="Times New Roman"/>
                <w:sz w:val="21"/>
                <w:szCs w:val="21"/>
                <w:b w:val="1"/>
                <w:bCs w:val="1"/>
                <w:color w:val="auto"/>
                <w:vertAlign w:val="subscript"/>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Total   </w:t>
            </w:r>
            <w:r>
              <w:rPr>
                <w:rFonts w:ascii="Times New Roman" w:cs="Times New Roman" w:eastAsia="Times New Roman" w:hAnsi="Times New Roman"/>
                <w:sz w:val="21"/>
                <w:szCs w:val="21"/>
                <w:b w:val="1"/>
                <w:bCs w:val="1"/>
                <w:color w:val="auto"/>
                <w:vertAlign w:val="subscript"/>
              </w:rPr>
              <w:t>​</w:t>
            </w:r>
          </w:p>
        </w:tc>
      </w:tr>
      <w:tr>
        <w:trPr>
          <w:trHeight w:val="20"/>
        </w:trPr>
        <w:tc>
          <w:tcPr>
            <w:tcW w:w="2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tcBorders>
              <w:left w:val="single" w:sz="8" w:color="CCEEFF"/>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Liabilities: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   ​​​</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 ​   ​​​</w:t>
            </w:r>
          </w:p>
        </w:tc>
        <w:tc>
          <w:tcPr>
            <w:tcW w:w="64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25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BMS Note</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Non-current liability</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ind w:left="20"/>
              <w:spacing w:after="0" w:line="22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w:t>
            </w:r>
          </w:p>
        </w:tc>
        <w:tc>
          <w:tcPr>
            <w:tcW w:w="440" w:type="dxa"/>
            <w:vAlign w:val="bottom"/>
            <w:gridSpan w:val="2"/>
          </w:tcPr>
          <w:p>
            <w:pPr>
              <w:spacing w:after="0" w:line="22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w:t>
            </w:r>
          </w:p>
        </w:tc>
        <w:tc>
          <w:tcPr>
            <w:tcW w:w="740" w:type="dxa"/>
            <w:vAlign w:val="bottom"/>
            <w:gridSpan w:val="4"/>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20,300</w:t>
            </w:r>
            <w:r>
              <w:rPr>
                <w:rFonts w:ascii="Times New Roman" w:cs="Times New Roman" w:eastAsia="Times New Roman" w:hAnsi="Times New Roman"/>
                <w:sz w:val="25"/>
                <w:szCs w:val="25"/>
                <w:color w:val="auto"/>
                <w:vertAlign w:val="subscript"/>
              </w:rPr>
              <w:t>​​</w:t>
            </w:r>
          </w:p>
        </w:tc>
        <w:tc>
          <w:tcPr>
            <w:tcW w:w="680" w:type="dxa"/>
            <w:vAlign w:val="bottom"/>
            <w:gridSpan w:val="4"/>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20,300</w:t>
            </w:r>
            <w:r>
              <w:rPr>
                <w:rFonts w:ascii="Times New Roman" w:cs="Times New Roman" w:eastAsia="Times New Roman" w:hAnsi="Times New Roman"/>
                <w:sz w:val="25"/>
                <w:szCs w:val="25"/>
                <w:color w:val="auto"/>
                <w:vertAlign w:val="subscript"/>
              </w:rPr>
              <w:t>​</w:t>
            </w:r>
          </w:p>
        </w:tc>
      </w:tr>
      <w:tr>
        <w:trPr>
          <w:trHeight w:val="20"/>
        </w:trPr>
        <w:tc>
          <w:tcPr>
            <w:tcW w:w="2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gridSpan w:val="3"/>
            <w:shd w:val="clear" w:color="auto" w:fill="CCEEFF"/>
          </w:tcPr>
          <w:p>
            <w:pPr>
              <w:ind w:left="2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w:t>
            </w:r>
          </w:p>
        </w:tc>
        <w:tc>
          <w:tcPr>
            <w:tcW w:w="440" w:type="dxa"/>
            <w:vAlign w:val="bottom"/>
            <w:gridSpan w:val="2"/>
            <w:shd w:val="clear" w:color="auto" w:fill="CCEEFF"/>
          </w:tcPr>
          <w:p>
            <w:pPr>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w:t>
            </w:r>
          </w:p>
        </w:tc>
        <w:tc>
          <w:tcPr>
            <w:tcW w:w="160" w:type="dxa"/>
            <w:vAlign w:val="bottom"/>
            <w:tcBorders>
              <w:left w:val="single" w:sz="8" w:color="CCEEFF"/>
            </w:tcBorders>
            <w:gridSpan w:val="2"/>
            <w:shd w:val="clear" w:color="auto" w:fill="CCEEFF"/>
          </w:tcPr>
          <w:p>
            <w:pPr>
              <w:ind w:left="20"/>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580" w:type="dxa"/>
            <w:vAlign w:val="bottom"/>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13"/>
                <w:szCs w:val="13"/>
                <w:color w:val="auto"/>
              </w:rPr>
              <w:t>20,300</w:t>
            </w:r>
            <w:r>
              <w:rPr>
                <w:rFonts w:ascii="Times New Roman" w:cs="Times New Roman" w:eastAsia="Times New Roman" w:hAnsi="Times New Roman"/>
                <w:sz w:val="23"/>
                <w:szCs w:val="23"/>
                <w:color w:val="auto"/>
                <w:vertAlign w:val="subscript"/>
              </w:rPr>
              <w:t>​​</w:t>
            </w:r>
          </w:p>
        </w:tc>
        <w:tc>
          <w:tcPr>
            <w:tcW w:w="220" w:type="dxa"/>
            <w:vAlign w:val="bottom"/>
            <w:gridSpan w:val="2"/>
            <w:shd w:val="clear" w:color="auto" w:fill="CCEEFF"/>
          </w:tcPr>
          <w:p>
            <w:pPr>
              <w:ind w:left="20"/>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2"/>
              </w:rPr>
              <w:t>20,300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-173990</wp:posOffset>
            </wp:positionV>
            <wp:extent cx="118745" cy="69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3411220" cy="69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41122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-452755</wp:posOffset>
            </wp:positionV>
            <wp:extent cx="111760" cy="69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-452755</wp:posOffset>
            </wp:positionV>
            <wp:extent cx="111760" cy="69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-452755</wp:posOffset>
            </wp:positionV>
            <wp:extent cx="111760"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-452755</wp:posOffset>
            </wp:positionV>
            <wp:extent cx="111760" cy="69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2364740</wp:posOffset>
            </wp:positionH>
            <wp:positionV relativeFrom="paragraph">
              <wp:posOffset>-452755</wp:posOffset>
            </wp:positionV>
            <wp:extent cx="111760"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52"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During the six months ended June 30, 2024 and year ended December 31, 2023, there were no transfers between levels. The Company uses the carrying amounts of its prepaid expenses and other current assets, accounts payable and accrued expenses to approximate their fair value due to the short-term nature of these amounts.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Convertible Notes</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BMS Note</w:t>
      </w:r>
    </w:p>
    <w:p>
      <w:pPr>
        <w:spacing w:after="0" w:line="115"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In August 2023, the Company entered into a $20.0 million convertible promissory note agreement with BMS (the “BMS Note”) in connection with its strategic license and collaboration agreement with BMS (the “BMS Agreement”) (see Note 7). The BMS Note has a stated interest rate of 8.5% per annum and a maturity date of August 30, 2026, and contains various conversion features including mandatory conversion upon the occurrence of a qualified financing event, IPO, reverse merger, or special purpose acquisition company transaction and conversion at the option of BMS upon the occurrence of a non-qualified financing event. If the Company issues and sells its convertible preferred stock to accredited investors with total gross proceeds equal to at least $70.0 million (a “BMS Qualified Financing”), the outstanding principal and accrued interest of the BMS Note shall automatically convert into equity securities sold in the BMS Qualified Financing at a conversion price equal (i) to the outstanding principal and accrued interest under the BMS Note divided by (ii) the lowest cash price paid per equity security. Similarly, automatic conversion of the BMS Note upon an IPO would result in a conversion price equal to (i) the outstanding principal and accrued interest under the BMS Note divided by (ii) the price per share listed in the registration statement to be paid by the investors for the Company’s common stock. The Company elected the fair value option to account for the BMS Note. Changes in fair value at every reporting date are recorded as a component of other income (expense), net in the condensed consolidated statements of operations and comprehensive loss.</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5" w:name="page256"/>
    <w:bookmarkEnd w:id="25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3. Fair Value Measurement (Continued)</w:t>
      </w:r>
    </w:p>
    <w:p>
      <w:pPr>
        <w:spacing w:after="0" w:line="181"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The BMS Note is classified as a liability on the Company’s condensed consolidated balance sheet as of December 31, 2023 and was initially recorded at fair value. The fair value of the BMS Note was estimated based on significant inputs not observable in the market, representing a Level 3 measurement within the fair value hierarchy. The Company used a scenario-based analysis to incorporate estimates and assumptions concerning the Company’s prospects and market indications into a model to estimate the fair value of the BMS Note. The most significant estimates and assumptions used as inputs were those concerning the timing and probability of possible scenarios for conversion or settlement of the BMS Note and the discount rate.</w:t>
      </w:r>
    </w:p>
    <w:p>
      <w:pPr>
        <w:spacing w:after="0" w:line="104"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On May 3, 2024, the Company issued and sold Series C convertible preferred stock (“Series C Preferred Stock”), which was deemed to be a BMS Qualified Financing, as described above, and resulted in the outstanding BMS Note plus accrued interest being automatically converted into 12,284,686 shares of Series C Preferred Stock (see Note 9). Immediately prior to settlement, the BMS Note was remeasured to fair value utilizing the fair value of the shares of Series C Preferred Stock for which the BMS Note converted into. The conversion of the BMS Note into shares of Series C Preferred Stock was accounted for as an extinguishment. Upon extinguishment, no gain or loss was recognized. The Company recorded a $0.9 million change in fair value of the BMS Note as a component of other income (expense), net in the Company’s condensed consolidated statements of operations and comprehensive loss for the six months ended June 30, 2024. There were no liabilities with significant unobservable inputs outstanding as of June 30, 2023.</w:t>
      </w:r>
    </w:p>
    <w:p>
      <w:pPr>
        <w:spacing w:after="0" w:line="279"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The table below presents changes in the Company’s liabilities with significant unobservable inputs (Level 3 liabilities) during the six months ended June 30, 2024 (in thousands):</w:t>
      </w:r>
    </w:p>
    <w:p>
      <w:pPr>
        <w:spacing w:after="0" w:line="1" w:lineRule="exact"/>
        <w:rPr>
          <w:sz w:val="20"/>
          <w:szCs w:val="20"/>
          <w:color w:val="auto"/>
        </w:rPr>
      </w:pPr>
    </w:p>
    <w:p>
      <w:pPr>
        <w:jc w:val="both"/>
        <w:ind w:left="1160"/>
        <w:spacing w:after="0"/>
        <w:tabs>
          <w:tab w:leader="none" w:pos="6800" w:val="left"/>
        </w:tabs>
        <w:rPr>
          <w:sz w:val="20"/>
          <w:szCs w:val="20"/>
          <w:color w:val="auto"/>
        </w:rPr>
      </w:pPr>
      <w:r>
        <w:rPr>
          <w:rFonts w:ascii="Times New Roman" w:cs="Times New Roman" w:eastAsia="Times New Roman" w:hAnsi="Times New Roman"/>
          <w:sz w:val="23"/>
          <w:szCs w:val="23"/>
          <w:b w:val="1"/>
          <w:bCs w:val="1"/>
          <w:color w:val="auto"/>
          <w:vertAlign w:val="subscript"/>
        </w:rPr>
        <w:t>​</w:t>
      </w:r>
      <w:r>
        <w:rPr>
          <w:sz w:val="20"/>
          <w:szCs w:val="20"/>
          <w:color w:val="auto"/>
        </w:rPr>
        <w:tab/>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Convertible notes</w:t>
      </w:r>
      <w:r>
        <w:rPr>
          <w:rFonts w:ascii="Times New Roman" w:cs="Times New Roman" w:eastAsia="Times New Roman" w:hAnsi="Times New Roman"/>
          <w:sz w:val="23"/>
          <w:szCs w:val="2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20320</wp:posOffset>
            </wp:positionV>
            <wp:extent cx="4241800" cy="1397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p>
      <w:pPr>
        <w:spacing w:after="0" w:line="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Change in fair value of BMS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Issuance of Series C Preferred Stock in exchange for BMS Note</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Balance as of June 30, 2024</w:t>
      </w:r>
    </w:p>
    <w:p>
      <w:pPr>
        <w:spacing w:after="0" w:line="3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4. Other Assets</w:t>
      </w:r>
    </w:p>
    <w:p>
      <w:pPr>
        <w:spacing w:after="0" w:line="1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 assets consisted of the following (in thousands):</w:t>
      </w:r>
    </w:p>
    <w:p>
      <w:pPr>
        <w:spacing w:after="0" w:line="1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540" w:type="dxa"/>
        <w:tblCellMar>
          <w:top w:w="0" w:type="dxa"/>
          <w:left w:w="0" w:type="dxa"/>
          <w:bottom w:w="0" w:type="dxa"/>
          <w:right w:w="0" w:type="dxa"/>
        </w:tblCellMar>
      </w:tblPr>
      <w:tr>
        <w:trPr>
          <w:trHeight w:val="209"/>
        </w:trPr>
        <w:tc>
          <w:tcPr>
            <w:tcW w:w="340" w:type="dxa"/>
            <w:vAlign w:val="bottom"/>
            <w:gridSpan w:val="2"/>
          </w:tcPr>
          <w:p>
            <w:pPr>
              <w:jc w:val="right"/>
              <w:ind w:right="87"/>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20,300​ ​</w:t>
            </w:r>
          </w:p>
        </w:tc>
      </w:tr>
      <w:tr>
        <w:trPr>
          <w:trHeight w:val="209"/>
        </w:trPr>
        <w:tc>
          <w:tcPr>
            <w:tcW w:w="340" w:type="dxa"/>
            <w:vAlign w:val="bottom"/>
            <w:gridSpan w:val="2"/>
          </w:tcPr>
          <w:p>
            <w:pPr>
              <w:jc w:val="right"/>
              <w:ind w:right="87"/>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846​ ​</w:t>
            </w:r>
          </w:p>
        </w:tc>
      </w:tr>
      <w:tr>
        <w:trPr>
          <w:trHeight w:val="201"/>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 (21,146)</w:t>
            </w:r>
            <w:r>
              <w:rPr>
                <w:rFonts w:ascii="Times New Roman" w:cs="Times New Roman" w:eastAsia="Times New Roman" w:hAnsi="Times New Roman"/>
                <w:sz w:val="23"/>
                <w:szCs w:val="23"/>
                <w:color w:val="auto"/>
                <w:vertAlign w:val="subscript"/>
              </w:rPr>
              <w:t>​</w:t>
            </w:r>
          </w:p>
        </w:tc>
      </w:tr>
      <w:tr>
        <w:trPr>
          <w:trHeight w:val="20"/>
        </w:trPr>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4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bscript"/>
              </w:rPr>
              <w:t>​</w:t>
            </w: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39"/>
        <w:spacing w:after="0"/>
        <w:tabs>
          <w:tab w:leader="none" w:pos="80" w:val="left"/>
          <w:tab w:leader="none" w:pos="120" w:val="left"/>
        </w:tabs>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ab/>
        <w:t>June 30,</w:t>
      </w:r>
      <w:r>
        <w:rPr>
          <w:sz w:val="20"/>
          <w:szCs w:val="20"/>
          <w:color w:val="auto"/>
        </w:rPr>
        <w:tab/>
      </w:r>
      <w:r>
        <w:rPr>
          <w:rFonts w:ascii="Times New Roman" w:cs="Times New Roman" w:eastAsia="Times New Roman" w:hAnsi="Times New Roman"/>
          <w:sz w:val="13"/>
          <w:szCs w:val="13"/>
          <w:b w:val="1"/>
          <w:bCs w:val="1"/>
          <w:color w:val="auto"/>
          <w:vertAlign w:val="subscript"/>
        </w:rPr>
        <w:t xml:space="preserve">​ ​ </w:t>
      </w:r>
      <w:r>
        <w:rPr>
          <w:rFonts w:ascii="Times New Roman" w:cs="Times New Roman" w:eastAsia="Times New Roman" w:hAnsi="Times New Roman"/>
          <w:sz w:val="13"/>
          <w:szCs w:val="13"/>
          <w:b w:val="1"/>
          <w:bCs w:val="1"/>
          <w:color w:val="auto"/>
        </w:rPr>
        <w:t>December 31,</w:t>
      </w:r>
      <w:r>
        <w:rPr>
          <w:rFonts w:ascii="Times New Roman" w:cs="Times New Roman" w:eastAsia="Times New Roman" w:hAnsi="Times New Roman"/>
          <w:sz w:val="13"/>
          <w:szCs w:val="1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27305</wp:posOffset>
            </wp:positionV>
            <wp:extent cx="906780"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906780" cy="698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5560" w:space="720"/>
            <w:col w:w="2739"/>
          </w:cols>
          <w:pgMar w:left="1440" w:top="98" w:right="1440" w:bottom="1440" w:gutter="0" w:footer="0" w:header="0"/>
          <w:type w:val="continuous"/>
        </w:sectPr>
      </w:pPr>
    </w:p>
    <w:tbl>
      <w:tblPr>
        <w:tblLayout w:type="fixed"/>
        <w:tblInd w:w="1160" w:type="dxa"/>
        <w:tblCellMar>
          <w:top w:w="0" w:type="dxa"/>
          <w:left w:w="0" w:type="dxa"/>
          <w:bottom w:w="0" w:type="dxa"/>
          <w:right w:w="0" w:type="dxa"/>
        </w:tblCellMar>
      </w:tblPr>
      <w:tr>
        <w:trPr>
          <w:trHeight w:val="184"/>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clinical expenses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6,771​​ ​</w:t>
            </w:r>
          </w:p>
        </w:tc>
        <w:tc>
          <w:tcPr>
            <w:tcW w:w="580" w:type="dxa"/>
            <w:vAlign w:val="bottom"/>
            <w:tcBorders>
              <w:right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5"/>
                <w:szCs w:val="15"/>
                <w:color w:val="auto"/>
                <w:w w:val="94"/>
              </w:rPr>
              <w:t>​$  5,788</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Deferred offering costs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auto"/>
              </w:rPr>
              <w:t>3,690​​ ​</w:t>
            </w:r>
          </w:p>
        </w:tc>
        <w:tc>
          <w:tcPr>
            <w:tcW w:w="580" w:type="dxa"/>
            <w:vAlign w:val="bottom"/>
            <w:gridSpan w:val="2"/>
          </w:tcPr>
          <w:p>
            <w:pPr>
              <w:jc w:val="right"/>
              <w:ind w:right="32"/>
              <w:spacing w:after="0"/>
              <w:rPr>
                <w:sz w:val="20"/>
                <w:szCs w:val="20"/>
                <w:color w:val="auto"/>
              </w:rPr>
            </w:pPr>
            <w:r>
              <w:rPr>
                <w:rFonts w:ascii="Times New Roman" w:cs="Times New Roman" w:eastAsia="Times New Roman" w:hAnsi="Times New Roman"/>
                <w:sz w:val="15"/>
                <w:szCs w:val="15"/>
                <w:color w:val="auto"/>
              </w:rPr>
              <w:t>​ ​ 1,388</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320" w:type="dxa"/>
            <w:vAlign w:val="bottom"/>
            <w:gridSpan w:val="2"/>
            <w:shd w:val="clear" w:color="auto" w:fill="CCEEFF"/>
          </w:tcPr>
          <w:p>
            <w:pPr>
              <w:ind w:left="4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26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00"/>
              <w:spacing w:after="0" w:line="220" w:lineRule="exact"/>
              <w:rPr>
                <w:sz w:val="20"/>
                <w:szCs w:val="20"/>
                <w:color w:val="auto"/>
              </w:rPr>
            </w:pPr>
            <w:r>
              <w:rPr>
                <w:rFonts w:ascii="Times New Roman" w:cs="Times New Roman" w:eastAsia="Times New Roman" w:hAnsi="Times New Roman"/>
                <w:sz w:val="25"/>
                <w:szCs w:val="25"/>
                <w:color w:val="auto"/>
                <w:vertAlign w:val="superscript"/>
              </w:rPr>
              <w:t>97</w:t>
            </w: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6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5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other assets</w:t>
            </w:r>
          </w:p>
        </w:tc>
        <w:tc>
          <w:tcPr>
            <w:tcW w:w="1020" w:type="dxa"/>
            <w:vAlign w:val="bottom"/>
            <w:gridSpan w:val="6"/>
          </w:tcPr>
          <w:p>
            <w:pPr>
              <w:ind w:left="4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10,558</w:t>
            </w:r>
            <w:r>
              <w:rPr>
                <w:rFonts w:ascii="Times New Roman" w:cs="Times New Roman" w:eastAsia="Times New Roman" w:hAnsi="Times New Roman"/>
                <w:sz w:val="23"/>
                <w:szCs w:val="23"/>
                <w:color w:val="auto"/>
                <w:vertAlign w:val="subscript"/>
              </w:rPr>
              <w:t>​​ ​</w:t>
            </w:r>
          </w:p>
        </w:tc>
        <w:tc>
          <w:tcPr>
            <w:tcW w:w="120" w:type="dxa"/>
            <w:vAlign w:val="bottom"/>
          </w:tcPr>
          <w:p>
            <w:pPr>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5"/>
                <w:szCs w:val="15"/>
                <w:color w:val="auto"/>
              </w:rPr>
              <w:t>7,276</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5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-585470</wp:posOffset>
            </wp:positionV>
            <wp:extent cx="3809365"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8093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56" w:name="page257"/>
    <w:bookmarkEnd w:id="25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5. Accrued Expenses</w:t>
      </w:r>
    </w:p>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Accrued expenses consisted of the following (in thousands):</w:t>
      </w:r>
    </w:p>
    <w:p>
      <w:pPr>
        <w:spacing w:after="0" w:line="18" w:lineRule="exact"/>
        <w:rPr>
          <w:sz w:val="20"/>
          <w:szCs w:val="20"/>
          <w:color w:val="auto"/>
        </w:rPr>
      </w:pPr>
    </w:p>
    <w:tbl>
      <w:tblPr>
        <w:tblLayout w:type="fixed"/>
        <w:tblInd w:w="1160" w:type="dxa"/>
        <w:tblCellMar>
          <w:top w:w="0" w:type="dxa"/>
          <w:left w:w="0" w:type="dxa"/>
          <w:bottom w:w="0" w:type="dxa"/>
          <w:right w:w="0" w:type="dxa"/>
        </w:tblCellMar>
      </w:tblP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80" w:type="dxa"/>
            <w:vAlign w:val="bottom"/>
          </w:tcPr>
          <w:p>
            <w:pPr>
              <w:ind w:left="14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4"/>
                <w:szCs w:val="24"/>
                <w:color w:val="auto"/>
              </w:rPr>
            </w:pPr>
          </w:p>
        </w:tc>
        <w:tc>
          <w:tcPr>
            <w:tcW w:w="480" w:type="dxa"/>
            <w:vAlign w:val="bottom"/>
          </w:tcPr>
          <w:p>
            <w:pPr>
              <w:jc w:val="center"/>
              <w:ind w:right="17"/>
              <w:spacing w:after="0"/>
              <w:rPr>
                <w:sz w:val="20"/>
                <w:szCs w:val="20"/>
                <w:color w:val="auto"/>
              </w:rPr>
            </w:pPr>
            <w:r>
              <w:rPr>
                <w:rFonts w:ascii="Times New Roman" w:cs="Times New Roman" w:eastAsia="Times New Roman" w:hAnsi="Times New Roman"/>
                <w:sz w:val="12"/>
                <w:szCs w:val="12"/>
                <w:b w:val="1"/>
                <w:bCs w:val="1"/>
                <w:color w:val="auto"/>
                <w:w w:val="93"/>
              </w:rPr>
              <w:t>June 30,</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December 31,</w:t>
            </w:r>
            <w:r>
              <w:rPr>
                <w:rFonts w:ascii="Times New Roman" w:cs="Times New Roman" w:eastAsia="Times New Roman" w:hAnsi="Times New Roman"/>
                <w:sz w:val="23"/>
                <w:szCs w:val="23"/>
                <w:b w:val="1"/>
                <w:bCs w:val="1"/>
                <w:color w:val="auto"/>
                <w:vertAlign w:val="subscript"/>
              </w:rPr>
              <w:t>​</w:t>
            </w:r>
          </w:p>
        </w:tc>
      </w:tr>
      <w:tr>
        <w:trPr>
          <w:trHeight w:val="189"/>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80" w:type="dxa"/>
            <w:vAlign w:val="bottom"/>
            <w:tcBorders>
              <w:bottom w:val="single" w:sz="8" w:color="CCEEFF"/>
            </w:tcBorders>
          </w:tcPr>
          <w:p>
            <w:pPr>
              <w:ind w:left="14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Employee compensation and benefits</w:t>
            </w:r>
          </w:p>
        </w:tc>
        <w:tc>
          <w:tcPr>
            <w:tcW w:w="164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3,842</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-139065</wp:posOffset>
            </wp:positionV>
            <wp:extent cx="3809365"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809365" cy="698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External research, development and manufacturing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Professional and consultant fees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466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w:t>
      </w:r>
    </w:p>
    <w:p>
      <w:pPr>
        <w:spacing w:after="0" w:line="6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Total accrued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auto"/>
              </w:rPr>
              <w:t>​ ​​ ​ 22,458</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9,398​</w:t>
            </w:r>
          </w:p>
        </w:tc>
      </w:tr>
      <w:tr>
        <w:trPr>
          <w:trHeight w:val="209"/>
        </w:trPr>
        <w:tc>
          <w:tcPr>
            <w:tcW w:w="3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3,017</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2,379​</w:t>
            </w:r>
          </w:p>
        </w:tc>
      </w:tr>
      <w:tr>
        <w:trPr>
          <w:trHeight w:val="209"/>
        </w:trPr>
        <w:tc>
          <w:tcPr>
            <w:tcW w:w="3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301​</w:t>
            </w:r>
          </w:p>
        </w:tc>
      </w:tr>
      <w:tr>
        <w:trPr>
          <w:trHeight w:val="201"/>
        </w:trPr>
        <w:tc>
          <w:tcPr>
            <w:tcW w:w="36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680" w:type="dxa"/>
            <w:vAlign w:val="bottom"/>
            <w:gridSpan w:val="2"/>
          </w:tcPr>
          <w:p>
            <w:pPr>
              <w:jc w:val="right"/>
              <w:ind w:right="120"/>
              <w:spacing w:after="0" w:line="201" w:lineRule="exact"/>
              <w:rPr>
                <w:sz w:val="20"/>
                <w:szCs w:val="20"/>
                <w:color w:val="auto"/>
              </w:rPr>
            </w:pPr>
            <w:r>
              <w:rPr>
                <w:rFonts w:ascii="Times New Roman" w:cs="Times New Roman" w:eastAsia="Times New Roman" w:hAnsi="Times New Roman"/>
                <w:sz w:val="13"/>
                <w:szCs w:val="13"/>
                <w:color w:val="auto"/>
              </w:rPr>
              <w:t>409</w:t>
            </w:r>
            <w:r>
              <w:rPr>
                <w:rFonts w:ascii="Times New Roman" w:cs="Times New Roman" w:eastAsia="Times New Roman" w:hAnsi="Times New Roman"/>
                <w:sz w:val="23"/>
                <w:szCs w:val="23"/>
                <w:color w:val="auto"/>
                <w:vertAlign w:val="subscript"/>
              </w:rPr>
              <w:t>​​ ​</w:t>
            </w:r>
          </w:p>
        </w:tc>
        <w:tc>
          <w:tcPr>
            <w:tcW w:w="180" w:type="dxa"/>
            <w:vAlign w:val="bottom"/>
          </w:tcPr>
          <w:p>
            <w:pPr>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4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3"/>
                <w:szCs w:val="13"/>
                <w:color w:val="auto"/>
              </w:rPr>
              <w:t>106</w:t>
            </w:r>
            <w:r>
              <w:rPr>
                <w:rFonts w:ascii="Times New Roman" w:cs="Times New Roman" w:eastAsia="Times New Roman" w:hAnsi="Times New Roman"/>
                <w:sz w:val="23"/>
                <w:szCs w:val="23"/>
                <w:color w:val="auto"/>
                <w:vertAlign w:val="subscript"/>
              </w:rPr>
              <w:t>​</w:t>
            </w:r>
          </w:p>
        </w:tc>
      </w:tr>
      <w:tr>
        <w:trPr>
          <w:trHeight w:val="20"/>
        </w:trPr>
        <w:tc>
          <w:tcPr>
            <w:tcW w:w="1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1040" w:type="dxa"/>
            <w:vAlign w:val="bottom"/>
            <w:gridSpan w:val="4"/>
          </w:tcPr>
          <w:p>
            <w:pPr>
              <w:jc w:val="right"/>
              <w:ind w:right="12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29,726</w:t>
            </w:r>
            <w:r>
              <w:rPr>
                <w:rFonts w:ascii="Times New Roman" w:cs="Times New Roman" w:eastAsia="Times New Roman" w:hAnsi="Times New Roman"/>
                <w:sz w:val="23"/>
                <w:szCs w:val="23"/>
                <w:color w:val="auto"/>
                <w:vertAlign w:val="subscript"/>
              </w:rPr>
              <w:t>​​ ​</w:t>
            </w:r>
          </w:p>
        </w:tc>
        <w:tc>
          <w:tcPr>
            <w:tcW w:w="600" w:type="dxa"/>
            <w:vAlign w:val="bottom"/>
            <w:gridSpan w:val="3"/>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17,306</w:t>
            </w:r>
            <w:r>
              <w:rPr>
                <w:rFonts w:ascii="Times New Roman" w:cs="Times New Roman" w:eastAsia="Times New Roman" w:hAnsi="Times New Roman"/>
                <w:sz w:val="23"/>
                <w:szCs w:val="23"/>
                <w:color w:val="auto"/>
                <w:vertAlign w:val="subscript"/>
              </w:rPr>
              <w:t>​</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20" w:space="720"/>
            <w:col w:w="2779"/>
          </w:cols>
          <w:pgMar w:left="1440" w:top="98" w:right="1440" w:bottom="1440" w:gutter="0" w:footer="0" w:header="0"/>
          <w:type w:val="continuous"/>
        </w:sectPr>
      </w:pP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6. Leases</w:t>
      </w:r>
    </w:p>
    <w:p>
      <w:pPr>
        <w:spacing w:after="0" w:line="126"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On September 8, 2021, Zenas US entered into a lease agreement for office space in Waltham, Massachusetts (the “Waltham Lease”), commencing on March 1, 2022. The Waltham Lease was classified as an operating lease, and has a lease term of 3.3 years with total fixed payments of approximately $1.8 million over that period. Zenas US has an irrevocable letter of credit agreement for the benefit of its landlord for the Waltham Lease in the amount of $0.1 million.</w:t>
      </w:r>
    </w:p>
    <w:p>
      <w:pPr>
        <w:spacing w:after="0" w:line="90"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On June 28, 2022, Zenas China entered into a lease agreement for office space in Shanghai, China (the “Shanghai Lease”), commencing on September 10, 2022. The Shanghai Lease has a lease term of 3.0 years with total fixed payments of $0.8 million over that period, and an option to extend the lease term for an additional three years.</w:t>
      </w:r>
    </w:p>
    <w:p>
      <w:pPr>
        <w:spacing w:after="0" w:line="100"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For the six months ended June, 2024 and 2023, the total lease cost for operating leases (recorded in general and administrative expenses in the Company’s condensed consolidated statements of operations and comprehensive loss) was $0.4 million and $0.5 million, respectively.</w:t>
      </w:r>
    </w:p>
    <w:p>
      <w:pPr>
        <w:spacing w:after="0" w:line="9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Maturities of the operating lease liabilities as of June 30, 2024 are as follows (in thousands):</w:t>
      </w:r>
    </w:p>
    <w:p>
      <w:pPr>
        <w:spacing w:after="0" w:line="18" w:lineRule="exact"/>
        <w:rPr>
          <w:sz w:val="20"/>
          <w:szCs w:val="20"/>
          <w:color w:val="auto"/>
        </w:rPr>
      </w:pPr>
    </w:p>
    <w:tbl>
      <w:tblPr>
        <w:tblLayout w:type="fixed"/>
        <w:tblInd w:w="1160" w:type="dxa"/>
        <w:tblCellMar>
          <w:top w:w="0" w:type="dxa"/>
          <w:left w:w="0" w:type="dxa"/>
          <w:bottom w:w="0" w:type="dxa"/>
          <w:right w:w="0" w:type="dxa"/>
        </w:tblCellMar>
      </w:tblPr>
      <w:tr>
        <w:trPr>
          <w:trHeight w:val="297"/>
        </w:trPr>
        <w:tc>
          <w:tcPr>
            <w:tcW w:w="6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Amount</w:t>
            </w:r>
            <w:r>
              <w:rPr>
                <w:rFonts w:ascii="Times New Roman" w:cs="Times New Roman" w:eastAsia="Times New Roman" w:hAnsi="Times New Roman"/>
                <w:sz w:val="23"/>
                <w:szCs w:val="23"/>
                <w:b w:val="1"/>
                <w:bCs w:val="1"/>
                <w:color w:val="auto"/>
                <w:vertAlign w:val="subscript"/>
              </w:rPr>
              <w:t>​</w:t>
            </w:r>
          </w:p>
        </w:tc>
      </w:tr>
      <w:tr>
        <w:trPr>
          <w:trHeight w:val="20"/>
        </w:trPr>
        <w:tc>
          <w:tcPr>
            <w:tcW w:w="6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 (remaining six months)</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 ​​$ 401​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62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​434​ </w:t>
            </w:r>
            <w:r>
              <w:rPr>
                <w:rFonts w:ascii="Times New Roman" w:cs="Times New Roman" w:eastAsia="Times New Roman" w:hAnsi="Times New Roman"/>
                <w:sz w:val="25"/>
                <w:szCs w:val="25"/>
                <w:color w:val="auto"/>
                <w:vertAlign w:val="subscript"/>
              </w:rPr>
              <w:t>​</w:t>
            </w:r>
          </w:p>
        </w:tc>
      </w:tr>
      <w:tr>
        <w:trPr>
          <w:trHeight w:val="20"/>
        </w:trPr>
        <w:tc>
          <w:tcPr>
            <w:tcW w:w="6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future minimum lease payments</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 ​​ ​835​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61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Less: imputed interest</w:t>
            </w:r>
          </w:p>
        </w:tc>
        <w:tc>
          <w:tcPr>
            <w:tcW w:w="62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​(327)</w:t>
            </w:r>
            <w:r>
              <w:rPr>
                <w:rFonts w:ascii="Times New Roman" w:cs="Times New Roman" w:eastAsia="Times New Roman" w:hAnsi="Times New Roman"/>
                <w:sz w:val="25"/>
                <w:szCs w:val="25"/>
                <w:color w:val="auto"/>
                <w:vertAlign w:val="subscript"/>
              </w:rPr>
              <w:t>​</w:t>
            </w:r>
          </w:p>
        </w:tc>
      </w:tr>
      <w:tr>
        <w:trPr>
          <w:trHeight w:val="20"/>
        </w:trPr>
        <w:tc>
          <w:tcPr>
            <w:tcW w:w="6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operating lease liabilities</w:t>
            </w:r>
          </w:p>
        </w:tc>
        <w:tc>
          <w:tcPr>
            <w:tcW w:w="580" w:type="dxa"/>
            <w:vAlign w:val="bottom"/>
            <w:gridSpan w:val="2"/>
            <w:shd w:val="clear" w:color="auto" w:fill="CCEEFF"/>
          </w:tcPr>
          <w:p>
            <w:pPr>
              <w:jc w:val="center"/>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$ 508​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3983355"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9833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983355"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983355" cy="6985"/>
                    </a:xfrm>
                    <a:prstGeom prst="rect">
                      <a:avLst/>
                    </a:prstGeom>
                    <a:noFill/>
                  </pic:spPr>
                </pic:pic>
              </a:graphicData>
            </a:graphic>
          </wp:anchor>
        </w:drawing>
        <w:drawing>
          <wp:anchor simplePos="0" relativeHeight="251657728" behindDoc="1" locked="0" layoutInCell="0" allowOverlap="1">
            <wp:simplePos x="0" y="0"/>
            <wp:positionH relativeFrom="column">
              <wp:posOffset>4604385</wp:posOffset>
            </wp:positionH>
            <wp:positionV relativeFrom="paragraph">
              <wp:posOffset>-732155</wp:posOffset>
            </wp:positionV>
            <wp:extent cx="111760"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2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7. Collaboration Revenue</w:t>
      </w:r>
    </w:p>
    <w:p>
      <w:pPr>
        <w:spacing w:after="0" w:line="126"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In August 2023, the Company entered into a license agreement with Bristol-Myers Squibb (the “BMS Agreement”), under which the Company granted BMS an exclusive license to (i) develop, manufacture (subject to the Company’s rights to be the exclusive manufacturer for BMS for a certain period of time), commercialize or otherwise exploit obexelimab and any biological product (irrespective of presentations, formulations or dosages) containing obexelimab but not any of the Company’s other proprietary active ingredient (the “BMS Product”) into Japan, South Korea, Taiwan, Singapore, Hong Kong and Australia (collectively, the “BMS Territory”) and (ii) develop and manufacture obexelimab and the BMS Product outside the BMS Territory provided that obexelimab and the BMS Product are solely used in the BMS Territory. The details of the BMS Agreement are further described in Note 8, “Collaboration Revenue,” in the audited consolidated financial statements for the years ended December 31, 2023 and 2022, included elsewhere in this prospectus. Since the</w:t>
      </w: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57" w:name="page258"/>
    <w:bookmarkEnd w:id="25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7. Collaboration Revenue (Continued)</w:t>
      </w:r>
    </w:p>
    <w:p>
      <w:pPr>
        <w:spacing w:after="0" w:line="181"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date of the audited consolidated financial statements for the years ended December 31, 2023 and 2022, there have been no changes to the BMS Agreement.</w:t>
      </w:r>
    </w:p>
    <w:p>
      <w:pPr>
        <w:spacing w:after="0" w:line="75"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Pursuant to the BMS Agreement, BMS paid the Company a one-time non-refundable upfront cash payment of $50.0 million, which was determined to be the transaction price. The Company is entitled to receive further separate development, regulatory, and sales milestone payments from BMS of up to approximately $149.5 million if certain milestones are successfully achieved. The Company is also eligible to receive tiered high single -digit to low double-digit royalties on net sales in the BMS Territory, subject to specified reductions. As of June 30, 2024, no milestones were achieved or deemed probable of achievement, and as such, all remaining milestones remained fully constrained and excluded from the transaction price.</w:t>
      </w:r>
    </w:p>
    <w:p>
      <w:pPr>
        <w:spacing w:after="0" w:line="99"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The Company and BMS collaborate on the performance of the ongoing Phase 3 clinical study of obexelimab in the IgG4-RD indication. BMS will fund their pro rata share of the total global study costs up to a specified percentage of the patients enrolled in the study from the BMS Territory. Should the percentage of patients from the BMS Territory fall below the specified percentage, BMS’s funding would proportionately decrease. The global development activities under the agreement do not represent a transaction with a customer and reimbursement payments received by the Company for global development activities are accounted for as a reduction of the related research and development expenses. The Company recorded $2.2 million as a reduction to research and development expense during the six months ended June 30, 2024, with a $1.2 million receivable included in prepaid expenses and other current assets, on the Company’s condensed consolidated balance sheet as of June 30, 2024.</w:t>
      </w:r>
    </w:p>
    <w:p>
      <w:pPr>
        <w:spacing w:after="0" w:line="98"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The Company satisfied the performance obligation through delivery of the license and initial technology transfer prior to December 31, 2023 and recognized the upfront payment of $50.0 million as revenue during the year ended December 31, 2023. The Company recognized no revenue during each of the six months ended June 30, 2024 and 2023.</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8. License and Option Agreements</w:t>
      </w:r>
    </w:p>
    <w:p>
      <w:pPr>
        <w:spacing w:after="0" w:line="115"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Prior to 2024, the Company entered into license and option agreements with various companies in the biotechnology and life sciences industry to in-license certain technologies for the Company’s use. The Company’s agreements are disclosed in Note 9, “License and Option Agreements,” in the audited consolidated financial statements for the years ended December 31, 2023 and 2022, included elsewhere in this prospectus. Since the date of the audited consolidated financial statements for the years ended December 31, 2023 and 2022, there have been no changes to these agreements.</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Xencor, Inc.</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2020 Xencor Agreement</w:t>
      </w:r>
    </w:p>
    <w:p>
      <w:pPr>
        <w:spacing w:after="0" w:line="126"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In September 2020, the Company entered into the 2020 Xencor Agreement, under which the Company is obligated to reimburse Xencor for third-party costs incurred for certain patent filings, prosecution and maintenance as further specified in the 2020 Xencor Agreement. During the six months ended June 30, 2024, the Company incurred no such reimbursable costs. During the six months ended June 30, 2023, the Company incurred less than $0.1 million of such reimbursable costs, which are included in general and administrative expenses in the condensed consolidated statements of operations and comprehensive loss.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2021 Xencor Agreement</w:t>
      </w:r>
    </w:p>
    <w:p>
      <w:pPr>
        <w:spacing w:after="0" w:line="126"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In May 2021, the Company entered into the 2021 Xencor Agreement, through which they obtained an exclusive, royalty-bearing, sublicensable worldwide license to research, develop, manufacture, market and sell obexelimab. In April 2023, the Company incurred a $10.0 million development milestone pursuant to the 2021 Xencor Agreement, which Xencor elected to receive in the form of the Company’s Series B convertible</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8" w:name="page259"/>
    <w:bookmarkEnd w:id="25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8. License and Option Agreements (Continued)</w:t>
      </w:r>
    </w:p>
    <w:p>
      <w:pPr>
        <w:spacing w:after="0" w:line="181"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preferred stock (“Series B Preferred Stock). See Note 9, “Convertible Preferred Stock,” for details. The milestone was recorded as acquired in-process research and development expense in the Company’s condensed consolidated statements of operations and comprehensive loss during the six months ended June 30, 2023.</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Dianthus Therapeutics Inc.</w:t>
      </w:r>
    </w:p>
    <w:p>
      <w:pPr>
        <w:spacing w:after="0" w:line="117"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In September 2020, the Company entered into the Dianthus Option Agreement, under which Dianthus will notify the Company when it has identified each of two antibody product candidates, and the Company will then have sixty (60) days to notify Dianthus if the Company intends to exercise each of the options. In October 2021, the Company notified Dianthus of its intention to exercise its option to ZB005 (also known as DNTH103). As of June 30, 2024, Dianthus had not notified the Company of its identification of the second antibody product candidate.</w:t>
      </w:r>
    </w:p>
    <w:p>
      <w:pPr>
        <w:spacing w:after="0" w:line="97"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During the six months ended June 30, 2024 and 2023, the Company incurred $2.8 million and $2.0 million of reimbursable expenses, respectively, which are recorded within research and development expenses in the condensed consolidated statements of operations and comprehensive loss. Of these amounts, less than $0.1 million and $1.7 million were recorded in accounts payable and accrued expenses, respectively, on the Company’s condensed consolidated balance sheet as of June 30, 2024. As of December 31, 2023, less than $0.1 million and $0.4 million were recorded in accounts payable and accrued expenses, respectively, on the Company’s consolidated balance sheet.</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Viridian Therapeutics, Inc.</w:t>
      </w:r>
    </w:p>
    <w:p>
      <w:pPr>
        <w:spacing w:after="0" w:line="128"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In October 2020, the Company entered into the Viridian Agreement to obtain an exclusive, royalty-bearing, sublicensable license to research, develop, manufacture, market and sell certain antibody product candidates based on Viridian’s proprietary technology. The Company’s license rights are limited to non- oncology indications and are limited to China, Hong Kong, Macau and Taiwan (the “Zenas Territories”). Viridian retains its rights to develop and commercialize such product candidates outside of the Zenas Territories. The Company is obligated to make development milestone payments to Viridian, totaling up to $12.0 million, based on achievement of each of the specified milestone events. During each of the six months ended June 30, 2024 and 2023, the Company incurred and paid no milestones to Viridian. As of June 30, 2024, Viridian had not notified the Company of any additional antibody product candidate.</w:t>
      </w:r>
    </w:p>
    <w:p>
      <w:pPr>
        <w:spacing w:after="0" w:line="99"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During each of the six months ended June 30, 2024 and 2023, the Company recognized $0.1 million of expense related to amounts reimbursed to Viridian for manufacturing activities, which were recorded in research and development expenses in the condensed consolidated statement of operations. Of these amounts, $0.1 million was recorded in accrued expenses and no related amount was recorded in accounts payable on the Company’s condensed consolidated balance sheet as of June 30, 2024. As of December 31, 2023, less than $0.1 million was included in accrued expenses and no amount was included in accounts payable on the Company’s consolidated balance sheet. In addition, Viridian has agreed to reimburse the Company for certain services it performs on Viridian’s behalf, with reimbursements being recorded as a reduction of research and development expense. Such amounts have been and are expected to be immaterial.</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9. Convertible Preferred Stock</w:t>
      </w:r>
    </w:p>
    <w:p>
      <w:pPr>
        <w:spacing w:after="0" w:line="126"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In September 2020, the Company issued and sold 1,785,714 shares of Series Seed convertible preferred stock (“Series Seed Preferred Stock”) in a private financing transaction, at a purchase price of $0.56 per share, for total net cash proceeds of $1.0 million.</w:t>
      </w:r>
    </w:p>
    <w:p>
      <w:pPr>
        <w:spacing w:after="0" w:line="89"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In November 2020, the Company issued 5,041,542 shares of Series A convertible preferred stock (“Series A Preferred Stock”) to Xencor as initial consideration for the 2020 Xencor Agreement. Also in November 2020, the Company issued and sold 12,547,838 shares of Series A Preferred Stock in a private financing transaction, at a purchase price of $3.1878 per share, for total net cash proceeds of $39.9 million.</w:t>
      </w: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9" w:name="page260"/>
    <w:bookmarkEnd w:id="25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9. Convertible Preferred Stock (Continued)</w:t>
      </w:r>
    </w:p>
    <w:p>
      <w:pPr>
        <w:spacing w:after="0" w:line="181"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In November 2022, the Company issued and sold 25,139,732 shares of Series B Preferred Stock in a private financing transaction, at a purchase price of $2.38666 per share, for total net cash proceeds of $59.4 million. Concurrent with the issuance and sale of the Series B Preferred Stock, which was deemed to be a qualified financing as defined in the convertible note agreement and resulted in the principal plus accrued interest being automatically converted into Series B Preferred Stock, the outstanding convertible notes were exchanged for 37,471,107 shares of Series B Preferred Stock. At the same time, the Xencor Warrant, which was issued as initial consideration for the 2021 Xencor Agreement, was deemed exercised for 14,441,793 shares of Series B Preferred Stock.</w:t>
      </w:r>
    </w:p>
    <w:p>
      <w:pPr>
        <w:spacing w:after="0" w:line="98"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In April 2023, the Company incurred a $10.0 million development milestone pursuant to the 2021 Xencor Agreement. Xencor elected to receive payment in the form of the Company’s Series B Preferred Stock and the Company issued 4,189,955 shares of Series B Preferred Stock as payment for the development milestone in June 2023.</w:t>
      </w:r>
    </w:p>
    <w:p>
      <w:pPr>
        <w:spacing w:after="0" w:line="95"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In May 2024, the Company issued and sold 103,990,553 shares of Series C Preferred Stock in a private financing transaction, at a purchase price of $1.72131 per share, for total net cash proceeds of $178.4 million. Concurrent with the issuance and sale of the Series C Preferred Stock, which was deemed to be a BMS Qualified Financing as defined above in Note 3, “Fair Value Measurements,” the principal plus accrued interest of the BMS Note was automatically converted into 12,284,686 shares of Series C Preferred Stock, thereby making the total Series C issuance equal to 116,275,239 shares.</w:t>
      </w:r>
    </w:p>
    <w:p>
      <w:pPr>
        <w:spacing w:after="0" w:line="99"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Upon the issuance of Series Seed, Series A, Series B, and Series C Preferred Stock (collectively “Preferred Stock”), the Company assessed the embedded conversion and liquidation features of the shares and determined that such features did not require the Company to separately account for these features.</w:t>
      </w:r>
    </w:p>
    <w:p>
      <w:pPr>
        <w:spacing w:after="0" w:line="8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Preferred Stock consisted of the following (in thousands, except share amounts):</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2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w w:val="97"/>
              </w:rPr>
              <w:t>June 30, 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36"/>
        </w:trPr>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38"/>
              <w:spacing w:after="0" w:line="137" w:lineRule="exact"/>
              <w:rPr>
                <w:sz w:val="20"/>
                <w:szCs w:val="20"/>
                <w:color w:val="auto"/>
              </w:rPr>
            </w:pPr>
            <w:r>
              <w:rPr>
                <w:rFonts w:ascii="Times New Roman" w:cs="Times New Roman" w:eastAsia="Times New Roman" w:hAnsi="Times New Roman"/>
                <w:sz w:val="12"/>
                <w:szCs w:val="12"/>
                <w:b w:val="1"/>
                <w:bCs w:val="1"/>
                <w:color w:val="auto"/>
                <w:w w:val="91"/>
              </w:rPr>
              <w:t>Preferred</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0"/>
              </w:rPr>
              <w:t>Preferred Stock</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3"/>
              </w:rPr>
              <w:t>Common Stock</w:t>
            </w:r>
          </w:p>
        </w:tc>
        <w:tc>
          <w:tcPr>
            <w:tcW w:w="60" w:type="dxa"/>
            <w:vAlign w:val="bottom"/>
          </w:tcPr>
          <w:p>
            <w:pPr>
              <w:spacing w:after="0"/>
              <w:rPr>
                <w:sz w:val="11"/>
                <w:szCs w:val="11"/>
                <w:color w:val="auto"/>
              </w:rPr>
            </w:pPr>
          </w:p>
        </w:tc>
      </w:tr>
      <w:tr>
        <w:trPr>
          <w:trHeight w:val="132"/>
        </w:trPr>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38"/>
              <w:spacing w:after="0" w:line="132" w:lineRule="exact"/>
              <w:rPr>
                <w:sz w:val="20"/>
                <w:szCs w:val="20"/>
                <w:color w:val="auto"/>
              </w:rPr>
            </w:pPr>
            <w:r>
              <w:rPr>
                <w:rFonts w:ascii="Times New Roman" w:cs="Times New Roman" w:eastAsia="Times New Roman" w:hAnsi="Times New Roman"/>
                <w:sz w:val="12"/>
                <w:szCs w:val="12"/>
                <w:b w:val="1"/>
                <w:bCs w:val="1"/>
                <w:color w:val="auto"/>
                <w:w w:val="90"/>
              </w:rPr>
              <w:t>Stock</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jc w:val="center"/>
              <w:ind w:right="17"/>
              <w:spacing w:after="0" w:line="132" w:lineRule="exact"/>
              <w:rPr>
                <w:sz w:val="20"/>
                <w:szCs w:val="20"/>
                <w:color w:val="auto"/>
              </w:rPr>
            </w:pPr>
            <w:r>
              <w:rPr>
                <w:rFonts w:ascii="Times New Roman" w:cs="Times New Roman" w:eastAsia="Times New Roman" w:hAnsi="Times New Roman"/>
                <w:sz w:val="12"/>
                <w:szCs w:val="12"/>
                <w:b w:val="1"/>
                <w:bCs w:val="1"/>
                <w:color w:val="auto"/>
                <w:w w:val="94"/>
              </w:rPr>
              <w:t>Issued 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Carrying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Liquidation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Issuable Upon</w:t>
            </w:r>
          </w:p>
        </w:tc>
        <w:tc>
          <w:tcPr>
            <w:tcW w:w="60" w:type="dxa"/>
            <w:vAlign w:val="bottom"/>
          </w:tcPr>
          <w:p>
            <w:pPr>
              <w:spacing w:after="0"/>
              <w:rPr>
                <w:sz w:val="11"/>
                <w:szCs w:val="11"/>
                <w:color w:val="auto"/>
              </w:rPr>
            </w:pPr>
          </w:p>
        </w:tc>
      </w:tr>
      <w:tr>
        <w:trPr>
          <w:trHeight w:val="173"/>
        </w:trPr>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Authorized</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2"/>
                <w:szCs w:val="12"/>
                <w:b w:val="1"/>
                <w:bCs w:val="1"/>
                <w:color w:val="auto"/>
                <w:w w:val="93"/>
              </w:rPr>
              <w:t>Outstanding</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w w:val="86"/>
              </w:rPr>
              <w:t>Value</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Conversion</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Seed Preferred Stock</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1,785,714​​</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1,785,714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956​​</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1,785,714</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Series A Preferred Stock</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17,589,380​​</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17,589,380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55,840​​</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56,071​​</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17,589,380</w:t>
            </w: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B Preferred Stock</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81,242,587​​</w:t>
            </w:r>
          </w:p>
        </w:tc>
        <w:tc>
          <w:tcPr>
            <w:tcW w:w="86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81,242,587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193,290​​</w:t>
            </w:r>
          </w:p>
        </w:tc>
        <w:tc>
          <w:tcPr>
            <w:tcW w:w="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193,898​​</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81,242,587</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0"/>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Series C Preferred Stock</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4"/>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​116,275,239</w:t>
            </w:r>
            <w:r>
              <w:rPr>
                <w:rFonts w:ascii="Times New Roman" w:cs="Times New Roman" w:eastAsia="Times New Roman" w:hAnsi="Times New Roman"/>
                <w:sz w:val="25"/>
                <w:szCs w:val="25"/>
                <w:color w:val="auto"/>
                <w:vertAlign w:val="subscript"/>
              </w:rPr>
              <w:t>​​</w:t>
            </w:r>
          </w:p>
        </w:tc>
        <w:tc>
          <w:tcPr>
            <w:tcW w:w="860" w:type="dxa"/>
            <w:vAlign w:val="bottom"/>
            <w:gridSpan w:val="3"/>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116,275,239</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4"/>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199,526</w:t>
            </w:r>
            <w:r>
              <w:rPr>
                <w:rFonts w:ascii="Times New Roman" w:cs="Times New Roman" w:eastAsia="Times New Roman" w:hAnsi="Times New Roman"/>
                <w:sz w:val="25"/>
                <w:szCs w:val="25"/>
                <w:color w:val="auto"/>
                <w:vertAlign w:val="subscript"/>
              </w:rPr>
              <w:t>​​</w:t>
            </w:r>
          </w:p>
        </w:tc>
        <w:tc>
          <w:tcPr>
            <w:tcW w:w="820" w:type="dxa"/>
            <w:vAlign w:val="bottom"/>
            <w:gridSpan w:val="4"/>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200,146</w:t>
            </w:r>
            <w:r>
              <w:rPr>
                <w:rFonts w:ascii="Times New Roman" w:cs="Times New Roman" w:eastAsia="Times New Roman" w:hAnsi="Times New Roman"/>
                <w:sz w:val="25"/>
                <w:szCs w:val="25"/>
                <w:color w:val="auto"/>
                <w:vertAlign w:val="subscript"/>
              </w:rPr>
              <w:t>​​</w:t>
            </w:r>
          </w:p>
        </w:tc>
        <w:tc>
          <w:tcPr>
            <w:tcW w:w="880" w:type="dxa"/>
            <w:vAlign w:val="bottom"/>
            <w:gridSpan w:val="4"/>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116,275,239</w:t>
            </w:r>
            <w:r>
              <w:rPr>
                <w:rFonts w:ascii="Times New Roman" w:cs="Times New Roman" w:eastAsia="Times New Roman" w:hAnsi="Times New Roman"/>
                <w:sz w:val="25"/>
                <w:szCs w:val="25"/>
                <w:b w:val="1"/>
                <w:bCs w:val="1"/>
                <w:color w:val="auto"/>
                <w:vertAlign w:val="subscript"/>
              </w:rPr>
              <w:t>​</w:t>
            </w:r>
          </w:p>
        </w:tc>
      </w:tr>
      <w:tr>
        <w:trPr>
          <w:trHeight w:val="20"/>
        </w:trPr>
        <w:tc>
          <w:tcPr>
            <w:tcW w:w="2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23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4"/>
            <w:shd w:val="clear" w:color="auto" w:fill="CCEEFF"/>
          </w:tcPr>
          <w:p>
            <w:pPr>
              <w:ind w:left="4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​216,892,920</w:t>
            </w:r>
            <w:r>
              <w:rPr>
                <w:rFonts w:ascii="Times New Roman" w:cs="Times New Roman" w:eastAsia="Times New Roman" w:hAnsi="Times New Roman"/>
                <w:sz w:val="23"/>
                <w:szCs w:val="23"/>
                <w:color w:val="auto"/>
                <w:vertAlign w:val="subscript"/>
              </w:rPr>
              <w:t>​​</w:t>
            </w:r>
          </w:p>
        </w:tc>
        <w:tc>
          <w:tcPr>
            <w:tcW w:w="860" w:type="dxa"/>
            <w:vAlign w:val="bottom"/>
            <w:tcBorders>
              <w:right w:val="single" w:sz="8" w:color="CCEEFF"/>
            </w:tcBorders>
            <w:gridSpan w:val="3"/>
            <w:shd w:val="clear" w:color="auto" w:fill="CCEEFF"/>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​216,892,920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4"/>
            <w:shd w:val="clear" w:color="auto" w:fill="CCEEFF"/>
          </w:tcPr>
          <w:p>
            <w:pPr>
              <w:ind w:left="4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449,612</w:t>
            </w:r>
            <w:r>
              <w:rPr>
                <w:rFonts w:ascii="Times New Roman" w:cs="Times New Roman" w:eastAsia="Times New Roman" w:hAnsi="Times New Roman"/>
                <w:sz w:val="23"/>
                <w:szCs w:val="23"/>
                <w:color w:val="auto"/>
                <w:vertAlign w:val="subscript"/>
              </w:rPr>
              <w:t>​​</w:t>
            </w:r>
          </w:p>
        </w:tc>
        <w:tc>
          <w:tcPr>
            <w:tcW w:w="820" w:type="dxa"/>
            <w:vAlign w:val="bottom"/>
            <w:gridSpan w:val="4"/>
            <w:shd w:val="clear" w:color="auto" w:fill="CCEEFF"/>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451,115</w:t>
            </w:r>
            <w:r>
              <w:rPr>
                <w:rFonts w:ascii="Times New Roman" w:cs="Times New Roman" w:eastAsia="Times New Roman" w:hAnsi="Times New Roman"/>
                <w:sz w:val="23"/>
                <w:szCs w:val="23"/>
                <w:color w:val="auto"/>
                <w:vertAlign w:val="subscript"/>
              </w:rPr>
              <w:t>​​</w:t>
            </w:r>
          </w:p>
        </w:tc>
        <w:tc>
          <w:tcPr>
            <w:tcW w:w="820" w:type="dxa"/>
            <w:vAlign w:val="bottom"/>
            <w:gridSpan w:val="3"/>
            <w:shd w:val="clear" w:color="auto" w:fill="CCEEFF"/>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​216,892,920</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7"/>
        </w:trPr>
        <w:tc>
          <w:tcPr>
            <w:tcW w:w="2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w w:val="90"/>
              </w:rPr>
              <w:t>December 31, 2023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36"/>
        </w:trPr>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38"/>
              <w:spacing w:after="0" w:line="137" w:lineRule="exact"/>
              <w:rPr>
                <w:sz w:val="20"/>
                <w:szCs w:val="20"/>
                <w:color w:val="auto"/>
              </w:rPr>
            </w:pPr>
            <w:r>
              <w:rPr>
                <w:rFonts w:ascii="Times New Roman" w:cs="Times New Roman" w:eastAsia="Times New Roman" w:hAnsi="Times New Roman"/>
                <w:sz w:val="12"/>
                <w:szCs w:val="12"/>
                <w:b w:val="1"/>
                <w:bCs w:val="1"/>
                <w:color w:val="auto"/>
                <w:w w:val="91"/>
              </w:rPr>
              <w:t>Preferred</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0"/>
              </w:rPr>
              <w:t>Preferred Stock</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3"/>
              </w:rPr>
              <w:t>Common Stock</w:t>
            </w:r>
          </w:p>
        </w:tc>
        <w:tc>
          <w:tcPr>
            <w:tcW w:w="60" w:type="dxa"/>
            <w:vAlign w:val="bottom"/>
          </w:tcPr>
          <w:p>
            <w:pPr>
              <w:spacing w:after="0"/>
              <w:rPr>
                <w:sz w:val="11"/>
                <w:szCs w:val="11"/>
                <w:color w:val="auto"/>
              </w:rPr>
            </w:pPr>
          </w:p>
        </w:tc>
      </w:tr>
      <w:tr>
        <w:trPr>
          <w:trHeight w:val="132"/>
        </w:trPr>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38"/>
              <w:spacing w:after="0" w:line="132" w:lineRule="exact"/>
              <w:rPr>
                <w:sz w:val="20"/>
                <w:szCs w:val="20"/>
                <w:color w:val="auto"/>
              </w:rPr>
            </w:pPr>
            <w:r>
              <w:rPr>
                <w:rFonts w:ascii="Times New Roman" w:cs="Times New Roman" w:eastAsia="Times New Roman" w:hAnsi="Times New Roman"/>
                <w:sz w:val="12"/>
                <w:szCs w:val="12"/>
                <w:b w:val="1"/>
                <w:bCs w:val="1"/>
                <w:color w:val="auto"/>
                <w:w w:val="90"/>
              </w:rPr>
              <w:t>Stock</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jc w:val="center"/>
              <w:ind w:right="17"/>
              <w:spacing w:after="0" w:line="132" w:lineRule="exact"/>
              <w:rPr>
                <w:sz w:val="20"/>
                <w:szCs w:val="20"/>
                <w:color w:val="auto"/>
              </w:rPr>
            </w:pPr>
            <w:r>
              <w:rPr>
                <w:rFonts w:ascii="Times New Roman" w:cs="Times New Roman" w:eastAsia="Times New Roman" w:hAnsi="Times New Roman"/>
                <w:sz w:val="12"/>
                <w:szCs w:val="12"/>
                <w:b w:val="1"/>
                <w:bCs w:val="1"/>
                <w:color w:val="auto"/>
                <w:w w:val="94"/>
              </w:rPr>
              <w:t>Issued 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Carrying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Liquidation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Issuable Upon</w:t>
            </w:r>
          </w:p>
        </w:tc>
        <w:tc>
          <w:tcPr>
            <w:tcW w:w="60" w:type="dxa"/>
            <w:vAlign w:val="bottom"/>
          </w:tcPr>
          <w:p>
            <w:pPr>
              <w:spacing w:after="0"/>
              <w:rPr>
                <w:sz w:val="11"/>
                <w:szCs w:val="11"/>
                <w:color w:val="auto"/>
              </w:rPr>
            </w:pPr>
          </w:p>
        </w:tc>
      </w:tr>
      <w:tr>
        <w:trPr>
          <w:trHeight w:val="173"/>
        </w:trPr>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Authorized</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2"/>
                <w:szCs w:val="12"/>
                <w:b w:val="1"/>
                <w:bCs w:val="1"/>
                <w:color w:val="auto"/>
                <w:w w:val="93"/>
              </w:rPr>
              <w:t>Outstanding</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w w:val="86"/>
              </w:rPr>
              <w:t>Value</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Conversion</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Seed Preferred Stock</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1,785,714​​</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1,785,714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956​​</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1,785,714</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Series A Preferred Stock</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17,589,380​​</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17,589,380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55,840​​</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56,071​​</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17,589,380</w:t>
            </w: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B Preferred Stock</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4"/>
            <w:shd w:val="clear" w:color="auto" w:fill="CCEEFF"/>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81,242,587</w:t>
            </w:r>
            <w:r>
              <w:rPr>
                <w:rFonts w:ascii="Times New Roman" w:cs="Times New Roman" w:eastAsia="Times New Roman" w:hAnsi="Times New Roman"/>
                <w:sz w:val="25"/>
                <w:szCs w:val="25"/>
                <w:color w:val="auto"/>
                <w:vertAlign w:val="subscript"/>
              </w:rPr>
              <w:t>​​</w:t>
            </w:r>
          </w:p>
        </w:tc>
        <w:tc>
          <w:tcPr>
            <w:tcW w:w="860" w:type="dxa"/>
            <w:vAlign w:val="bottom"/>
            <w:tcBorders>
              <w:right w:val="single" w:sz="8" w:color="CCEEFF"/>
            </w:tcBorders>
            <w:gridSpan w:val="3"/>
            <w:shd w:val="clear" w:color="auto" w:fill="CCEEFF"/>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81,242,587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4"/>
            <w:shd w:val="clear" w:color="auto" w:fill="CCEEFF"/>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193,290</w:t>
            </w:r>
            <w:r>
              <w:rPr>
                <w:rFonts w:ascii="Times New Roman" w:cs="Times New Roman" w:eastAsia="Times New Roman" w:hAnsi="Times New Roman"/>
                <w:sz w:val="25"/>
                <w:szCs w:val="25"/>
                <w:color w:val="auto"/>
                <w:vertAlign w:val="subscript"/>
              </w:rPr>
              <w:t>​​</w:t>
            </w:r>
          </w:p>
        </w:tc>
        <w:tc>
          <w:tcPr>
            <w:tcW w:w="820" w:type="dxa"/>
            <w:vAlign w:val="bottom"/>
            <w:gridSpan w:val="4"/>
            <w:shd w:val="clear" w:color="auto" w:fill="CCEEFF"/>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193,898</w:t>
            </w:r>
            <w:r>
              <w:rPr>
                <w:rFonts w:ascii="Times New Roman" w:cs="Times New Roman" w:eastAsia="Times New Roman" w:hAnsi="Times New Roman"/>
                <w:sz w:val="25"/>
                <w:szCs w:val="25"/>
                <w:color w:val="auto"/>
                <w:vertAlign w:val="subscript"/>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81,242,587</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4"/>
          </w:tcPr>
          <w:p>
            <w:pPr>
              <w:ind w:left="4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​100,617,681</w:t>
            </w:r>
            <w:r>
              <w:rPr>
                <w:rFonts w:ascii="Times New Roman" w:cs="Times New Roman" w:eastAsia="Times New Roman" w:hAnsi="Times New Roman"/>
                <w:sz w:val="23"/>
                <w:szCs w:val="23"/>
                <w:color w:val="auto"/>
                <w:vertAlign w:val="subscript"/>
              </w:rPr>
              <w:t>​​</w:t>
            </w:r>
          </w:p>
        </w:tc>
        <w:tc>
          <w:tcPr>
            <w:tcW w:w="860" w:type="dxa"/>
            <w:vAlign w:val="bottom"/>
            <w:gridSpan w:val="3"/>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​100,617,681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4"/>
          </w:tcPr>
          <w:p>
            <w:pPr>
              <w:ind w:left="4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250,086</w:t>
            </w:r>
            <w:r>
              <w:rPr>
                <w:rFonts w:ascii="Times New Roman" w:cs="Times New Roman" w:eastAsia="Times New Roman" w:hAnsi="Times New Roman"/>
                <w:sz w:val="23"/>
                <w:szCs w:val="23"/>
                <w:color w:val="auto"/>
                <w:vertAlign w:val="subscript"/>
              </w:rPr>
              <w:t>​​</w:t>
            </w:r>
          </w:p>
        </w:tc>
        <w:tc>
          <w:tcPr>
            <w:tcW w:w="820" w:type="dxa"/>
            <w:vAlign w:val="bottom"/>
            <w:gridSpan w:val="4"/>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250,969</w:t>
            </w:r>
            <w:r>
              <w:rPr>
                <w:rFonts w:ascii="Times New Roman" w:cs="Times New Roman" w:eastAsia="Times New Roman" w:hAnsi="Times New Roman"/>
                <w:sz w:val="23"/>
                <w:szCs w:val="23"/>
                <w:color w:val="auto"/>
                <w:vertAlign w:val="subscript"/>
              </w:rPr>
              <w:t>​​</w:t>
            </w:r>
          </w:p>
        </w:tc>
        <w:tc>
          <w:tcPr>
            <w:tcW w:w="880" w:type="dxa"/>
            <w:vAlign w:val="bottom"/>
            <w:gridSpan w:val="4"/>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​100,617,681</w:t>
            </w:r>
            <w:r>
              <w:rPr>
                <w:rFonts w:ascii="Times New Roman" w:cs="Times New Roman" w:eastAsia="Times New Roman" w:hAnsi="Times New Roman"/>
                <w:sz w:val="23"/>
                <w:szCs w:val="23"/>
                <w:b w:val="1"/>
                <w:bCs w:val="1"/>
                <w:color w:val="auto"/>
                <w:vertAlign w:val="subscript"/>
              </w:rPr>
              <w:t>​</w:t>
            </w:r>
          </w:p>
        </w:tc>
      </w:tr>
      <w:tr>
        <w:trPr>
          <w:trHeight w:val="20"/>
        </w:trPr>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-1290320</wp:posOffset>
            </wp:positionV>
            <wp:extent cx="13970"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-1290320</wp:posOffset>
            </wp:positionV>
            <wp:extent cx="118745"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-1290320</wp:posOffset>
            </wp:positionV>
            <wp:extent cx="118745"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-1290320</wp:posOffset>
            </wp:positionV>
            <wp:extent cx="139700"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-1290320</wp:posOffset>
            </wp:positionV>
            <wp:extent cx="2113915"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113915"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-1833880</wp:posOffset>
            </wp:positionV>
            <wp:extent cx="111760"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-1833880</wp:posOffset>
            </wp:positionV>
            <wp:extent cx="111760"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-1833880</wp:posOffset>
            </wp:positionV>
            <wp:extent cx="111760"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-1833880</wp:posOffset>
            </wp:positionV>
            <wp:extent cx="2099945"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099945"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-173990</wp:posOffset>
            </wp:positionV>
            <wp:extent cx="13970"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-585470</wp:posOffset>
            </wp:positionV>
            <wp:extent cx="111760"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-585470</wp:posOffset>
            </wp:positionV>
            <wp:extent cx="111760"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-585470</wp:posOffset>
            </wp:positionV>
            <wp:extent cx="111760"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-585470</wp:posOffset>
            </wp:positionV>
            <wp:extent cx="2099945"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099945" cy="6985"/>
                    </a:xfrm>
                    <a:prstGeom prst="rect">
                      <a:avLst/>
                    </a:prstGeom>
                    <a:noFill/>
                  </pic:spPr>
                </pic:pic>
              </a:graphicData>
            </a:graphic>
          </wp:anchor>
        </w:drawing>
      </w:r>
    </w:p>
    <w:p>
      <w:pPr>
        <w:spacing w:after="0" w:line="1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holders of preferred stock have the following rights, preferences and privileges: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Voting</w:t>
      </w:r>
    </w:p>
    <w:p>
      <w:pPr>
        <w:spacing w:after="0" w:line="115" w:lineRule="exact"/>
        <w:rPr>
          <w:sz w:val="20"/>
          <w:szCs w:val="20"/>
          <w:color w:val="auto"/>
        </w:rPr>
      </w:pPr>
    </w:p>
    <w:p>
      <w:pPr>
        <w:ind w:left="1160" w:right="1179"/>
        <w:spacing w:after="0" w:line="269" w:lineRule="auto"/>
        <w:rPr>
          <w:sz w:val="20"/>
          <w:szCs w:val="20"/>
          <w:color w:val="auto"/>
        </w:rPr>
      </w:pPr>
      <w:r>
        <w:rPr>
          <w:rFonts w:ascii="Times New Roman" w:cs="Times New Roman" w:eastAsia="Times New Roman" w:hAnsi="Times New Roman"/>
          <w:sz w:val="15"/>
          <w:szCs w:val="15"/>
          <w:color w:val="auto"/>
        </w:rPr>
        <w:t>The holder of each share of Preferred Stock is entitled to one vote for each share of common stock into which it would convert and to vote with the common stock on all matters.</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0" w:name="page261"/>
    <w:bookmarkEnd w:id="26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9. Convertible Preferred Stock (Continued)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Conversion</w:t>
      </w:r>
    </w:p>
    <w:p>
      <w:pPr>
        <w:spacing w:after="0" w:line="126"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Each share of convertible preferred stock shall be automatically converted into a share of common stock, upon affirmative vote of majority of the holders of each series or upon the closing of an initial public offering of the Company’s common stock which results in a specified minimum amount of gross cash proceeds. The conversion ratio is initially one share of common stock for each share of convertible preferred stock and shall be adjusted in the event of a split or reverse split of the Company’s common stock, an issuance or declaration of dividends to holders of the Company’s common stock, a reorganization or merger transaction, or certain issuances of shares of common stock which are dilutive to holders of the Company’s preferred stock. Holders of preferred stock have the right to one vote for each share of the Company’s common stock into which such holder’s shares of preferred stock could then convert.</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Dividends</w:t>
      </w:r>
    </w:p>
    <w:p>
      <w:pPr>
        <w:spacing w:after="0" w:line="126" w:lineRule="exact"/>
        <w:rPr>
          <w:sz w:val="20"/>
          <w:szCs w:val="20"/>
          <w:color w:val="auto"/>
        </w:rPr>
      </w:pPr>
    </w:p>
    <w:p>
      <w:pPr>
        <w:jc w:val="both"/>
        <w:ind w:left="1160" w:right="1179"/>
        <w:spacing w:after="0" w:line="245" w:lineRule="auto"/>
        <w:rPr>
          <w:sz w:val="20"/>
          <w:szCs w:val="20"/>
          <w:color w:val="auto"/>
        </w:rPr>
      </w:pPr>
      <w:r>
        <w:rPr>
          <w:rFonts w:ascii="Times New Roman" w:cs="Times New Roman" w:eastAsia="Times New Roman" w:hAnsi="Times New Roman"/>
          <w:sz w:val="15"/>
          <w:szCs w:val="15"/>
          <w:color w:val="auto"/>
        </w:rPr>
        <w:t>Holders of Series C Preferred Stock will be entitled to receive dividends, only when, as and if declared by the Board, at the annual rate of 6% of the Series C Preferred Stock issue price, payable in preference to and satisfied before any dividend or distribution on any other class or series of the Company’s shares (except for certain exempted distributions). If any assets or funds remain after dividends have been distributed to holders of Series C Preferred Stock, holders of Series B Preferred Stock will be entitled to receive dividends, only when, as and if declared by the Board, at the annual rate of 6% of the Series B Preferred Stock issue price, payable in preference to and satisfied before any dividend or distribution on any other class or series of the Company’s shares (except for certain exempted distributions). If any assets or funds remain after dividends have been distributed to holders of Series B Preferred Stock, holders of Series A Preferred Stock will be entitled to receive dividends, only when, as and if declared by the Board, at the annual rate of 6% of the Series A issue price, payable in preference to and satisfied before any dividend or distribution on any other class or series of the Company’s shares (except for certain exempted distributions). If any assets or funds remain after dividends have been distributed to holders of Series A Preferred Stock, holders of Series Seed Preferred Stock will be entitled to receive dividends, only when, as and if declared by the Board, at the annual rate of 6% of the Series Seed issue price, payable in preference to and satisfied before any dividend or distribution on any other class or series of the Company’s shares (except for certain exempted distributions). The right to receive dividends on shares of all series of preferred stock is not cumulative, and no such right accrues to holders of such shares. There have been no dividends declared or paid as of June 30, 2024.</w:t>
      </w:r>
    </w:p>
    <w:p>
      <w:pPr>
        <w:spacing w:after="0" w:line="3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Liquidation Preference</w:t>
      </w:r>
    </w:p>
    <w:p>
      <w:pPr>
        <w:spacing w:after="0" w:line="115"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In the event of a voluntary or involuntary liquidation, dissolution or winding up of the Company or a deemed liquidation event, holders of Series C Preferred Stock prior and in preference to any distribution to holders of Series B Preferred Stock, Series A Preferred Stock, Series Seed Preferred Stock and common shares, would be entitled to be paid the issue price they originally paid to acquire their shares, plus any declared but unpaid dividends. After full payment to holders of Series C Preferred Stock, holders of Series B Preferred Stock prior and in preference to any distribution to holders of Series A Preferred Stock, Series Seed Preferred Stock and common shares, would be entitled to be paid the issue price they originally paid to acquire their shares, plus any declared and unpaid dividends. After full payment to holders of Series B Preferred Stock, holders of Series A Preferred Stock prior and in preference to any distribution to holders of Series Seed Preferred Stock and common shares, would be entitled to be paid the issue price they originally paid to acquire their shares, plus any declared and unpaid dividends. After full payment to holders of Series C Preferred Stock, Series B Preferred Stock, and Series A Preferred Stock, holders of Series Seed Preferred Stock prior and in preference to any distribution to holders of common shares, would be entitled to be paid the issue price they originally paid to acquire their shares, plus any declared and unpaid dividends. Any remaining amounts after payment to holders of preferred stock, would be paid to holders of common shares. A deemed liquidation event is defined as any merger or consolidation of the Company (and any of its subsidiaries) or other reorganization</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1" w:name="page262"/>
    <w:bookmarkEnd w:id="26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9. Convertible Preferred Stock (Continued)</w:t>
      </w:r>
    </w:p>
    <w:p>
      <w:pPr>
        <w:spacing w:after="0" w:line="181"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resulting in loss of more than 50% voting power; the sale, transfer, lease or other disposition of all or substantially all of the Company’s assets; or the exclusive licensing of all or substantially all of the Company’s intellectual property.</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Redemption</w:t>
      </w:r>
    </w:p>
    <w:p>
      <w:pPr>
        <w:spacing w:after="0" w:line="126"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The Preferred Stock does not have redemption rights, except for the contingent redemption upon the occurrence of a Liquidation Event.</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10. Common Stock</w:t>
      </w:r>
    </w:p>
    <w:p>
      <w:pPr>
        <w:spacing w:after="0" w:line="126"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In August 2023, all outstanding shares of ordinary stock of Zenas Cayman were automatically converted into shares of common stock upon the Redomicile and incorporation in the State of Delaware as Zenas BioPharma, Inc. In May 2024, the Company executed the fourth amended and restated certificate of incorporation (“A&amp;R COI”), whereby the Company increased the shares of common stock it was authorized to issue. The Company was authorized to issue 294,784,925 shares and 175,000,000 shares of $0.0001 par value common stock as of June 30, 2024 and December 31, 2023, respectively. The voting, dividend and liquidation rights of the holders of the Company’s common stock are subject to and qualified by the rights, powers and preference of the holders of the preferred stock set forth above.</w:t>
      </w:r>
    </w:p>
    <w:p>
      <w:pPr>
        <w:spacing w:after="0" w:line="90"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The holders of the common stock are entitled to one vote for each share of common stock held at all meetings of stockholders (and written actions in lieu of meetings), and there are not any cumulative voting rights. The number of authorized shares of common stock may be increased or decreased by the affirmative vote of the holders of shares of capital stock of the Company; however, the issuance of common stock may be subject to the vote of the holders of one or more series of convertible preferred stock.</w:t>
      </w:r>
    </w:p>
    <w:p>
      <w:pPr>
        <w:spacing w:after="0" w:line="101"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The Company had reserved the following shares of common stock for the potential conversion of outstanding convertible preferred stock and exercise of stock options:</w:t>
      </w:r>
    </w:p>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297"/>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 xml:space="preserve">December 31, </w:t>
            </w:r>
            <w:r>
              <w:rPr>
                <w:rFonts w:ascii="Times New Roman" w:cs="Times New Roman" w:eastAsia="Times New Roman" w:hAnsi="Times New Roman"/>
                <w:sz w:val="23"/>
                <w:szCs w:val="23"/>
                <w:b w:val="1"/>
                <w:bCs w:val="1"/>
                <w:color w:val="auto"/>
                <w:w w:val="98"/>
                <w:vertAlign w:val="subscript"/>
              </w:rPr>
              <w:t>​</w:t>
            </w:r>
          </w:p>
        </w:tc>
      </w:tr>
      <w:tr>
        <w:trPr>
          <w:trHeight w:val="189"/>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Conversion of outstanding shares of convertible preferred stock</w:t>
            </w:r>
          </w:p>
        </w:tc>
        <w:tc>
          <w:tcPr>
            <w:tcW w:w="18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​​216,892,920​​ ​​100,617,681</w:t>
            </w:r>
          </w:p>
        </w:tc>
        <w:tc>
          <w:tcPr>
            <w:tcW w:w="20" w:type="dxa"/>
            <w:vAlign w:val="bottom"/>
          </w:tcPr>
          <w:p>
            <w:pPr>
              <w:spacing w:after="0"/>
              <w:rPr>
                <w:sz w:val="17"/>
                <w:szCs w:val="17"/>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Options to purchase common stock</w:t>
            </w:r>
          </w:p>
        </w:tc>
        <w:tc>
          <w:tcPr>
            <w:tcW w:w="1880" w:type="dxa"/>
            <w:vAlign w:val="bottom"/>
            <w:gridSpan w:val="10"/>
          </w:tcPr>
          <w:p>
            <w:pPr>
              <w:ind w:left="40"/>
              <w:spacing w:after="0"/>
              <w:rPr>
                <w:sz w:val="20"/>
                <w:szCs w:val="20"/>
                <w:color w:val="auto"/>
              </w:rPr>
            </w:pPr>
            <w:r>
              <w:rPr>
                <w:rFonts w:ascii="Times New Roman" w:cs="Times New Roman" w:eastAsia="Times New Roman" w:hAnsi="Times New Roman"/>
                <w:sz w:val="15"/>
                <w:szCs w:val="15"/>
                <w:color w:val="auto"/>
              </w:rPr>
              <w:t>​ ​​ 37,077,687​​ ​​ 20,691,247​</w:t>
            </w:r>
          </w:p>
        </w:tc>
      </w:tr>
      <w:tr>
        <w:trPr>
          <w:trHeight w:val="22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Remaining shares reserved for future issuance</w:t>
            </w:r>
          </w:p>
        </w:tc>
        <w:tc>
          <w:tcPr>
            <w:tcW w:w="280" w:type="dxa"/>
            <w:vAlign w:val="bottom"/>
            <w:gridSpan w:val="3"/>
            <w:shd w:val="clear" w:color="auto" w:fill="CCEEFF"/>
          </w:tcPr>
          <w:p>
            <w:pPr>
              <w:ind w:left="40"/>
              <w:spacing w:after="0" w:line="22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w:t>
            </w:r>
          </w:p>
        </w:tc>
        <w:tc>
          <w:tcPr>
            <w:tcW w:w="860" w:type="dxa"/>
            <w:vAlign w:val="bottom"/>
            <w:gridSpan w:val="4"/>
            <w:shd w:val="clear" w:color="auto" w:fill="CCEEFF"/>
          </w:tcPr>
          <w:p>
            <w:pPr>
              <w:ind w:left="160"/>
              <w:spacing w:after="0" w:line="220" w:lineRule="exact"/>
              <w:rPr>
                <w:sz w:val="20"/>
                <w:szCs w:val="20"/>
                <w:color w:val="auto"/>
              </w:rPr>
            </w:pPr>
            <w:r>
              <w:rPr>
                <w:rFonts w:ascii="Times New Roman" w:cs="Times New Roman" w:eastAsia="Times New Roman" w:hAnsi="Times New Roman"/>
                <w:sz w:val="13"/>
                <w:szCs w:val="13"/>
                <w:color w:val="auto"/>
              </w:rPr>
              <w:t>310,396</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w:t>
            </w: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w w:val="94"/>
              </w:rPr>
              <w:t>527,876</w:t>
            </w:r>
          </w:p>
        </w:tc>
        <w:tc>
          <w:tcPr>
            <w:tcW w:w="20" w:type="dxa"/>
            <w:vAlign w:val="bottom"/>
          </w:tcPr>
          <w:p>
            <w:pPr>
              <w:spacing w:after="0"/>
              <w:rPr>
                <w:sz w:val="19"/>
                <w:szCs w:val="19"/>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484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1"/>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880" w:type="dxa"/>
            <w:vAlign w:val="bottom"/>
            <w:gridSpan w:val="10"/>
          </w:tcPr>
          <w:p>
            <w:pPr>
              <w:ind w:left="4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​254,281,003</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​121,836,804</w:t>
            </w:r>
            <w:r>
              <w:rPr>
                <w:rFonts w:ascii="Times New Roman" w:cs="Times New Roman" w:eastAsia="Times New Roman" w:hAnsi="Times New Roman"/>
                <w:sz w:val="23"/>
                <w:szCs w:val="23"/>
                <w:color w:val="auto"/>
                <w:vertAlign w:val="subscript"/>
              </w:rPr>
              <w:t>​</w:t>
            </w: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-585470</wp:posOffset>
            </wp:positionV>
            <wp:extent cx="3767455"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767455" cy="6985"/>
                    </a:xfrm>
                    <a:prstGeom prst="rect">
                      <a:avLst/>
                    </a:prstGeom>
                    <a:noFill/>
                  </pic:spPr>
                </pic:pic>
              </a:graphicData>
            </a:graphic>
          </wp:anchor>
        </w:drawing>
      </w:r>
    </w:p>
    <w:p>
      <w:pPr>
        <w:spacing w:after="0" w:line="2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11. Stock-Based Compensation</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2020 Plan</w:t>
      </w:r>
    </w:p>
    <w:p>
      <w:pPr>
        <w:spacing w:after="0" w:line="128"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On August 21, 2020, the Company’s sole director and member approved the 2020 Plan. The 2020 Plan initially allowed the Company to grant awards for up to 314,000 shares of the Company’s common stock. The 2020 Plan allows for grants of stock options, restricted stock awards (“RSAs”), restricted stock units, and other stock-based awards to employees, officers, directors and consultants of the Company and its subsidiaries. The exercise price per share of stock options granted under the 2020 Plan must be no less than the fair value of a share of the Company’s common stock on the grant date. If the Company’s common stock is traded on a national securities exchange, then fair value is based on the stock’s closing price as reported by that exchange. Otherwise, fair value is determined by the Board (or its Compensation Committee), consistent with the applicable rules of the U.S. Internal Revenue Code of 1986 (the “IRC”), or any successor statute.</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2" w:name="page263"/>
    <w:bookmarkEnd w:id="26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11. Stock-Based Compensation (Continued)</w:t>
      </w:r>
    </w:p>
    <w:p>
      <w:pPr>
        <w:spacing w:after="0" w:line="181" w:lineRule="exact"/>
        <w:rPr>
          <w:sz w:val="20"/>
          <w:szCs w:val="20"/>
          <w:color w:val="auto"/>
        </w:rPr>
      </w:pPr>
    </w:p>
    <w:p>
      <w:pPr>
        <w:jc w:val="both"/>
        <w:ind w:left="1160" w:right="1179"/>
        <w:spacing w:after="0" w:line="258" w:lineRule="auto"/>
        <w:rPr>
          <w:sz w:val="20"/>
          <w:szCs w:val="20"/>
          <w:color w:val="auto"/>
        </w:rPr>
      </w:pPr>
      <w:r>
        <w:rPr>
          <w:rFonts w:ascii="Times New Roman" w:cs="Times New Roman" w:eastAsia="Times New Roman" w:hAnsi="Times New Roman"/>
          <w:sz w:val="15"/>
          <w:szCs w:val="15"/>
          <w:color w:val="auto"/>
        </w:rPr>
        <w:t>Terms of stock award agreements, including vesting requirements, are determined by the Board, subject to the provisions of the 2020 Plan. The Company may grant stock awards to employees, non-employee consultants, and members of the Board, and all grantees must be providing services to the Company or its subsidiaries on the date of grant. Since inception of the 2020 Plan, the Company has granted RSAs and stock options. RSAs and stock options granted by the Company generally vest over four years, with 25% of the total shares granted vesting on the anniversary of the vesting commencement date and the remaining 75% vesting in equal monthly installments over the subsequent thirty-six (36) months.</w:t>
      </w:r>
    </w:p>
    <w:p>
      <w:pPr>
        <w:spacing w:after="0" w:line="108" w:lineRule="exact"/>
        <w:rPr>
          <w:sz w:val="20"/>
          <w:szCs w:val="20"/>
          <w:color w:val="auto"/>
        </w:rPr>
      </w:pPr>
    </w:p>
    <w:p>
      <w:pPr>
        <w:jc w:val="both"/>
        <w:ind w:left="1160" w:right="1179"/>
        <w:spacing w:after="0" w:line="263" w:lineRule="auto"/>
        <w:rPr>
          <w:sz w:val="20"/>
          <w:szCs w:val="20"/>
          <w:color w:val="auto"/>
        </w:rPr>
      </w:pPr>
      <w:r>
        <w:rPr>
          <w:rFonts w:ascii="Times New Roman" w:cs="Times New Roman" w:eastAsia="Times New Roman" w:hAnsi="Times New Roman"/>
          <w:sz w:val="15"/>
          <w:szCs w:val="15"/>
          <w:color w:val="auto"/>
        </w:rPr>
        <w:t>In August 2023, as part of the Redomicile, the 2020 Plan was transferred from Zenas Biopharma Cayman Limited to Zenas Biopharma, Inc and was renamed the Zenas BioPharma, Inc. 2020 Equity Incentive Plan. Upon the transfer, there was no legal modification to the outstanding RSAs and stock options, and no changes to any existing terms of the outstanding awards (exercise price, term, vesting, etc.).</w:t>
      </w:r>
    </w:p>
    <w:p>
      <w:pPr>
        <w:spacing w:after="0" w:line="90" w:lineRule="exact"/>
        <w:rPr>
          <w:sz w:val="20"/>
          <w:szCs w:val="20"/>
          <w:color w:val="auto"/>
        </w:rPr>
      </w:pPr>
    </w:p>
    <w:p>
      <w:pPr>
        <w:jc w:val="both"/>
        <w:ind w:left="1160" w:right="1179"/>
        <w:spacing w:after="0" w:line="263" w:lineRule="auto"/>
        <w:rPr>
          <w:sz w:val="20"/>
          <w:szCs w:val="20"/>
          <w:color w:val="auto"/>
        </w:rPr>
      </w:pPr>
      <w:r>
        <w:rPr>
          <w:rFonts w:ascii="Times New Roman" w:cs="Times New Roman" w:eastAsia="Times New Roman" w:hAnsi="Times New Roman"/>
          <w:sz w:val="15"/>
          <w:szCs w:val="15"/>
          <w:color w:val="auto"/>
        </w:rPr>
        <w:t>The 2020 Plan was subsequently amended by the Board numerous times, most recently in May 2024, whereby the Board approved an increase in the number of shares of common stock authorized for issuance from 22,232,224 shares to 38,414,424 shares. Of the 38,414,424 shares, 310,396 shares of common stock remain available for future grant under the 2020 Plan as of June 30, 2024.</w:t>
      </w:r>
    </w:p>
    <w:p>
      <w:pPr>
        <w:spacing w:after="0" w:line="1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Restricted Stock Awards</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following table presents a summary of the Company’s RSA activity and related information:</w:t>
      </w:r>
    </w:p>
    <w:p>
      <w:pPr>
        <w:spacing w:after="0" w:line="135"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Weighted-Average</w:t>
            </w:r>
          </w:p>
        </w:tc>
        <w:tc>
          <w:tcPr>
            <w:tcW w:w="40" w:type="dxa"/>
            <w:vAlign w:val="bottom"/>
          </w:tcPr>
          <w:p>
            <w:pPr>
              <w:spacing w:after="0"/>
              <w:rPr>
                <w:sz w:val="12"/>
                <w:szCs w:val="12"/>
                <w:color w:val="auto"/>
              </w:rPr>
            </w:pPr>
          </w:p>
        </w:tc>
      </w:tr>
      <w:tr>
        <w:trPr>
          <w:trHeight w:val="132"/>
        </w:trPr>
        <w:tc>
          <w:tcPr>
            <w:tcW w:w="4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9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0"/>
              </w:rPr>
              <w:t>Grant-Date</w:t>
            </w:r>
          </w:p>
        </w:tc>
        <w:tc>
          <w:tcPr>
            <w:tcW w:w="40" w:type="dxa"/>
            <w:vAlign w:val="bottom"/>
          </w:tcPr>
          <w:p>
            <w:pPr>
              <w:spacing w:after="0"/>
              <w:rPr>
                <w:sz w:val="11"/>
                <w:szCs w:val="11"/>
                <w:color w:val="auto"/>
              </w:rPr>
            </w:pPr>
          </w:p>
        </w:tc>
      </w:tr>
      <w:tr>
        <w:trPr>
          <w:trHeight w:val="173"/>
        </w:trPr>
        <w:tc>
          <w:tcPr>
            <w:tcW w:w="4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Pr>
          <w:p>
            <w:pPr>
              <w:spacing w:after="0"/>
              <w:rPr>
                <w:sz w:val="15"/>
                <w:szCs w:val="15"/>
                <w:color w:val="auto"/>
              </w:rPr>
            </w:pPr>
          </w:p>
        </w:tc>
        <w:tc>
          <w:tcPr>
            <w:tcW w:w="68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0"/>
                <w:szCs w:val="20"/>
                <w:b w:val="1"/>
                <w:bCs w:val="1"/>
                <w:color w:val="auto"/>
                <w:vertAlign w:val="subscript"/>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Fair Value</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Unvested as of December 31, 2023</w:t>
            </w:r>
          </w:p>
        </w:tc>
        <w:tc>
          <w:tcPr>
            <w:tcW w:w="94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​​236,176​ ​​ ​</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0.31​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8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Vested</w:t>
            </w:r>
          </w:p>
        </w:tc>
        <w:tc>
          <w:tcPr>
            <w:tcW w:w="94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 (39,249)​​ ​</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 0.00​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Repurchased</w:t>
            </w:r>
          </w:p>
        </w:tc>
        <w:tc>
          <w:tcPr>
            <w:tcW w:w="940" w:type="dxa"/>
            <w:vAlign w:val="bottom"/>
            <w:gridSpan w:val="4"/>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​(183,841)</w:t>
            </w:r>
            <w:r>
              <w:rPr>
                <w:rFonts w:ascii="Times New Roman" w:cs="Times New Roman" w:eastAsia="Times New Roman" w:hAnsi="Times New Roman"/>
                <w:sz w:val="25"/>
                <w:szCs w:val="25"/>
                <w:color w:val="auto"/>
                <w:vertAlign w:val="subscript"/>
              </w:rPr>
              <w:t>​​ ​</w:t>
            </w:r>
          </w:p>
        </w:tc>
        <w:tc>
          <w:tcPr>
            <w:tcW w:w="920" w:type="dxa"/>
            <w:vAlign w:val="bottom"/>
          </w:tcPr>
          <w:p>
            <w:pPr>
              <w:jc w:val="cente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0.40​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Unvested as of June 30, 2024</w:t>
            </w:r>
          </w:p>
        </w:tc>
        <w:tc>
          <w:tcPr>
            <w:tcW w:w="260" w:type="dxa"/>
            <w:vAlign w:val="bottom"/>
            <w:gridSpan w:val="2"/>
          </w:tcPr>
          <w:p>
            <w:pPr>
              <w:ind w:left="4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680" w:type="dxa"/>
            <w:vAlign w:val="bottom"/>
            <w:gridSpan w:val="2"/>
          </w:tcPr>
          <w:p>
            <w:pPr>
              <w:ind w:left="40"/>
              <w:spacing w:after="0" w:line="200" w:lineRule="exact"/>
              <w:rPr>
                <w:sz w:val="20"/>
                <w:szCs w:val="20"/>
                <w:color w:val="auto"/>
              </w:rPr>
            </w:pPr>
            <w:r>
              <w:rPr>
                <w:rFonts w:ascii="Times New Roman" w:cs="Times New Roman" w:eastAsia="Times New Roman" w:hAnsi="Times New Roman"/>
                <w:sz w:val="13"/>
                <w:szCs w:val="13"/>
                <w:color w:val="auto"/>
              </w:rPr>
              <w:t xml:space="preserve">13,086​ </w:t>
            </w:r>
            <w:r>
              <w:rPr>
                <w:rFonts w:ascii="Times New Roman" w:cs="Times New Roman" w:eastAsia="Times New Roman" w:hAnsi="Times New Roman"/>
                <w:sz w:val="23"/>
                <w:szCs w:val="23"/>
                <w:color w:val="auto"/>
                <w:vertAlign w:val="subscript"/>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​$ 0.00​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-313055</wp:posOffset>
            </wp:positionV>
            <wp:extent cx="4241800" cy="1397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-585470</wp:posOffset>
            </wp:positionV>
            <wp:extent cx="4241800" cy="1397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174" w:lineRule="exact"/>
        <w:rPr>
          <w:sz w:val="20"/>
          <w:szCs w:val="20"/>
          <w:color w:val="auto"/>
        </w:rPr>
      </w:pPr>
    </w:p>
    <w:p>
      <w:pPr>
        <w:jc w:val="both"/>
        <w:ind w:left="1160" w:right="1179"/>
        <w:spacing w:after="0" w:line="272" w:lineRule="auto"/>
        <w:rPr>
          <w:sz w:val="20"/>
          <w:szCs w:val="20"/>
          <w:color w:val="auto"/>
        </w:rPr>
      </w:pPr>
      <w:r>
        <w:rPr>
          <w:rFonts w:ascii="Times New Roman" w:cs="Times New Roman" w:eastAsia="Times New Roman" w:hAnsi="Times New Roman"/>
          <w:sz w:val="15"/>
          <w:szCs w:val="15"/>
          <w:color w:val="auto"/>
        </w:rPr>
        <w:t>There were no RSAs granted during the six months ended June 30, 2024. As of June 30, 2024, unrecognized compensation cost related to unvested restricted stock awards was immaterial and is expected to be recognized over a weighted average period of 0.1 years.</w:t>
      </w:r>
    </w:p>
    <w:p>
      <w:pPr>
        <w:spacing w:after="0" w:line="1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Stock Options</w:t>
      </w:r>
    </w:p>
    <w:p>
      <w:pPr>
        <w:spacing w:after="0" w:line="128" w:lineRule="exact"/>
        <w:rPr>
          <w:sz w:val="20"/>
          <w:szCs w:val="20"/>
          <w:color w:val="auto"/>
        </w:rPr>
      </w:pPr>
    </w:p>
    <w:p>
      <w:pPr>
        <w:jc w:val="both"/>
        <w:ind w:left="1160" w:right="1179"/>
        <w:spacing w:after="0" w:line="263" w:lineRule="auto"/>
        <w:rPr>
          <w:sz w:val="20"/>
          <w:szCs w:val="20"/>
          <w:color w:val="auto"/>
        </w:rPr>
      </w:pPr>
      <w:r>
        <w:rPr>
          <w:rFonts w:ascii="Times New Roman" w:cs="Times New Roman" w:eastAsia="Times New Roman" w:hAnsi="Times New Roman"/>
          <w:sz w:val="15"/>
          <w:szCs w:val="15"/>
          <w:color w:val="auto"/>
        </w:rPr>
        <w:t>The Company has granted stock options with service-based vesting conditions. Stock options typically vest over four years and have a maximum term of ten years. The Company typically grants stock options to employees and non-employees at exercise prices deemed by the Board to be equal to the fair value of the common stock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3" w:name="page264"/>
    <w:bookmarkEnd w:id="26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11. Stock-Based Compensation (Continued)</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following table presents a summary of the Company’s stock option activity and related information:</w:t>
      </w:r>
    </w:p>
    <w:p>
      <w:pPr>
        <w:spacing w:after="0" w:line="146"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left="12"/>
              <w:spacing w:after="0"/>
              <w:rPr>
                <w:sz w:val="20"/>
                <w:szCs w:val="20"/>
                <w:color w:val="auto"/>
              </w:rPr>
            </w:pPr>
            <w:r>
              <w:rPr>
                <w:rFonts w:ascii="Times New Roman" w:cs="Times New Roman" w:eastAsia="Times New Roman" w:hAnsi="Times New Roman"/>
                <w:sz w:val="12"/>
                <w:szCs w:val="12"/>
                <w:b w:val="1"/>
                <w:bCs w:val="1"/>
                <w:color w:val="auto"/>
                <w:w w:val="93"/>
              </w:rPr>
              <w:t>Weighted-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50"/>
              <w:spacing w:after="0" w:line="132"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Aggregate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88"/>
              </w:rPr>
              <w:t>Average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Remaining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5"/>
              </w:rPr>
              <w:t>Intrinsic</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 ​</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 Exercise Price</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rPr>
              <w:t>​ Contractual Term ​</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 ​​</w:t>
            </w:r>
          </w:p>
        </w:tc>
        <w:tc>
          <w:tcPr>
            <w:tcW w:w="58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 ​</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gridSpan w:val="2"/>
          </w:tcPr>
          <w:p>
            <w:pPr>
              <w:jc w:val="center"/>
              <w:ind w:left="32"/>
              <w:spacing w:after="0"/>
              <w:rPr>
                <w:sz w:val="20"/>
                <w:szCs w:val="20"/>
                <w:color w:val="auto"/>
              </w:rPr>
            </w:pPr>
            <w:r>
              <w:rPr>
                <w:rFonts w:ascii="Times New Roman" w:cs="Times New Roman" w:eastAsia="Times New Roman" w:hAnsi="Times New Roman"/>
                <w:sz w:val="12"/>
                <w:szCs w:val="12"/>
                <w:b w:val="1"/>
                <w:bCs w:val="1"/>
                <w:color w:val="auto"/>
                <w:w w:val="90"/>
              </w:rPr>
              <w:t>(in years)</w:t>
            </w:r>
          </w:p>
        </w:tc>
        <w:tc>
          <w:tcPr>
            <w:tcW w:w="100" w:type="dxa"/>
            <w:vAlign w:val="bottom"/>
          </w:tcPr>
          <w:p>
            <w:pPr>
              <w:spacing w:after="0"/>
              <w:rPr>
                <w:sz w:val="14"/>
                <w:szCs w:val="14"/>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gridSpan w:val="4"/>
          </w:tcPr>
          <w:p>
            <w:pPr>
              <w:jc w:val="right"/>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(in thousands)</w:t>
            </w:r>
            <w:r>
              <w:rPr>
                <w:rFonts w:ascii="Times New Roman" w:cs="Times New Roman" w:eastAsia="Times New Roman" w:hAnsi="Times New Roman"/>
                <w:sz w:val="19"/>
                <w:szCs w:val="19"/>
                <w:b w:val="1"/>
                <w:bCs w:val="1"/>
                <w:color w:val="auto"/>
                <w:vertAlign w:val="subscript"/>
              </w:rPr>
              <w:t>​</w:t>
            </w: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December 31, 2023</w:t>
            </w:r>
          </w:p>
        </w:tc>
        <w:tc>
          <w:tcPr>
            <w:tcW w:w="100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20,691,247​​​</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0.98​</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tcBorders>
              <w:right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6"/>
        </w:trPr>
        <w:tc>
          <w:tcPr>
            <w:tcW w:w="29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Granted</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16,975,000​​​</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 ​ 1.16​</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Exercised</w:t>
            </w:r>
          </w:p>
        </w:tc>
        <w:tc>
          <w:tcPr>
            <w:tcW w:w="2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(197,081)​​</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 ​ 0.84​</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right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76​</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29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Forfeited or cancelled</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(391,479)​​</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 ​ 1.00​</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720" w:type="dxa"/>
            <w:vAlign w:val="bottom"/>
            <w:gridSpan w:val="2"/>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68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outstanding at June 30, 2024</w:t>
            </w:r>
          </w:p>
        </w:tc>
        <w:tc>
          <w:tcPr>
            <w:tcW w:w="1060" w:type="dxa"/>
            <w:vAlign w:val="bottom"/>
            <w:gridSpan w:val="5"/>
            <w:shd w:val="clear" w:color="auto" w:fill="CCEEFF"/>
          </w:tcPr>
          <w:p>
            <w:pPr>
              <w:ind w:left="60"/>
              <w:spacing w:after="0" w:line="178" w:lineRule="exact"/>
              <w:rPr>
                <w:sz w:val="20"/>
                <w:szCs w:val="20"/>
                <w:color w:val="auto"/>
              </w:rPr>
            </w:pPr>
            <w:r>
              <w:rPr>
                <w:rFonts w:ascii="Times New Roman" w:cs="Times New Roman" w:eastAsia="Times New Roman" w:hAnsi="Times New Roman"/>
                <w:sz w:val="20"/>
                <w:szCs w:val="20"/>
                <w:color w:val="auto"/>
                <w:vertAlign w:val="subscript"/>
              </w:rPr>
              <w:t>​ ​​</w:t>
            </w:r>
            <w:r>
              <w:rPr>
                <w:rFonts w:ascii="Times New Roman" w:cs="Times New Roman" w:eastAsia="Times New Roman" w:hAnsi="Times New Roman"/>
                <w:sz w:val="12"/>
                <w:szCs w:val="12"/>
                <w:color w:val="auto"/>
              </w:rPr>
              <w:t xml:space="preserve">​37,077,687​ </w:t>
            </w:r>
            <w:r>
              <w:rPr>
                <w:rFonts w:ascii="Times New Roman" w:cs="Times New Roman" w:eastAsia="Times New Roman" w:hAnsi="Times New Roman"/>
                <w:sz w:val="20"/>
                <w:szCs w:val="20"/>
                <w:color w:val="auto"/>
                <w:vertAlign w:val="subscript"/>
              </w:rPr>
              <w:t>​​ ​</w:t>
            </w:r>
          </w:p>
        </w:tc>
        <w:tc>
          <w:tcPr>
            <w:tcW w:w="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  1.06​</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8.70​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Borders>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​$4,064​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spacing w:after="0" w:line="165" w:lineRule="exact"/>
              <w:rPr>
                <w:sz w:val="20"/>
                <w:szCs w:val="20"/>
                <w:color w:val="auto"/>
              </w:rPr>
            </w:pPr>
            <w:r>
              <w:rPr>
                <w:rFonts w:ascii="Times New Roman" w:cs="Times New Roman" w:eastAsia="Times New Roman" w:hAnsi="Times New Roman"/>
                <w:sz w:val="15"/>
                <w:szCs w:val="15"/>
                <w:color w:val="auto"/>
              </w:rPr>
              <w:t>Options vested and exercisable at June 30,</w:t>
            </w: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9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9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2024</w:t>
            </w:r>
          </w:p>
        </w:tc>
        <w:tc>
          <w:tcPr>
            <w:tcW w:w="106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7,768,884​​​ ​</w:t>
            </w:r>
          </w:p>
        </w:tc>
        <w:tc>
          <w:tcPr>
            <w:tcW w:w="2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0.78​</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2"/>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5.98​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​$2,838​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2"/>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vested and expected to vest at June 30,</w:t>
            </w:r>
          </w:p>
        </w:tc>
        <w:tc>
          <w:tcPr>
            <w:tcW w:w="24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2024</w:t>
            </w:r>
          </w:p>
        </w:tc>
        <w:tc>
          <w:tcPr>
            <w:tcW w:w="106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37,077,687​​​ ​</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1.06​</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8.70​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Borders>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​$4,064​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-613410</wp:posOffset>
            </wp:positionV>
            <wp:extent cx="4241800"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64"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color w:val="auto"/>
        </w:rPr>
        <w:t>The aggregate intrinsic value of stock options is calculated as the difference between the exercise price of the options and the fair value of the Company’s common stock for those stock options that had an exercise price lower than the fair value of the Company’s common stock as of the measurement date of June 30, 2024.</w:t>
      </w:r>
    </w:p>
    <w:p>
      <w:pPr>
        <w:spacing w:after="0" w:line="267"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As of June 30, 2024, unrecognized compensation cost related to unvested stock options was $25.0 million, which is expected to be recognized over a weighted average period of 3.4 years.</w:t>
      </w:r>
    </w:p>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 Expense</w:t>
      </w:r>
    </w:p>
    <w:p>
      <w:pPr>
        <w:spacing w:after="0" w:line="128" w:lineRule="exact"/>
        <w:rPr>
          <w:sz w:val="20"/>
          <w:szCs w:val="20"/>
          <w:color w:val="auto"/>
        </w:rPr>
      </w:pPr>
    </w:p>
    <w:p>
      <w:pPr>
        <w:jc w:val="both"/>
        <w:ind w:left="1160" w:right="1179"/>
        <w:spacing w:after="0" w:line="241" w:lineRule="auto"/>
        <w:rPr>
          <w:sz w:val="20"/>
          <w:szCs w:val="20"/>
          <w:color w:val="auto"/>
        </w:rPr>
      </w:pPr>
      <w:r>
        <w:rPr>
          <w:rFonts w:ascii="Times New Roman" w:cs="Times New Roman" w:eastAsia="Times New Roman" w:hAnsi="Times New Roman"/>
          <w:sz w:val="15"/>
          <w:szCs w:val="15"/>
          <w:color w:val="auto"/>
        </w:rPr>
        <w:t>The following table presents stock-based compensation expense as reflected in the Company’s condensed consolidated statements of operations and comprehensive loss for the six months ended June 30, 2024 and 2023 (in thousands):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9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Six Months</w:t>
            </w:r>
          </w:p>
        </w:tc>
        <w:tc>
          <w:tcPr>
            <w:tcW w:w="40" w:type="dxa"/>
            <w:vAlign w:val="bottom"/>
          </w:tcPr>
          <w:p>
            <w:pPr>
              <w:spacing w:after="0"/>
              <w:rPr>
                <w:sz w:val="12"/>
                <w:szCs w:val="12"/>
                <w:color w:val="auto"/>
              </w:rPr>
            </w:pPr>
          </w:p>
        </w:tc>
      </w:tr>
      <w:tr>
        <w:trPr>
          <w:trHeight w:val="173"/>
        </w:trPr>
        <w:tc>
          <w:tcPr>
            <w:tcW w:w="3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540" w:type="dxa"/>
            <w:vAlign w:val="bottom"/>
          </w:tcPr>
          <w:p>
            <w:pPr>
              <w:ind w:left="1420"/>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rPr>
              <w:t>Ended June 30,</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3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540" w:type="dxa"/>
            <w:vAlign w:val="bottom"/>
          </w:tcPr>
          <w:p>
            <w:pPr>
              <w:ind w:left="14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6"/>
                <w:szCs w:val="16"/>
                <w:color w:val="auto"/>
              </w:rPr>
            </w:pPr>
          </w:p>
        </w:tc>
        <w:tc>
          <w:tcPr>
            <w:tcW w:w="6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2024   </w:t>
            </w:r>
            <w:r>
              <w:rPr>
                <w:rFonts w:ascii="Times New Roman" w:cs="Times New Roman" w:eastAsia="Times New Roman" w:hAnsi="Times New Roman"/>
                <w:sz w:val="21"/>
                <w:szCs w:val="21"/>
                <w:b w:val="1"/>
                <w:bCs w:val="1"/>
                <w:color w:val="auto"/>
                <w:vertAlign w:val="subscript"/>
              </w:rPr>
              <w:t>​ ​</w:t>
            </w: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39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54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1,121</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529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540" w:type="dxa"/>
            <w:vAlign w:val="bottom"/>
          </w:tcPr>
          <w:p>
            <w:pPr>
              <w:ind w:left="14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5"/>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1,362</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4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13"/>
                <w:szCs w:val="13"/>
                <w:color w:val="auto"/>
              </w:rPr>
              <w:t>827</w:t>
            </w:r>
            <w:r>
              <w:rPr>
                <w:rFonts w:ascii="Times New Roman" w:cs="Times New Roman" w:eastAsia="Times New Roman" w:hAnsi="Times New Roman"/>
                <w:sz w:val="25"/>
                <w:szCs w:val="25"/>
                <w:color w:val="auto"/>
                <w:vertAlign w:val="subscript"/>
              </w:rPr>
              <w:t>​</w:t>
            </w:r>
          </w:p>
        </w:tc>
      </w:tr>
      <w:tr>
        <w:trPr>
          <w:trHeight w:val="20"/>
        </w:trPr>
        <w:tc>
          <w:tcPr>
            <w:tcW w:w="39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stock-based compensation expense</w:t>
            </w:r>
          </w:p>
        </w:tc>
        <w:tc>
          <w:tcPr>
            <w:tcW w:w="154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ind w:left="20"/>
              <w:spacing w:after="0" w:line="20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1040" w:type="dxa"/>
            <w:vAlign w:val="bottom"/>
            <w:gridSpan w:val="4"/>
            <w:shd w:val="clear" w:color="auto" w:fill="CCEEFF"/>
          </w:tcPr>
          <w:p>
            <w:pPr>
              <w:jc w:val="right"/>
              <w:spacing w:after="0" w:line="200" w:lineRule="exact"/>
              <w:rPr>
                <w:sz w:val="20"/>
                <w:szCs w:val="20"/>
                <w:color w:val="auto"/>
              </w:rPr>
            </w:pPr>
            <w:r>
              <w:rPr>
                <w:rFonts w:ascii="Times New Roman" w:cs="Times New Roman" w:eastAsia="Times New Roman" w:hAnsi="Times New Roman"/>
                <w:sz w:val="13"/>
                <w:szCs w:val="13"/>
                <w:color w:val="auto"/>
              </w:rPr>
              <w:t>2,483</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1,356</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3934460"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9344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927475"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927475" cy="6985"/>
                    </a:xfrm>
                    <a:prstGeom prst="rect">
                      <a:avLst/>
                    </a:prstGeom>
                    <a:noFill/>
                  </pic:spPr>
                </pic:pic>
              </a:graphicData>
            </a:graphic>
          </wp:anchor>
        </w:drawing>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12. Net Loss Per Share</w:t>
      </w:r>
    </w:p>
    <w:p>
      <w:pPr>
        <w:spacing w:after="0" w:line="115" w:lineRule="exact"/>
        <w:rPr>
          <w:sz w:val="20"/>
          <w:szCs w:val="20"/>
          <w:color w:val="auto"/>
        </w:rPr>
      </w:pPr>
    </w:p>
    <w:p>
      <w:pPr>
        <w:ind w:left="1160" w:right="1179"/>
        <w:spacing w:after="0" w:line="269" w:lineRule="auto"/>
        <w:rPr>
          <w:sz w:val="20"/>
          <w:szCs w:val="20"/>
          <w:color w:val="auto"/>
        </w:rPr>
      </w:pPr>
      <w:r>
        <w:rPr>
          <w:rFonts w:ascii="Times New Roman" w:cs="Times New Roman" w:eastAsia="Times New Roman" w:hAnsi="Times New Roman"/>
          <w:sz w:val="15"/>
          <w:szCs w:val="15"/>
          <w:color w:val="auto"/>
        </w:rPr>
        <w:t>Basic and diluted net loss per share attributable to common stockholders was calculated as follows (in thousands, except share and per share amounts):</w:t>
      </w:r>
    </w:p>
    <w:p>
      <w:pPr>
        <w:spacing w:after="0" w:line="86"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5"/>
              </w:rPr>
              <w:t>Six Months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auto"/>
            </w:tcBorders>
            <w:gridSpan w:val="2"/>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Ended June 30,</w:t>
            </w: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Pr>
          <w:p>
            <w:pPr>
              <w:jc w:val="right"/>
              <w:ind w:right="917"/>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auto"/>
            </w:tcBorders>
            <w:gridSpan w:val="2"/>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280" w:type="dxa"/>
            <w:vAlign w:val="bottom"/>
            <w:tcBorders>
              <w:bottom w:val="single" w:sz="8" w:color="auto"/>
            </w:tcBorders>
          </w:tcPr>
          <w:p>
            <w:pPr>
              <w:spacing w:after="0"/>
              <w:rPr>
                <w:sz w:val="16"/>
                <w:szCs w:val="16"/>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 ​</w:t>
            </w:r>
          </w:p>
        </w:tc>
        <w:tc>
          <w:tcPr>
            <w:tcW w:w="280" w:type="dxa"/>
            <w:vAlign w:val="bottom"/>
            <w:tcBorders>
              <w:bottom w:val="single" w:sz="8" w:color="auto"/>
            </w:tcBorders>
            <w:gridSpan w:val="2"/>
          </w:tcPr>
          <w:p>
            <w:pPr>
              <w:spacing w:after="0"/>
              <w:rPr>
                <w:sz w:val="16"/>
                <w:szCs w:val="16"/>
                <w:color w:val="auto"/>
              </w:rPr>
            </w:pPr>
          </w:p>
        </w:tc>
        <w:tc>
          <w:tcPr>
            <w:tcW w:w="3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160" w:type="dxa"/>
            <w:vAlign w:val="bottom"/>
            <w:tcBorders>
              <w:bottom w:val="single" w:sz="8" w:color="auto"/>
            </w:tcBorders>
          </w:tcPr>
          <w:p>
            <w:pPr>
              <w:spacing w:after="0"/>
              <w:rPr>
                <w:sz w:val="16"/>
                <w:szCs w:val="16"/>
                <w:color w:val="auto"/>
              </w:rPr>
            </w:pPr>
          </w:p>
        </w:tc>
        <w:tc>
          <w:tcPr>
            <w:tcW w:w="1020" w:type="dxa"/>
            <w:vAlign w:val="bottom"/>
          </w:tcPr>
          <w:p>
            <w:pPr>
              <w:jc w:val="right"/>
              <w:ind w:right="917"/>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8"/>
        </w:trPr>
        <w:tc>
          <w:tcPr>
            <w:tcW w:w="1020" w:type="dxa"/>
            <w:vAlign w:val="bottom"/>
          </w:tcPr>
          <w:p>
            <w:pPr>
              <w:spacing w:after="0"/>
              <w:rPr>
                <w:sz w:val="15"/>
                <w:szCs w:val="15"/>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Numerator:</w:t>
            </w:r>
          </w:p>
        </w:tc>
        <w:tc>
          <w:tcPr>
            <w:tcW w:w="460" w:type="dxa"/>
            <w:vAlign w:val="bottom"/>
            <w:gridSpan w:val="4"/>
          </w:tcPr>
          <w:p>
            <w:pPr>
              <w:ind w:left="160"/>
              <w:spacing w:after="0"/>
              <w:rPr>
                <w:sz w:val="20"/>
                <w:szCs w:val="20"/>
                <w:color w:val="auto"/>
              </w:rPr>
            </w:pPr>
            <w:r>
              <w:rPr>
                <w:rFonts w:ascii="Times New Roman" w:cs="Times New Roman" w:eastAsia="Times New Roman" w:hAnsi="Times New Roman"/>
                <w:sz w:val="15"/>
                <w:szCs w:val="15"/>
                <w:color w:val="auto"/>
              </w:rPr>
              <w:t>​ ​​ ​</w:t>
            </w:r>
          </w:p>
        </w:tc>
        <w:tc>
          <w:tcPr>
            <w:tcW w:w="340" w:type="dxa"/>
            <w:vAlign w:val="bottom"/>
          </w:tcPr>
          <w:p>
            <w:pPr>
              <w:spacing w:after="0"/>
              <w:rPr>
                <w:sz w:val="15"/>
                <w:szCs w:val="15"/>
                <w:color w:val="auto"/>
              </w:rPr>
            </w:pP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 ​​ ​</w:t>
            </w:r>
          </w:p>
        </w:tc>
        <w:tc>
          <w:tcPr>
            <w:tcW w:w="360" w:type="dxa"/>
            <w:vAlign w:val="bottom"/>
          </w:tcPr>
          <w:p>
            <w:pPr>
              <w:spacing w:after="0"/>
              <w:rPr>
                <w:sz w:val="15"/>
                <w:szCs w:val="15"/>
                <w:color w:val="auto"/>
              </w:rPr>
            </w:pPr>
          </w:p>
        </w:tc>
        <w:tc>
          <w:tcPr>
            <w:tcW w:w="1180" w:type="dxa"/>
            <w:vAlign w:val="bottom"/>
            <w:gridSpan w:val="2"/>
          </w:tcPr>
          <w:p>
            <w:pPr>
              <w:jc w:val="right"/>
              <w:ind w:right="91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460" w:type="dxa"/>
            <w:vAlign w:val="bottom"/>
            <w:gridSpan w:val="4"/>
          </w:tcPr>
          <w:p>
            <w:pPr>
              <w:ind w:left="16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2620" w:type="dxa"/>
            <w:vAlign w:val="bottom"/>
            <w:gridSpan w:val="8"/>
          </w:tcPr>
          <w:p>
            <w:pPr>
              <w:jc w:val="right"/>
              <w:ind w:right="917"/>
              <w:spacing w:after="0" w:line="200" w:lineRule="exact"/>
              <w:rPr>
                <w:sz w:val="20"/>
                <w:szCs w:val="20"/>
                <w:color w:val="auto"/>
              </w:rPr>
            </w:pPr>
            <w:r>
              <w:rPr>
                <w:rFonts w:ascii="Times New Roman" w:cs="Times New Roman" w:eastAsia="Times New Roman" w:hAnsi="Times New Roman"/>
                <w:sz w:val="13"/>
                <w:szCs w:val="13"/>
                <w:color w:val="auto"/>
              </w:rPr>
              <w:t>  (65,777)</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(48,144)</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44"/>
        </w:trPr>
        <w:tc>
          <w:tcPr>
            <w:tcW w:w="1020" w:type="dxa"/>
            <w:vAlign w:val="bottom"/>
          </w:tcPr>
          <w:p>
            <w:pPr>
              <w:spacing w:after="0"/>
              <w:rPr>
                <w:sz w:val="3"/>
                <w:szCs w:val="3"/>
                <w:color w:val="auto"/>
              </w:rPr>
            </w:pPr>
          </w:p>
        </w:tc>
        <w:tc>
          <w:tcPr>
            <w:tcW w:w="46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Denominator:</w:t>
            </w: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020" w:type="dxa"/>
            <w:vAlign w:val="bottom"/>
          </w:tcPr>
          <w:p>
            <w:pPr>
              <w:spacing w:after="0"/>
              <w:rPr>
                <w:sz w:val="13"/>
                <w:szCs w:val="13"/>
                <w:color w:val="auto"/>
              </w:rPr>
            </w:pPr>
          </w:p>
        </w:tc>
        <w:tc>
          <w:tcPr>
            <w:tcW w:w="4620" w:type="dxa"/>
            <w:vAlign w:val="bottom"/>
            <w:vMerge w:val="continue"/>
          </w:tcPr>
          <w:p>
            <w:pPr>
              <w:spacing w:after="0"/>
              <w:rPr>
                <w:sz w:val="13"/>
                <w:szCs w:val="13"/>
                <w:color w:val="auto"/>
              </w:rPr>
            </w:pPr>
          </w:p>
        </w:tc>
        <w:tc>
          <w:tcPr>
            <w:tcW w:w="460" w:type="dxa"/>
            <w:vAlign w:val="bottom"/>
            <w:gridSpan w:val="4"/>
          </w:tcPr>
          <w:p>
            <w:pPr>
              <w:ind w:left="160"/>
              <w:spacing w:after="0" w:line="154" w:lineRule="exact"/>
              <w:rPr>
                <w:sz w:val="20"/>
                <w:szCs w:val="20"/>
                <w:color w:val="auto"/>
              </w:rPr>
            </w:pPr>
            <w:r>
              <w:rPr>
                <w:rFonts w:ascii="Times New Roman" w:cs="Times New Roman" w:eastAsia="Times New Roman" w:hAnsi="Times New Roman"/>
                <w:sz w:val="15"/>
                <w:szCs w:val="15"/>
                <w:color w:val="auto"/>
              </w:rPr>
              <w:t>​ ​​ ​</w:t>
            </w:r>
          </w:p>
        </w:tc>
        <w:tc>
          <w:tcPr>
            <w:tcW w:w="340" w:type="dxa"/>
            <w:vAlign w:val="bottom"/>
          </w:tcPr>
          <w:p>
            <w:pPr>
              <w:spacing w:after="0"/>
              <w:rPr>
                <w:sz w:val="13"/>
                <w:szCs w:val="13"/>
                <w:color w:val="auto"/>
              </w:rPr>
            </w:pPr>
          </w:p>
        </w:tc>
        <w:tc>
          <w:tcPr>
            <w:tcW w:w="740" w:type="dxa"/>
            <w:vAlign w:val="bottom"/>
            <w:gridSpan w:val="4"/>
          </w:tcPr>
          <w:p>
            <w:pPr>
              <w:jc w:val="right"/>
              <w:ind w:right="160"/>
              <w:spacing w:after="0" w:line="154" w:lineRule="exact"/>
              <w:rPr>
                <w:sz w:val="20"/>
                <w:szCs w:val="20"/>
                <w:color w:val="auto"/>
              </w:rPr>
            </w:pPr>
            <w:r>
              <w:rPr>
                <w:rFonts w:ascii="Times New Roman" w:cs="Times New Roman" w:eastAsia="Times New Roman" w:hAnsi="Times New Roman"/>
                <w:sz w:val="15"/>
                <w:szCs w:val="15"/>
                <w:color w:val="auto"/>
              </w:rPr>
              <w:t>​​​ ​​ ​</w:t>
            </w:r>
          </w:p>
        </w:tc>
        <w:tc>
          <w:tcPr>
            <w:tcW w:w="360" w:type="dxa"/>
            <w:vAlign w:val="bottom"/>
          </w:tcPr>
          <w:p>
            <w:pPr>
              <w:spacing w:after="0"/>
              <w:rPr>
                <w:sz w:val="13"/>
                <w:szCs w:val="13"/>
                <w:color w:val="auto"/>
              </w:rPr>
            </w:pPr>
          </w:p>
        </w:tc>
        <w:tc>
          <w:tcPr>
            <w:tcW w:w="1180" w:type="dxa"/>
            <w:vAlign w:val="bottom"/>
            <w:gridSpan w:val="2"/>
          </w:tcPr>
          <w:p>
            <w:pPr>
              <w:jc w:val="right"/>
              <w:ind w:right="917"/>
              <w:spacing w:after="0" w:line="15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common stock outstanding–basic and diluted</w:t>
            </w:r>
          </w:p>
        </w:tc>
        <w:tc>
          <w:tcPr>
            <w:tcW w:w="3080" w:type="dxa"/>
            <w:vAlign w:val="bottom"/>
            <w:gridSpan w:val="12"/>
          </w:tcPr>
          <w:p>
            <w:pPr>
              <w:ind w:left="16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 ​13,551,524​ </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 ​13,220,545​ </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per share attributable to common stockholders–basic and diluted</w:t>
            </w:r>
          </w:p>
        </w:tc>
        <w:tc>
          <w:tcPr>
            <w:tcW w:w="460" w:type="dxa"/>
            <w:vAlign w:val="bottom"/>
            <w:gridSpan w:val="4"/>
            <w:shd w:val="clear" w:color="auto" w:fill="CCEEFF"/>
          </w:tcPr>
          <w:p>
            <w:pPr>
              <w:ind w:left="160"/>
              <w:spacing w:after="0" w:line="189"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1"/>
                <w:szCs w:val="21"/>
                <w:color w:val="auto"/>
                <w:vertAlign w:val="superscript"/>
              </w:rPr>
              <w:t>$</w:t>
            </w:r>
          </w:p>
        </w:tc>
        <w:tc>
          <w:tcPr>
            <w:tcW w:w="1080" w:type="dxa"/>
            <w:vAlign w:val="bottom"/>
            <w:gridSpan w:val="5"/>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2"/>
                <w:szCs w:val="12"/>
                <w:color w:val="auto"/>
              </w:rPr>
              <w:t>(4.85)</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w:t>
            </w:r>
          </w:p>
        </w:tc>
        <w:tc>
          <w:tcPr>
            <w:tcW w:w="1020" w:type="dxa"/>
            <w:vAlign w:val="bottom"/>
          </w:tcPr>
          <w:p>
            <w:pPr>
              <w:jc w:val="right"/>
              <w:ind w:right="91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20" w:type="dxa"/>
            <w:vAlign w:val="bottom"/>
            <w:tcBorders>
              <w:top w:val="single" w:sz="8" w:color="CCEEFF"/>
              <w:bottom w:val="single" w:sz="8" w:color="CCEEFF"/>
            </w:tcBorders>
            <w:vMerge w:val="restart"/>
          </w:tcPr>
          <w:p>
            <w:pPr>
              <w:ind w:left="3180"/>
              <w:spacing w:after="0"/>
              <w:rPr>
                <w:sz w:val="20"/>
                <w:szCs w:val="20"/>
                <w:color w:val="auto"/>
              </w:rPr>
            </w:pPr>
            <w:r>
              <w:rPr>
                <w:rFonts w:ascii="Times New Roman" w:cs="Times New Roman" w:eastAsia="Times New Roman" w:hAnsi="Times New Roman"/>
                <w:sz w:val="15"/>
                <w:szCs w:val="15"/>
                <w:color w:val="auto"/>
              </w:rPr>
              <w:t>F-50</w:t>
            </w: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102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-989965</wp:posOffset>
            </wp:positionV>
            <wp:extent cx="4241800" cy="11176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241800" cy="11176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-1269365</wp:posOffset>
            </wp:positionV>
            <wp:extent cx="4241800" cy="12573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241800" cy="125730"/>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4" w:name="page265"/>
    <w:bookmarkEnd w:id="26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12. Net Loss Per Share (Continued)</w:t>
      </w:r>
    </w:p>
    <w:p>
      <w:pPr>
        <w:spacing w:after="0" w:line="181"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The Company’s potentially dilutive securities, which include convertible preferred stock,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shares from the computation of diluted net loss per share attributable to common stockholders as of June 30, 2024 and 2023 because including them would have had an anti-dilutive effect:</w:t>
      </w:r>
    </w:p>
    <w:p>
      <w:pPr>
        <w:spacing w:after="0" w:line="121"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3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60" w:type="dxa"/>
            <w:vAlign w:val="bottom"/>
          </w:tcPr>
          <w:p>
            <w:pPr>
              <w:ind w:left="134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June 30,</w:t>
            </w:r>
          </w:p>
        </w:tc>
        <w:tc>
          <w:tcPr>
            <w:tcW w:w="56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60" w:type="dxa"/>
            <w:vAlign w:val="bottom"/>
            <w:tcBorders>
              <w:bottom w:val="single" w:sz="8" w:color="CCEEFF"/>
            </w:tcBorders>
          </w:tcPr>
          <w:p>
            <w:pPr>
              <w:ind w:left="138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 ​</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preferred stock</w:t>
            </w:r>
          </w:p>
        </w:tc>
        <w:tc>
          <w:tcPr>
            <w:tcW w:w="146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​​216,892,920</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​​100,617,681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Unvested restricted stock</w:t>
            </w:r>
          </w:p>
        </w:tc>
        <w:tc>
          <w:tcPr>
            <w:tcW w:w="1460" w:type="dxa"/>
            <w:vAlign w:val="bottom"/>
          </w:tcPr>
          <w:p>
            <w:pPr>
              <w:ind w:left="13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13,086</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275,426​</w:t>
            </w: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to purchase common stock</w:t>
            </w:r>
          </w:p>
        </w:tc>
        <w:tc>
          <w:tcPr>
            <w:tcW w:w="146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37,077,687</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 17,602,794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-403860</wp:posOffset>
            </wp:positionV>
            <wp:extent cx="3767455"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767455" cy="6985"/>
                    </a:xfrm>
                    <a:prstGeom prst="rect">
                      <a:avLst/>
                    </a:prstGeom>
                    <a:noFill/>
                  </pic:spPr>
                </pic:pic>
              </a:graphicData>
            </a:graphic>
          </wp:anchor>
        </w:drawing>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13. Commitments and Contingencies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Operating Leases</w:t>
      </w:r>
    </w:p>
    <w:p>
      <w:pPr>
        <w:spacing w:after="0" w:line="1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Company has entered into arrangements for leases of office space; see Note 6, “Leases,” for details.</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License and Option Agreements</w:t>
      </w:r>
    </w:p>
    <w:p>
      <w:pPr>
        <w:spacing w:after="0" w:line="128"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The Company entered into licenses agreements under which it is obligated to make fixed and contingent payments; see Note 8 “License and Option Agreements,” for details.</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Other Contracts</w:t>
      </w:r>
    </w:p>
    <w:p>
      <w:pPr>
        <w:spacing w:after="0" w:line="128"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The Company has entered into agreements with certain vendors for the provision of services that the Company is not contractually able to terminate for convenience and thereby avoid any and all future obligations to the vendors. Under such agreements, the Company is contractually obligated to make certain minimum payments to the vendors, with the exact amounts in the event of termination to be based on the timing of the termination and the exact terms of the agreement.</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Indemnification Agreements</w:t>
      </w:r>
    </w:p>
    <w:p>
      <w:pPr>
        <w:spacing w:after="0" w:line="117"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services as directors. 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had not accrued any liabilities related to such obligations in its condensed consolidated financial statements as of June 30, 2024.</w:t>
      </w:r>
    </w:p>
    <w:p>
      <w:pPr>
        <w:spacing w:after="0" w:line="3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Litigation and Other Proceedings</w:t>
      </w:r>
    </w:p>
    <w:p>
      <w:pPr>
        <w:spacing w:after="0" w:line="128"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The Company may periodically become subject to legal proceedings and claims arising in connection with ongoing business activities, including claims or disputes related to patents that have been issued or that are pending in the field of research on which the Company is focused. As of June 30, 2024, the Company was not</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5" w:name="page266"/>
    <w:bookmarkEnd w:id="26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13. Commitments and Contingencies (Continued)</w:t>
      </w:r>
    </w:p>
    <w:p>
      <w:pPr>
        <w:spacing w:after="0" w:line="181"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subject to any material legal proceedings which would reasonably be expected to have a material adverse effect on the Company’s financial results.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14. Employee Benefit Plans</w:t>
      </w:r>
    </w:p>
    <w:p>
      <w:pPr>
        <w:spacing w:after="0" w:line="126"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Effective June 2020, the Company adopted the Zenas BioPharma 401(k) Plan (the “401(k) Plan”) for its employees, which is designed to be qualified under Section 401(k) of the Internal Revenue Code. Eligible employees are permitted to contribute to the 401(k) Plan within statutory and 401(k) Plan limits. Since inception of the 401(k) Plan and through June 30, 2024, the Company has not made any contributions to the 401(k) Plan.</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15. Related Party Transactions</w:t>
      </w:r>
    </w:p>
    <w:p>
      <w:pPr>
        <w:spacing w:after="0" w:line="126"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As further described above in Note 8, “License and Option Agreements,” the Company has obtained exclusive, worldwide licenses from Xencor to research, develop, manufacture, market and sell four antibody product candidates pursuant to two license agreements. The Company has concluded that Xencor is a related party, because as initial consideration for the 2020 Xencor Agreement, the Company issued 5,041,542 shares of its Series A Preferred Stock to Xencor during the year ended December 31, 2020. In April 2023, Xencor elected to receive payment for a development milestone in the form of the Company’s Series B Preferred Stock and the Company issued 4,189,955 shares of Series B Preferred Stock as payment for the development milestone in June 2023. Immediately following the Series C Preferred Stock financing in May 2024, Xencor’s equity interest in Zenas was approximately 12% of all outstanding shares of all classes of the Company’s stock (common stock and convertible preferred stock). The Company recorded no reimbursable costs and less than $0.1 million in reimbursable patent-related costs to general and administrative expenses in the condensed consolidated statements of operations and comprehensive loss during the six months ended June 30, 2024 and 2023, respectively.</w:t>
      </w:r>
    </w:p>
    <w:p>
      <w:pPr>
        <w:spacing w:after="0" w:line="97"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As further described above in Note 8, “License and Option Agreements,” the Company has obtained a license from Viridian to research, develop, manufacture, market and sell an antibody product candidate in China. The Company has concluded that Viridian is a related party because Fairmount Funds Management LLC owns more than 5% of capital stock of the Company, has a seat on the Board and is also a 10% or greater stockholder of Viridian and has two seats on Viridian’s board of directors. As initial consideration for this license, the Company issued 336,103 shares of its common stock to Viridian during the year ended December 31, 2020. As of that date, Viridian’s equity interest in the Company was approximately 1% of all outstanding shares of all classes of the Company’s stock (assuming conversion of all outstanding shares of convertible preferred stock).</w:t>
      </w:r>
    </w:p>
    <w:p>
      <w:pPr>
        <w:spacing w:after="0" w:line="105"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As further described above in Note 8, “License and Option Agreements”, the Company has obtained an exclusive option to negotiate and enter into exclusive license agreements with Dianthus for the rights (in the Zenas Territories only) to either or both of two antibody product candidates. The Company has concluded that Dianthus is a related party because the Company’s Chair of the Board is a member of the board of directors of Dianthus. As initial consideration for this license, the Company issued 156,848 shares of its common stock to Dianthus during the year ended December 31, 2020. As of that date, Dianthus’s equity interest in the Company was approximately 0.5% of all outstanding shares of all classes of the Company’s stock (assuming conversion of all outstanding shares of convertible preferred stock).</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16. Subsequent Events</w:t>
      </w:r>
    </w:p>
    <w:p>
      <w:pPr>
        <w:spacing w:after="0" w:line="126"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The Company has assessed subsequent events through August 22, 2024, the date that these condensed consolidated financial statements were issued.</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6" w:name="page267"/>
    <w:bookmarkEnd w:id="266"/>
    <w:p>
      <w:pPr>
        <w:ind w:left="140"/>
        <w:spacing w:after="0"/>
        <w:rPr>
          <w:sz w:val="20"/>
          <w:szCs w:val="20"/>
          <w:color w:val="auto"/>
        </w:rPr>
      </w:pPr>
      <w:r>
        <w:rPr>
          <w:rFonts w:ascii="Calibri" w:cs="Calibri" w:eastAsia="Calibri" w:hAnsi="Calibri"/>
          <w:sz w:val="12"/>
          <w:szCs w:val="12"/>
          <w:color w:val="003366"/>
        </w:rPr>
        <w:t>TABLE OF CONTENTS</w:t>
      </w:r>
    </w:p>
    <w:p>
      <w:pPr>
        <w:spacing w:after="0" w:line="394" w:lineRule="exact"/>
        <w:rPr>
          <w:sz w:val="20"/>
          <w:szCs w:val="20"/>
          <w:color w:val="auto"/>
        </w:rPr>
      </w:pPr>
    </w:p>
    <w:p>
      <w:pPr>
        <w:ind w:left="11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-3175</wp:posOffset>
            </wp:positionV>
            <wp:extent cx="4241800" cy="1397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241800" cy="1397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38100</wp:posOffset>
            </wp:positionV>
            <wp:extent cx="4241800"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i w:val="1"/>
          <w:i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2287905</wp:posOffset>
            </wp:positionH>
            <wp:positionV relativeFrom="paragraph">
              <wp:posOffset>97155</wp:posOffset>
            </wp:positionV>
            <wp:extent cx="1144270" cy="39052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144270"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Georgia" w:cs="Georgia" w:eastAsia="Georgia" w:hAnsi="Georgia"/>
          <w:sz w:val="21"/>
          <w:szCs w:val="21"/>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Georgia" w:cs="Georgia" w:eastAsia="Georgia" w:hAnsi="Georgia"/>
          <w:sz w:val="18"/>
          <w:szCs w:val="18"/>
          <w:b w:val="1"/>
          <w:bCs w:val="1"/>
          <w:i w:val="1"/>
          <w:i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1179"/>
        <w:spacing w:after="0"/>
        <w:tabs>
          <w:tab w:leader="none" w:pos="4800" w:val="left"/>
          <w:tab w:leader="none" w:pos="3580" w:val="left"/>
          <w:tab w:leader="none" w:pos="2160" w:val="left"/>
        </w:tabs>
        <w:rPr>
          <w:sz w:val="20"/>
          <w:szCs w:val="20"/>
          <w:color w:val="auto"/>
        </w:rPr>
      </w:pPr>
      <w:r>
        <w:rPr>
          <w:rFonts w:ascii="Georgia" w:cs="Georgia" w:eastAsia="Georgia" w:hAnsi="Georgia"/>
          <w:sz w:val="15"/>
          <w:szCs w:val="15"/>
          <w:b w:val="1"/>
          <w:bCs w:val="1"/>
          <w:i w:val="1"/>
          <w:iCs w:val="1"/>
          <w:color w:val="auto"/>
        </w:rPr>
        <w:t>MORGAN STANLEY</w:t>
      </w:r>
      <w:r>
        <w:rPr>
          <w:sz w:val="20"/>
          <w:szCs w:val="20"/>
          <w:color w:val="auto"/>
        </w:rPr>
        <w:tab/>
      </w:r>
      <w:r>
        <w:rPr>
          <w:rFonts w:ascii="Georgia" w:cs="Georgia" w:eastAsia="Georgia" w:hAnsi="Georgia"/>
          <w:sz w:val="15"/>
          <w:szCs w:val="15"/>
          <w:b w:val="1"/>
          <w:bCs w:val="1"/>
          <w:i w:val="1"/>
          <w:iCs w:val="1"/>
          <w:color w:val="auto"/>
        </w:rPr>
        <w:t>JEFFERIES</w:t>
      </w:r>
      <w:r>
        <w:rPr>
          <w:sz w:val="20"/>
          <w:szCs w:val="20"/>
          <w:color w:val="auto"/>
        </w:rPr>
        <w:tab/>
      </w:r>
      <w:r>
        <w:rPr>
          <w:rFonts w:ascii="Georgia" w:cs="Georgia" w:eastAsia="Georgia" w:hAnsi="Georgia"/>
          <w:sz w:val="15"/>
          <w:szCs w:val="15"/>
          <w:b w:val="1"/>
          <w:bCs w:val="1"/>
          <w:i w:val="1"/>
          <w:iCs w:val="1"/>
          <w:color w:val="auto"/>
        </w:rPr>
        <w:t>CITIGROUP</w:t>
      </w:r>
      <w:r>
        <w:rPr>
          <w:sz w:val="20"/>
          <w:szCs w:val="20"/>
          <w:color w:val="auto"/>
        </w:rPr>
        <w:tab/>
      </w:r>
      <w:r>
        <w:rPr>
          <w:rFonts w:ascii="Georgia" w:cs="Georgia" w:eastAsia="Georgia" w:hAnsi="Georgia"/>
          <w:sz w:val="14"/>
          <w:szCs w:val="14"/>
          <w:b w:val="1"/>
          <w:bCs w:val="1"/>
          <w:i w:val="1"/>
          <w:i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i w:val="1"/>
          <w:iCs w:val="1"/>
          <w:color w:val="auto"/>
        </w:rPr>
        <w:t>Through and including                      , 2024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361315</wp:posOffset>
            </wp:positionV>
            <wp:extent cx="4241800"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11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3175</wp:posOffset>
            </wp:positionV>
            <wp:extent cx="4241800" cy="1397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241800" cy="139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207010</wp:posOffset>
            </wp:positionV>
            <wp:extent cx="5564505" cy="3937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7" w:name="page268"/>
    <w:bookmarkEnd w:id="267"/>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INFORMATION NOT REQUIRED IN PROSPECTUS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Item 13. Other Expenses of Issuance and Distribution.</w:t>
      </w:r>
    </w:p>
    <w:p>
      <w:pPr>
        <w:spacing w:after="0" w:line="12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following table sets forth the costs and expenses, other than the underwriting discounts and commissions, payable by the registrant in connection with the sale of common stock being registered. All amounts are estimates except for the SEC registration fee, the Financial Industry Regulatory Authority, Inc. (“FINRA”) filing fee and the Nasdaq Global Market (“Nasdaq”) listing fee:</w:t>
      </w:r>
    </w:p>
    <w:p>
      <w:pPr>
        <w:spacing w:after="0" w:line="11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w w:val="96"/>
              </w:rPr>
              <w:t>Amount Paid</w:t>
            </w:r>
          </w:p>
        </w:tc>
        <w:tc>
          <w:tcPr>
            <w:tcW w:w="40" w:type="dxa"/>
            <w:vAlign w:val="bottom"/>
          </w:tcPr>
          <w:p>
            <w:pPr>
              <w:spacing w:after="0"/>
              <w:rPr>
                <w:sz w:val="12"/>
                <w:szCs w:val="12"/>
                <w:color w:val="auto"/>
              </w:rPr>
            </w:pPr>
          </w:p>
        </w:tc>
      </w:tr>
      <w:tr>
        <w:trPr>
          <w:trHeight w:val="151"/>
        </w:trPr>
        <w:tc>
          <w:tcPr>
            <w:tcW w:w="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1"/>
              </w:rPr>
              <w:t>Item</w:t>
            </w:r>
          </w:p>
        </w:tc>
        <w:tc>
          <w:tcPr>
            <w:tcW w:w="5580" w:type="dxa"/>
            <w:vAlign w:val="bottom"/>
            <w:gridSpan w:val="2"/>
          </w:tcPr>
          <w:p>
            <w:pPr>
              <w:spacing w:after="0"/>
              <w:rPr>
                <w:sz w:val="13"/>
                <w:szCs w:val="1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3"/>
                <w:szCs w:val="13"/>
                <w:color w:val="auto"/>
              </w:rPr>
            </w:pPr>
          </w:p>
        </w:tc>
        <w:tc>
          <w:tcPr>
            <w:tcW w:w="700" w:type="dxa"/>
            <w:vAlign w:val="bottom"/>
            <w:gridSpan w:val="4"/>
          </w:tcPr>
          <w:p>
            <w:pPr>
              <w:jc w:val="right"/>
              <w:spacing w:after="0" w:line="151" w:lineRule="exact"/>
              <w:rPr>
                <w:sz w:val="20"/>
                <w:szCs w:val="20"/>
                <w:color w:val="auto"/>
              </w:rPr>
            </w:pPr>
            <w:r>
              <w:rPr>
                <w:rFonts w:ascii="Times New Roman" w:cs="Times New Roman" w:eastAsia="Times New Roman" w:hAnsi="Times New Roman"/>
                <w:sz w:val="9"/>
                <w:szCs w:val="9"/>
                <w:b w:val="1"/>
                <w:bCs w:val="1"/>
                <w:color w:val="auto"/>
              </w:rPr>
              <w:t>or To Be Paid</w:t>
            </w:r>
            <w:r>
              <w:rPr>
                <w:rFonts w:ascii="Times New Roman" w:cs="Times New Roman" w:eastAsia="Times New Roman" w:hAnsi="Times New Roman"/>
                <w:sz w:val="17"/>
                <w:szCs w:val="17"/>
                <w:b w:val="1"/>
                <w:bCs w:val="1"/>
                <w:color w:val="auto"/>
                <w:vertAlign w:val="subscript"/>
              </w:rPr>
              <w:t>​</w:t>
            </w:r>
          </w:p>
        </w:tc>
      </w:tr>
      <w:tr>
        <w:trPr>
          <w:trHeight w:val="22"/>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SEC registration fee</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​$14,760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5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FINRA filing fee</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 ​15,500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Nasdaq listing fee</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5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Printing and engraving expenses</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15"/>
                <w:szCs w:val="15"/>
                <w:b w:val="1"/>
                <w:bCs w:val="1"/>
                <w:color w:val="auto"/>
              </w:rPr>
              <w:t>​</w:t>
            </w:r>
          </w:p>
        </w:tc>
      </w:tr>
      <w:tr>
        <w:trPr>
          <w:trHeight w:val="209"/>
        </w:trPr>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Legal fees and expenses</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5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Accounting fees and expenses</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15"/>
                <w:szCs w:val="15"/>
                <w:b w:val="1"/>
                <w:bCs w:val="1"/>
                <w:color w:val="auto"/>
              </w:rPr>
              <w:t>​</w:t>
            </w:r>
          </w:p>
        </w:tc>
      </w:tr>
      <w:tr>
        <w:trPr>
          <w:trHeight w:val="209"/>
        </w:trPr>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Transfer agent fees and expenses</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0"/>
        </w:trPr>
        <w:tc>
          <w:tcPr>
            <w:tcW w:w="5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Miscellaneous expenses</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5"/>
                <w:szCs w:val="25"/>
                <w:b w:val="1"/>
                <w:bCs w:val="1"/>
                <w:color w:val="auto"/>
                <w:vertAlign w:val="subscript"/>
              </w:rPr>
              <w:t>​</w:t>
            </w:r>
          </w:p>
        </w:tc>
      </w:tr>
      <w:tr>
        <w:trPr>
          <w:trHeight w:val="20"/>
        </w:trPr>
        <w:tc>
          <w:tcPr>
            <w:tcW w:w="2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spacing w:after="0" w:line="222"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79"/>
        </w:trPr>
        <w:tc>
          <w:tcPr>
            <w:tcW w:w="240" w:type="dxa"/>
            <w:vAlign w:val="bottom"/>
            <w:tcBorders>
              <w:top w:val="single" w:sz="8" w:color="CCEEFF"/>
              <w:bottom w:val="single" w:sz="8" w:color="auto"/>
            </w:tcBorders>
          </w:tcPr>
          <w:p>
            <w:pPr>
              <w:spacing w:after="0"/>
              <w:rPr>
                <w:sz w:val="6"/>
                <w:szCs w:val="6"/>
                <w:color w:val="auto"/>
              </w:rPr>
            </w:pPr>
          </w:p>
        </w:tc>
        <w:tc>
          <w:tcPr>
            <w:tcW w:w="460" w:type="dxa"/>
            <w:vAlign w:val="bottom"/>
            <w:tcBorders>
              <w:top w:val="single" w:sz="8" w:color="CCEEFF"/>
              <w:bottom w:val="single" w:sz="8" w:color="auto"/>
            </w:tcBorders>
          </w:tcPr>
          <w:p>
            <w:pPr>
              <w:spacing w:after="0"/>
              <w:rPr>
                <w:sz w:val="6"/>
                <w:szCs w:val="6"/>
                <w:color w:val="auto"/>
              </w:rPr>
            </w:pPr>
          </w:p>
        </w:tc>
        <w:tc>
          <w:tcPr>
            <w:tcW w:w="512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-222885</wp:posOffset>
            </wp:positionV>
            <wp:extent cx="4241800"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61" w:lineRule="exact"/>
        <w:rPr>
          <w:sz w:val="20"/>
          <w:szCs w:val="20"/>
          <w:color w:val="auto"/>
        </w:rPr>
      </w:pPr>
    </w:p>
    <w:p>
      <w:pPr>
        <w:ind w:left="1460" w:hanging="296"/>
        <w:spacing w:after="0"/>
        <w:tabs>
          <w:tab w:leader="none" w:pos="1460"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completed by amendment</w:t>
      </w:r>
    </w:p>
    <w:p>
      <w:pPr>
        <w:spacing w:after="0" w:line="1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Item 14. Indemnification of Directors and Officers.</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As permitted by Section 102(b)(7) of the DGCL, we plan to include in our Restated Charter a provision to eliminate the personal liability of our directors and officers for monetary damages for breach of their fiduciary duties as directors, subject to certain exceptions. In addition, our Restated Charter and Restated Bylaws will provide that we are required to indemnify our officers and directors under certain circumstances, including those circumstances in which indemnification would otherwise be discretionary, and we are required to advance expenses to our officers and directors as incurred in connection with proceedings against them for which they may be indemnified, in each case except to the extent that the DGCL prohibits the elimination or limitation of liability of directors or officers for breaches of fiduciary duty.</w:t>
      </w:r>
    </w:p>
    <w:p>
      <w:pPr>
        <w:spacing w:after="0" w:line="25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Section 145(a) of the DGCL provides that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the person acted in good faith and in a manner the person reasonably believed to be in or not opposed to the best interest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his conduct was unlawful.</w:t>
      </w:r>
    </w:p>
    <w:p>
      <w:pPr>
        <w:spacing w:after="0" w:line="222"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Section 145(b) of the DGCL provides that a corporation shall have the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8" w:name="page269"/>
    <w:bookmarkEnd w:id="26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the person acted in good faith and in a manner the person reasonably believed to be in or not opposed to the best interests of the corporation and except that no indemnification shall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03"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have entered into indemnification agreements with our directors and, prior to the completion of this offering, intend to enter into indemnification agreements with certain of our officers. These indemnification agreements will provide broader indemnity rights than those provided under the DGCL and our Restated Charter. These indemnification agreements are not intended to deny or otherwise limit third-party or derivative suits against us or our directors or officers, but to the extent a director or officer were entitled to indemnity or contribution under the indemnification agreement, the financial burden of a third-party suit would be borne by us, and we would not benefit from derivative recoveries against the director or officer. Such recoveries would accrue to our benefit but would be offset by our obligations to the director or officer under the indemnification agreement.</w:t>
      </w:r>
    </w:p>
    <w:p>
      <w:pPr>
        <w:spacing w:after="0" w:line="10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underwriting agreement will provide that the underwriters are obligated, under certain circumstances, to indemnify our directors, officers and controlling persons against certain liabilities, including liabilities under the Securities Act.</w:t>
      </w:r>
    </w:p>
    <w:p>
      <w:pPr>
        <w:spacing w:after="0" w:line="8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 maintain directors’ and officers’ liability insurance for the benefit of our directors and officers.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Item 15. Recent Sales of Unregistered Securities.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following list sets forth information regarding all unregistered securities sold by us since December 1, 2021. No underwriters were involved in the sales and the certificates representing the securities sold and issued contain legends restricting transfer of the securities without registration under the Securities Act or an applicable exemption from registration. The issuances of the above securities were exempt either pursuant to Rule 701, as transactions pursuant to a compensatory benefit plan, or pursuant to Section 4(a)(2), as transactions by an issuer not involving a public offering.</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  Grants of Stock Options and Restricted Stock</w:t>
      </w:r>
    </w:p>
    <w:p>
      <w:pPr>
        <w:spacing w:after="0" w:line="12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 2021, we granted stock options to purchase an aggregate of 5,386,003 shares of our common stock at a weighted-average exercise price of $0.40 to employees, directors and consultants. In 2021, we granted 459,601 shares of our restricted common stock with a grant date fair value of $0.40 per share.</w:t>
      </w:r>
    </w:p>
    <w:p>
      <w:pPr>
        <w:spacing w:after="0" w:line="83"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 2022, we granted stock options to purchase an aggregate of 12,740,792 shares of our common stock at a weighted-average exercise price of $1.04 to employees, directors and consultants.</w:t>
      </w:r>
    </w:p>
    <w:p>
      <w:pPr>
        <w:spacing w:after="0" w:line="8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 2023, we granted stock options to purchase an aggregate of 9,155,000 shares of our common stock at a weighted-average exercise price of $1.18 to employees, directors and consultants.</w:t>
      </w:r>
    </w:p>
    <w:p>
      <w:pPr>
        <w:spacing w:after="0" w:line="8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Since January 1, 2024, we have granted stock options to purchase an aggregate of 16,975,000 shares of our common stock at a weighted-average price of $1.16 to employees, directors and consultants.</w:t>
      </w:r>
    </w:p>
    <w:p>
      <w:pPr>
        <w:spacing w:after="0" w:line="7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2024, 225,414 shares of our common stock have been issued upon the exercise of stock options at a weighted-average exercise price of $0.87. In 2023, 239,500 shares of our common stock were issued upon the exercise of stock options at a weighted-average exercise price of $0.48. No stock options were exercised in prior years.</w:t>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9" w:name="page270"/>
    <w:bookmarkEnd w:id="26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(b)  Issuances of Convertible Preferred Stock</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November 2021, pursuant to the amendment to the 2021 Xencor Agreement, we issued to Xencor a warrant exercisable for shares of our convertible preferred stock at an exercise price of $0.0001 per share, in lieu of the equity issued in the 2021 Xencor Agreement. This warrant was exercised for 14,441,793 shares of our Series B convertible preferred stock in November 2022.</w:t>
      </w:r>
    </w:p>
    <w:p>
      <w:pPr>
        <w:spacing w:after="0" w:line="10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 November 2022, we issued and sold an aggregate of 77,052,632 shares of our Series B convertible preferred stock at a purchase price of $2.38666 per share.</w:t>
      </w:r>
    </w:p>
    <w:p>
      <w:pPr>
        <w:spacing w:after="0" w:line="7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 June 2023, the Company issued 4,189,955 shares of Series B convertible preferred stock to Xencor as payment for the development milestone at a purchase price of $2.38666 per share.</w:t>
      </w:r>
    </w:p>
    <w:p>
      <w:pPr>
        <w:spacing w:after="0" w:line="8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May 2024, the Company issued 116,275,239 shares of Series C convertible preferred stock at a purchase price of $1.72131 per share, including the conversion of a $20.0 million convertible promissory note issued and sold to Bristol-Myers Squibb Company into 12,284,686 shares of Series C convertible preferred stock.</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  Issuances of Convertible Notes</w:t>
      </w:r>
    </w:p>
    <w:p>
      <w:pPr>
        <w:spacing w:after="0" w:line="128"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In November 2021, the Company issued and sold an aggregate of $58.0 million of convertible promissory notes to several investors. In November 2022, concurrently with the issuance and sale of Series B convertible preferred stock, such notes were automatically converted into an aggregate of 37,471,107 shares of Series B convertible preferred stock. Prior to the conversion, such notes bore interest at a rate of 8.0% per annum, with a maturity date of May 19, 2023.</w:t>
      </w:r>
    </w:p>
    <w:p>
      <w:pPr>
        <w:spacing w:after="0" w:line="90"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In August 2023, the Company issued and sold a $20.0 million convertible promissory note to Bristol-Myers Squibb Company. In May 2024, concurrently with the issuance and sale of Series C convertible preferred stock, such note was automatically converted into an aggregate of 12,284,686 shares of Series C convertible preferred stock. Prior to the conversion, such notes bore interest at a rate of 8.5% per annum, with a maturity date of August 30, 2026.</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Item 16. Exhibits and Financial Statement Schedules.</w:t>
      </w:r>
    </w:p>
    <w:p>
      <w:pPr>
        <w:spacing w:after="0" w:line="126" w:lineRule="exact"/>
        <w:rPr>
          <w:sz w:val="20"/>
          <w:szCs w:val="20"/>
          <w:color w:val="auto"/>
        </w:rPr>
      </w:pPr>
    </w:p>
    <w:p>
      <w:pPr>
        <w:ind w:left="1460"/>
        <w:spacing w:after="0"/>
        <w:tabs>
          <w:tab w:leader="none" w:pos="1740" w:val="left"/>
        </w:tabs>
        <w:rPr>
          <w:sz w:val="20"/>
          <w:szCs w:val="20"/>
          <w:color w:val="auto"/>
        </w:rPr>
      </w:pPr>
      <w:r>
        <w:rPr>
          <w:rFonts w:ascii="Times New Roman" w:cs="Times New Roman" w:eastAsia="Times New Roman" w:hAnsi="Times New Roman"/>
          <w:sz w:val="15"/>
          <w:szCs w:val="15"/>
          <w:color w:val="auto"/>
        </w:rPr>
        <w:t>(a)</w:t>
      </w:r>
      <w:r>
        <w:rPr>
          <w:sz w:val="20"/>
          <w:szCs w:val="20"/>
          <w:color w:val="auto"/>
        </w:rPr>
        <w:tab/>
      </w:r>
      <w:r>
        <w:rPr>
          <w:rFonts w:ascii="Times New Roman" w:cs="Times New Roman" w:eastAsia="Times New Roman" w:hAnsi="Times New Roman"/>
          <w:sz w:val="14"/>
          <w:szCs w:val="14"/>
          <w:color w:val="auto"/>
        </w:rPr>
        <w:t>Exhibits</w:t>
      </w:r>
    </w:p>
    <w:p>
      <w:pPr>
        <w:spacing w:after="0" w:line="12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See the Exhibit Index attached to this Registration Statement, which is incorporated by reference herein.</w:t>
      </w:r>
    </w:p>
    <w:p>
      <w:pPr>
        <w:spacing w:after="0" w:line="279" w:lineRule="exact"/>
        <w:rPr>
          <w:sz w:val="20"/>
          <w:szCs w:val="20"/>
          <w:color w:val="auto"/>
        </w:rPr>
      </w:pPr>
    </w:p>
    <w:p>
      <w:pPr>
        <w:ind w:left="1460"/>
        <w:spacing w:after="0"/>
        <w:tabs>
          <w:tab w:leader="none" w:pos="1740" w:val="left"/>
        </w:tabs>
        <w:rPr>
          <w:sz w:val="20"/>
          <w:szCs w:val="20"/>
          <w:color w:val="auto"/>
        </w:rPr>
      </w:pPr>
      <w:r>
        <w:rPr>
          <w:rFonts w:ascii="Times New Roman" w:cs="Times New Roman" w:eastAsia="Times New Roman" w:hAnsi="Times New Roman"/>
          <w:sz w:val="15"/>
          <w:szCs w:val="15"/>
          <w:color w:val="auto"/>
        </w:rPr>
        <w:t>(b)</w:t>
        <w:tab/>
        <w:t>Financial Statement Schedules</w:t>
      </w:r>
    </w:p>
    <w:p>
      <w:pPr>
        <w:spacing w:after="0" w:line="124"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Schedules not listed above have been omitted because the information required to be set forth therein is not applicable or is shown in the financial statements or notes thereto.</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Item 17. Undertakings.</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undersigned Registrant hereby undertakes that:</w:t>
      </w:r>
    </w:p>
    <w:p>
      <w:pPr>
        <w:spacing w:after="0" w:line="124" w:lineRule="exact"/>
        <w:rPr>
          <w:sz w:val="20"/>
          <w:szCs w:val="20"/>
          <w:color w:val="auto"/>
        </w:rPr>
      </w:pPr>
    </w:p>
    <w:p>
      <w:pPr>
        <w:jc w:val="both"/>
        <w:ind w:left="1460" w:right="1179" w:firstLine="290"/>
        <w:spacing w:after="0" w:line="269" w:lineRule="auto"/>
        <w:tabs>
          <w:tab w:leader="none" w:pos="2093"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determining any liability under the Securities Act, the information omitted from the form of prospectus filed as part of this Registration Statement in reliance upon Rule 430A and</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70" w:name="page271"/>
    <w:bookmarkEnd w:id="27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60" w:right="1179"/>
        <w:spacing w:after="0" w:line="257" w:lineRule="auto"/>
        <w:rPr>
          <w:sz w:val="20"/>
          <w:szCs w:val="20"/>
          <w:color w:val="auto"/>
        </w:rPr>
      </w:pPr>
      <w:r>
        <w:rPr>
          <w:rFonts w:ascii="Times New Roman" w:cs="Times New Roman" w:eastAsia="Times New Roman" w:hAnsi="Times New Roman"/>
          <w:sz w:val="15"/>
          <w:szCs w:val="15"/>
          <w:color w:val="auto"/>
        </w:rPr>
        <w:t>contained in a form of prospectus filed by the Registrant pursuant to Rule 424(b)(1) or (4) or 497(h) under the Securities Act shall be deemed to be part of this Registration Statement as of the time it was declared effective.</w:t>
      </w:r>
    </w:p>
    <w:p>
      <w:pPr>
        <w:spacing w:after="0" w:line="94" w:lineRule="exact"/>
        <w:rPr>
          <w:sz w:val="20"/>
          <w:szCs w:val="20"/>
          <w:color w:val="auto"/>
        </w:rPr>
      </w:pPr>
    </w:p>
    <w:p>
      <w:pPr>
        <w:jc w:val="both"/>
        <w:ind w:left="1460" w:right="1179" w:firstLine="290"/>
        <w:spacing w:after="0" w:line="252" w:lineRule="auto"/>
        <w:tabs>
          <w:tab w:leader="none" w:pos="2119"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71" w:name="page272"/>
    <w:bookmarkEnd w:id="271"/>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 INDEX</w:t>
      </w:r>
    </w:p>
    <w:p>
      <w:pPr>
        <w:sectPr>
          <w:pgSz w:w="11900" w:h="16838" w:orient="portrait"/>
          <w:cols w:equalWidth="0" w:num="1">
            <w:col w:w="9019"/>
          </w:cols>
          <w:pgMar w:left="1440" w:top="98" w:right="1440" w:bottom="1440" w:gutter="0" w:footer="0" w:header="0"/>
        </w:sectPr>
      </w:pPr>
    </w:p>
    <w:p>
      <w:pPr>
        <w:spacing w:after="0" w:line="18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2"/>
          <w:szCs w:val="12"/>
          <w:b w:val="1"/>
          <w:bCs w:val="1"/>
          <w:color w:val="auto"/>
        </w:rPr>
        <w:t>Exhibit</w:t>
      </w:r>
    </w:p>
    <w:p>
      <w:pPr>
        <w:ind w:left="1160"/>
        <w:spacing w:after="0" w:line="184" w:lineRule="auto"/>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0</wp:posOffset>
            </wp:positionV>
            <wp:extent cx="320675" cy="69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20675" cy="6985"/>
                    </a:xfrm>
                    <a:prstGeom prst="rect">
                      <a:avLst/>
                    </a:prstGeom>
                    <a:noFill/>
                  </pic:spPr>
                </pic:pic>
              </a:graphicData>
            </a:graphic>
          </wp:anchor>
        </w:drawing>
      </w:r>
    </w:p>
    <w:p>
      <w:pPr>
        <w:ind w:left="1160"/>
        <w:spacing w:after="0" w:line="180"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1.1*</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4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 ​</w:t>
            </w:r>
          </w:p>
        </w:tc>
        <w:tc>
          <w:tcPr>
            <w:tcW w:w="370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1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 ​</w:t>
            </w:r>
          </w:p>
        </w:tc>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Form of Underwriting Agreement.</w:t>
            </w:r>
          </w:p>
        </w:tc>
        <w:tc>
          <w:tcPr>
            <w:tcW w:w="3700" w:type="dxa"/>
            <w:vAlign w:val="bottom"/>
            <w:tcBorders>
              <w:top w:val="single" w:sz="8" w:color="auto"/>
            </w:tcBorders>
          </w:tcPr>
          <w:p>
            <w:pPr>
              <w:spacing w:after="0"/>
              <w:rPr>
                <w:sz w:val="17"/>
                <w:szCs w:val="17"/>
                <w:color w:val="auto"/>
              </w:rPr>
            </w:pPr>
          </w:p>
        </w:tc>
        <w:tc>
          <w:tcPr>
            <w:tcW w:w="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w:t>
            </w:r>
          </w:p>
        </w:tc>
      </w:tr>
    </w:tbl>
    <w:p>
      <w:pPr>
        <w:jc w:val="both"/>
        <w:ind w:left="180" w:right="1139" w:hanging="175"/>
        <w:spacing w:after="0" w:line="264" w:lineRule="auto"/>
        <w:rPr>
          <w:sz w:val="20"/>
          <w:szCs w:val="20"/>
          <w:color w:val="auto"/>
        </w:rPr>
      </w:pPr>
      <w:r>
        <w:rPr>
          <w:rFonts w:ascii="Times New Roman" w:cs="Times New Roman" w:eastAsia="Times New Roman" w:hAnsi="Times New Roman"/>
          <w:sz w:val="15"/>
          <w:szCs w:val="15"/>
          <w:color w:val="auto"/>
        </w:rPr>
        <w:t>​ ​ Form of Restated Certificate of Incorporation of the Registrant (to be effective prior to the​ consummation of this offering).</w:t>
      </w:r>
    </w:p>
    <w:p>
      <w:pPr>
        <w:spacing w:after="0" w:line="1" w:lineRule="exact"/>
        <w:rPr>
          <w:sz w:val="20"/>
          <w:szCs w:val="20"/>
          <w:color w:val="auto"/>
        </w:rPr>
      </w:pPr>
    </w:p>
    <w:p>
      <w:pPr>
        <w:sectPr>
          <w:pgSz w:w="11900" w:h="16838" w:orient="portrait"/>
          <w:cols w:equalWidth="0" w:num="2">
            <w:col w:w="1620" w:space="40"/>
            <w:col w:w="7359"/>
          </w:cols>
          <w:pgMar w:left="1440" w:top="98" w:right="1440"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5"/>
          <w:szCs w:val="15"/>
          <w:color w:val="auto"/>
        </w:rPr>
        <w:t>​3.2*</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4.1*</w:t>
      </w:r>
    </w:p>
    <w:p>
      <w:pPr>
        <w:ind w:left="1160"/>
        <w:spacing w:after="0"/>
        <w:rPr>
          <w:sz w:val="20"/>
          <w:szCs w:val="20"/>
          <w:color w:val="auto"/>
        </w:rPr>
      </w:pPr>
      <w:r>
        <w:rPr>
          <w:rFonts w:ascii="Times New Roman" w:cs="Times New Roman" w:eastAsia="Times New Roman" w:hAnsi="Times New Roman"/>
          <w:sz w:val="15"/>
          <w:szCs w:val="15"/>
          <w:color w:val="auto"/>
        </w:rPr>
        <w:t>4.2*​</w:t>
      </w:r>
    </w:p>
    <w:p>
      <w:pPr>
        <w:spacing w:after="0" w:line="9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5.1*</w:t>
      </w:r>
    </w:p>
    <w:p>
      <w:pPr>
        <w:ind w:left="1160"/>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br w:type="column"/>
      </w:r>
    </w:p>
    <w:p>
      <w:pPr>
        <w:ind w:left="180" w:right="1139" w:hanging="175"/>
        <w:spacing w:after="0" w:line="270" w:lineRule="auto"/>
        <w:rPr>
          <w:sz w:val="20"/>
          <w:szCs w:val="20"/>
          <w:color w:val="auto"/>
        </w:rPr>
      </w:pPr>
      <w:r>
        <w:rPr>
          <w:rFonts w:ascii="Times New Roman" w:cs="Times New Roman" w:eastAsia="Times New Roman" w:hAnsi="Times New Roman"/>
          <w:sz w:val="15"/>
          <w:szCs w:val="15"/>
          <w:color w:val="auto"/>
        </w:rPr>
        <w:t>​ ​ Form of Amended and Restated Bylaws of the Registrant (to be effective prior to the​ consummation of this offering).</w:t>
      </w:r>
    </w:p>
    <w:p>
      <w:pPr>
        <w:ind w:right="1139"/>
        <w:spacing w:after="0" w:line="203" w:lineRule="auto"/>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Specimen stock certificate evidencing shares of common stock.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 ​ Fourth Amended and Restated Shareholders Agreement, among the Registrant and certain of its​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stockholders, dated May 3, 2024.</w:t>
      </w:r>
    </w:p>
    <w:p>
      <w:pPr>
        <w:spacing w:after="0" w:line="181" w:lineRule="auto"/>
        <w:tabs>
          <w:tab w:leader="none" w:pos="6160" w:val="left"/>
        </w:tabs>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Opinion of Ropes &amp; Gray LLP.</w:t>
      </w:r>
      <w:r>
        <w:rPr>
          <w:sz w:val="20"/>
          <w:szCs w:val="20"/>
          <w:color w:val="auto"/>
        </w:rPr>
        <w:tab/>
      </w:r>
      <w:r>
        <w:rPr>
          <w:rFonts w:ascii="Times New Roman" w:cs="Times New Roman" w:eastAsia="Times New Roman" w:hAnsi="Times New Roman"/>
          <w:sz w:val="27"/>
          <w:szCs w:val="27"/>
          <w:color w:val="auto"/>
          <w:vertAlign w:val="superscript"/>
        </w:rPr>
        <w:t>​</w:t>
      </w:r>
    </w:p>
    <w:p>
      <w:pPr>
        <w:spacing w:after="0" w:line="1" w:lineRule="exact"/>
        <w:rPr>
          <w:sz w:val="20"/>
          <w:szCs w:val="20"/>
          <w:color w:val="auto"/>
        </w:rPr>
      </w:pPr>
    </w:p>
    <w:p>
      <w:pPr>
        <w:ind w:left="180" w:right="1139" w:hanging="175"/>
        <w:spacing w:after="0" w:line="264" w:lineRule="auto"/>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u w:val="single" w:color="auto"/>
          <w:color w:val="0000EE"/>
        </w:rPr>
        <w:t>License Agreement by and between Zenas BioPharma (Cayman) Limited and Xencor, Inc., dated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September 23, 2020.</w:t>
      </w:r>
    </w:p>
    <w:p>
      <w:pPr>
        <w:spacing w:after="0" w:line="1" w:lineRule="exact"/>
        <w:rPr>
          <w:sz w:val="20"/>
          <w:szCs w:val="20"/>
          <w:color w:val="auto"/>
        </w:rPr>
      </w:pPr>
    </w:p>
    <w:p>
      <w:pPr>
        <w:sectPr>
          <w:pgSz w:w="11900" w:h="16838" w:orient="portrait"/>
          <w:cols w:equalWidth="0" w:num="2">
            <w:col w:w="1520" w:space="140"/>
            <w:col w:w="7359"/>
          </w:cols>
          <w:pgMar w:left="1440" w:top="98" w:right="1440" w:bottom="1440" w:gutter="0" w:footer="0" w:header="0"/>
          <w:type w:val="continuous"/>
        </w:sectPr>
      </w:pPr>
    </w:p>
    <w:tbl>
      <w:tblPr>
        <w:tblLayout w:type="fixed"/>
        <w:tblInd w:w="1160" w:type="dxa"/>
        <w:tblCellMar>
          <w:top w:w="0" w:type="dxa"/>
          <w:left w:w="0" w:type="dxa"/>
          <w:bottom w:w="0" w:type="dxa"/>
          <w:right w:w="0" w:type="dxa"/>
        </w:tblCellMar>
      </w:tblPr>
      <w:tr>
        <w:trPr>
          <w:trHeight w:val="147"/>
        </w:trPr>
        <w:tc>
          <w:tcPr>
            <w:tcW w:w="44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60"/>
              <w:spacing w:after="0" w:line="146" w:lineRule="exact"/>
              <w:rPr>
                <w:sz w:val="20"/>
                <w:szCs w:val="20"/>
                <w:color w:val="auto"/>
              </w:rPr>
            </w:pPr>
            <w:r>
              <w:rPr>
                <w:rFonts w:ascii="Times New Roman" w:cs="Times New Roman" w:eastAsia="Times New Roman" w:hAnsi="Times New Roman"/>
                <w:sz w:val="15"/>
                <w:szCs w:val="15"/>
                <w:color w:val="auto"/>
              </w:rPr>
              <w:t>​ ​</w:t>
            </w:r>
          </w:p>
        </w:tc>
        <w:tc>
          <w:tcPr>
            <w:tcW w:w="600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color w:val="0000EE"/>
              </w:rPr>
              <w:t>First Amendment to License Agreement by and between Zenas BioPharma, Inc. and Xencor,</w:t>
            </w:r>
          </w:p>
        </w:tc>
        <w:tc>
          <w:tcPr>
            <w:tcW w:w="4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8"/>
        </w:trPr>
        <w:tc>
          <w:tcPr>
            <w:tcW w:w="440" w:type="dxa"/>
            <w:vAlign w:val="bottom"/>
          </w:tcPr>
          <w:p>
            <w:pPr>
              <w:spacing w:after="0" w:line="33" w:lineRule="exact"/>
              <w:rPr>
                <w:sz w:val="20"/>
                <w:szCs w:val="20"/>
                <w:color w:val="auto"/>
              </w:rPr>
            </w:pPr>
            <w:r>
              <w:rPr>
                <w:rFonts w:ascii="Times New Roman" w:cs="Times New Roman" w:eastAsia="Times New Roman" w:hAnsi="Times New Roman"/>
                <w:sz w:val="3"/>
                <w:szCs w:val="3"/>
                <w:color w:val="auto"/>
              </w:rPr>
              <w:t>10.2</w:t>
            </w:r>
          </w:p>
        </w:tc>
        <w:tc>
          <w:tcPr>
            <w:tcW w:w="240" w:type="dxa"/>
            <w:vAlign w:val="bottom"/>
          </w:tcPr>
          <w:p>
            <w:pPr>
              <w:spacing w:after="0"/>
              <w:rPr>
                <w:sz w:val="2"/>
                <w:szCs w:val="2"/>
                <w:color w:val="auto"/>
              </w:rPr>
            </w:pPr>
          </w:p>
        </w:tc>
        <w:tc>
          <w:tcPr>
            <w:tcW w:w="6000" w:type="dxa"/>
            <w:vAlign w:val="bottom"/>
            <w:tcBorders>
              <w:bottom w:val="single" w:sz="8" w:color="0000EE"/>
            </w:tcBorders>
            <w:gridSpan w:val="5"/>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0" w:type="dxa"/>
            <w:vAlign w:val="bottom"/>
            <w:gridSpan w:val="5"/>
          </w:tcPr>
          <w:p>
            <w:pPr>
              <w:spacing w:after="0" w:line="156" w:lineRule="exact"/>
              <w:rPr>
                <w:sz w:val="20"/>
                <w:szCs w:val="20"/>
                <w:color w:val="auto"/>
              </w:rPr>
            </w:pPr>
            <w:r>
              <w:rPr>
                <w:rFonts w:ascii="Times New Roman" w:cs="Times New Roman" w:eastAsia="Times New Roman" w:hAnsi="Times New Roman"/>
                <w:sz w:val="15"/>
                <w:szCs w:val="15"/>
                <w:color w:val="0000EE"/>
              </w:rPr>
              <w:t>Inc., dated June 24, 2024.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67"/>
        </w:trPr>
        <w:tc>
          <w:tcPr>
            <w:tcW w:w="4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00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color w:val="0000EE"/>
              </w:rPr>
              <w:t>License Agreement by and between Zenas BioPharma (Cayman) Limited and Xencor, Inc., dated</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440" w:type="dxa"/>
            <w:vAlign w:val="bottom"/>
          </w:tcPr>
          <w:p>
            <w:pPr>
              <w:spacing w:after="0" w:line="33" w:lineRule="exact"/>
              <w:rPr>
                <w:sz w:val="20"/>
                <w:szCs w:val="20"/>
                <w:color w:val="auto"/>
              </w:rPr>
            </w:pPr>
            <w:r>
              <w:rPr>
                <w:rFonts w:ascii="Times New Roman" w:cs="Times New Roman" w:eastAsia="Times New Roman" w:hAnsi="Times New Roman"/>
                <w:sz w:val="3"/>
                <w:szCs w:val="3"/>
                <w:color w:val="auto"/>
              </w:rPr>
              <w:t>10.3+</w:t>
            </w:r>
          </w:p>
        </w:tc>
        <w:tc>
          <w:tcPr>
            <w:tcW w:w="240" w:type="dxa"/>
            <w:vAlign w:val="bottom"/>
          </w:tcPr>
          <w:p>
            <w:pPr>
              <w:spacing w:after="0"/>
              <w:rPr>
                <w:sz w:val="2"/>
                <w:szCs w:val="2"/>
                <w:color w:val="auto"/>
              </w:rPr>
            </w:pPr>
          </w:p>
        </w:tc>
        <w:tc>
          <w:tcPr>
            <w:tcW w:w="6000" w:type="dxa"/>
            <w:vAlign w:val="bottom"/>
            <w:tcBorders>
              <w:bottom w:val="single" w:sz="8" w:color="0000EE"/>
            </w:tcBorders>
            <w:gridSpan w:val="5"/>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Borders>
              <w:bottom w:val="single" w:sz="8" w:color="0000EE"/>
            </w:tcBorders>
          </w:tcPr>
          <w:p>
            <w:pPr>
              <w:spacing w:after="0" w:line="156" w:lineRule="exact"/>
              <w:rPr>
                <w:sz w:val="20"/>
                <w:szCs w:val="20"/>
                <w:color w:val="auto"/>
              </w:rPr>
            </w:pPr>
            <w:r>
              <w:rPr>
                <w:rFonts w:ascii="Times New Roman" w:cs="Times New Roman" w:eastAsia="Times New Roman" w:hAnsi="Times New Roman"/>
                <w:sz w:val="15"/>
                <w:szCs w:val="15"/>
                <w:color w:val="0000EE"/>
              </w:rPr>
              <w:t>May 27, 2021.</w:t>
            </w:r>
          </w:p>
        </w:tc>
        <w:tc>
          <w:tcPr>
            <w:tcW w:w="510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4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60"/>
              <w:spacing w:after="0" w:line="167" w:lineRule="exact"/>
              <w:rPr>
                <w:sz w:val="20"/>
                <w:szCs w:val="20"/>
                <w:color w:val="auto"/>
              </w:rPr>
            </w:pPr>
            <w:r>
              <w:rPr>
                <w:rFonts w:ascii="Times New Roman" w:cs="Times New Roman" w:eastAsia="Times New Roman" w:hAnsi="Times New Roman"/>
                <w:sz w:val="15"/>
                <w:szCs w:val="15"/>
                <w:color w:val="auto"/>
              </w:rPr>
              <w:t>​ ​</w:t>
            </w:r>
          </w:p>
        </w:tc>
        <w:tc>
          <w:tcPr>
            <w:tcW w:w="600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color w:val="0000EE"/>
              </w:rPr>
              <w:t>First Amendment to License Agreement by and between Zenas BioPharma (Cayman) Limited</w:t>
            </w:r>
          </w:p>
        </w:tc>
        <w:tc>
          <w:tcPr>
            <w:tcW w:w="4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8"/>
        </w:trPr>
        <w:tc>
          <w:tcPr>
            <w:tcW w:w="440" w:type="dxa"/>
            <w:vAlign w:val="bottom"/>
          </w:tcPr>
          <w:p>
            <w:pPr>
              <w:spacing w:after="0" w:line="33" w:lineRule="exact"/>
              <w:rPr>
                <w:sz w:val="20"/>
                <w:szCs w:val="20"/>
                <w:color w:val="auto"/>
              </w:rPr>
            </w:pPr>
            <w:r>
              <w:rPr>
                <w:rFonts w:ascii="Times New Roman" w:cs="Times New Roman" w:eastAsia="Times New Roman" w:hAnsi="Times New Roman"/>
                <w:sz w:val="3"/>
                <w:szCs w:val="3"/>
                <w:color w:val="auto"/>
              </w:rPr>
              <w:t>10.4+</w:t>
            </w:r>
          </w:p>
        </w:tc>
        <w:tc>
          <w:tcPr>
            <w:tcW w:w="240" w:type="dxa"/>
            <w:vAlign w:val="bottom"/>
          </w:tcPr>
          <w:p>
            <w:pPr>
              <w:spacing w:after="0"/>
              <w:rPr>
                <w:sz w:val="2"/>
                <w:szCs w:val="2"/>
                <w:color w:val="auto"/>
              </w:rPr>
            </w:pPr>
          </w:p>
        </w:tc>
        <w:tc>
          <w:tcPr>
            <w:tcW w:w="6000" w:type="dxa"/>
            <w:vAlign w:val="bottom"/>
            <w:tcBorders>
              <w:bottom w:val="single" w:sz="8" w:color="0000EE"/>
            </w:tcBorders>
            <w:gridSpan w:val="5"/>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0" w:type="dxa"/>
            <w:vAlign w:val="bottom"/>
            <w:gridSpan w:val="5"/>
          </w:tcPr>
          <w:p>
            <w:pPr>
              <w:spacing w:after="0" w:line="156" w:lineRule="exact"/>
              <w:rPr>
                <w:sz w:val="20"/>
                <w:szCs w:val="20"/>
                <w:color w:val="auto"/>
              </w:rPr>
            </w:pPr>
            <w:r>
              <w:rPr>
                <w:rFonts w:ascii="Times New Roman" w:cs="Times New Roman" w:eastAsia="Times New Roman" w:hAnsi="Times New Roman"/>
                <w:sz w:val="15"/>
                <w:szCs w:val="15"/>
                <w:color w:val="0000EE"/>
              </w:rPr>
              <w:t>and Xencor, Inc., dated May 27, 2021.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67"/>
        </w:trPr>
        <w:tc>
          <w:tcPr>
            <w:tcW w:w="4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00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color w:val="0000EE"/>
              </w:rPr>
              <w:t>Second Amendment to License Agreement by and between Zenas BioPharma, Inc. and Xencor,</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440" w:type="dxa"/>
            <w:vAlign w:val="bottom"/>
          </w:tcPr>
          <w:p>
            <w:pPr>
              <w:spacing w:after="0" w:line="33" w:lineRule="exact"/>
              <w:rPr>
                <w:sz w:val="20"/>
                <w:szCs w:val="20"/>
                <w:color w:val="auto"/>
              </w:rPr>
            </w:pPr>
            <w:r>
              <w:rPr>
                <w:rFonts w:ascii="Times New Roman" w:cs="Times New Roman" w:eastAsia="Times New Roman" w:hAnsi="Times New Roman"/>
                <w:sz w:val="3"/>
                <w:szCs w:val="3"/>
                <w:color w:val="auto"/>
              </w:rPr>
              <w:t>10.5+</w:t>
            </w:r>
          </w:p>
        </w:tc>
        <w:tc>
          <w:tcPr>
            <w:tcW w:w="240" w:type="dxa"/>
            <w:vAlign w:val="bottom"/>
          </w:tcPr>
          <w:p>
            <w:pPr>
              <w:spacing w:after="0"/>
              <w:rPr>
                <w:sz w:val="2"/>
                <w:szCs w:val="2"/>
                <w:color w:val="auto"/>
              </w:rPr>
            </w:pPr>
          </w:p>
        </w:tc>
        <w:tc>
          <w:tcPr>
            <w:tcW w:w="6000" w:type="dxa"/>
            <w:vAlign w:val="bottom"/>
            <w:tcBorders>
              <w:bottom w:val="single" w:sz="8" w:color="0000EE"/>
            </w:tcBorders>
            <w:gridSpan w:val="5"/>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0" w:type="dxa"/>
            <w:vAlign w:val="bottom"/>
            <w:gridSpan w:val="5"/>
          </w:tcPr>
          <w:p>
            <w:pPr>
              <w:spacing w:after="0" w:line="156" w:lineRule="exact"/>
              <w:rPr>
                <w:sz w:val="20"/>
                <w:szCs w:val="20"/>
                <w:color w:val="auto"/>
              </w:rPr>
            </w:pPr>
            <w:r>
              <w:rPr>
                <w:rFonts w:ascii="Times New Roman" w:cs="Times New Roman" w:eastAsia="Times New Roman" w:hAnsi="Times New Roman"/>
                <w:sz w:val="15"/>
                <w:szCs w:val="15"/>
                <w:color w:val="0000EE"/>
              </w:rPr>
              <w:t>Inc., dated May 27, 2021.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67"/>
        </w:trPr>
        <w:tc>
          <w:tcPr>
            <w:tcW w:w="4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00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color w:val="0000EE"/>
              </w:rPr>
              <w:t>License Agreement by and between the Registrant and Bristol-Myers Squibb Company, dated as</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440" w:type="dxa"/>
            <w:vAlign w:val="bottom"/>
          </w:tcPr>
          <w:p>
            <w:pPr>
              <w:spacing w:after="0" w:line="33" w:lineRule="exact"/>
              <w:rPr>
                <w:sz w:val="20"/>
                <w:szCs w:val="20"/>
                <w:color w:val="auto"/>
              </w:rPr>
            </w:pPr>
            <w:r>
              <w:rPr>
                <w:rFonts w:ascii="Times New Roman" w:cs="Times New Roman" w:eastAsia="Times New Roman" w:hAnsi="Times New Roman"/>
                <w:sz w:val="3"/>
                <w:szCs w:val="3"/>
                <w:color w:val="auto"/>
              </w:rPr>
              <w:t>10.6+</w:t>
            </w:r>
          </w:p>
        </w:tc>
        <w:tc>
          <w:tcPr>
            <w:tcW w:w="240" w:type="dxa"/>
            <w:vAlign w:val="bottom"/>
          </w:tcPr>
          <w:p>
            <w:pPr>
              <w:spacing w:after="0"/>
              <w:rPr>
                <w:sz w:val="2"/>
                <w:szCs w:val="2"/>
                <w:color w:val="auto"/>
              </w:rPr>
            </w:pPr>
          </w:p>
        </w:tc>
        <w:tc>
          <w:tcPr>
            <w:tcW w:w="6000" w:type="dxa"/>
            <w:vAlign w:val="bottom"/>
            <w:tcBorders>
              <w:bottom w:val="single" w:sz="8" w:color="0000EE"/>
            </w:tcBorders>
            <w:gridSpan w:val="5"/>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0" w:type="dxa"/>
            <w:vAlign w:val="bottom"/>
            <w:gridSpan w:val="5"/>
          </w:tcPr>
          <w:p>
            <w:pPr>
              <w:spacing w:after="0" w:line="156" w:lineRule="exact"/>
              <w:rPr>
                <w:sz w:val="20"/>
                <w:szCs w:val="20"/>
                <w:color w:val="auto"/>
              </w:rPr>
            </w:pPr>
            <w:r>
              <w:rPr>
                <w:rFonts w:ascii="Times New Roman" w:cs="Times New Roman" w:eastAsia="Times New Roman" w:hAnsi="Times New Roman"/>
                <w:sz w:val="15"/>
                <w:szCs w:val="15"/>
                <w:color w:val="0000EE"/>
              </w:rPr>
              <w:t>of August 30, 2023.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98" w:right="1440" w:bottom="1440" w:gutter="0" w:footer="0" w:header="0"/>
          <w:type w:val="continuous"/>
        </w:sectPr>
      </w:pPr>
    </w:p>
    <w:p>
      <w:pPr>
        <w:ind w:left="1160"/>
        <w:spacing w:after="0" w:line="206"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10.7#</w:t>
      </w:r>
    </w:p>
    <w:p>
      <w:pPr>
        <w:ind w:left="1160"/>
        <w:spacing w:after="0" w:line="182" w:lineRule="auto"/>
        <w:rPr>
          <w:sz w:val="20"/>
          <w:szCs w:val="20"/>
          <w:color w:val="auto"/>
        </w:rPr>
      </w:pPr>
      <w:r>
        <w:rPr>
          <w:rFonts w:ascii="Times New Roman" w:cs="Times New Roman" w:eastAsia="Times New Roman" w:hAnsi="Times New Roman"/>
          <w:sz w:val="13"/>
          <w:szCs w:val="13"/>
          <w:color w:val="auto"/>
        </w:rPr>
        <w:t>10.8#</w:t>
      </w:r>
      <w:r>
        <w:rPr>
          <w:rFonts w:ascii="Times New Roman" w:cs="Times New Roman" w:eastAsia="Times New Roman" w:hAnsi="Times New Roman"/>
          <w:sz w:val="24"/>
          <w:szCs w:val="24"/>
          <w:color w:val="auto"/>
          <w:vertAlign w:val="superscript"/>
        </w:rPr>
        <w:t>​</w:t>
      </w:r>
    </w:p>
    <w:p>
      <w:pPr>
        <w:ind w:left="1160"/>
        <w:spacing w:after="0" w:line="183" w:lineRule="auto"/>
        <w:rPr>
          <w:sz w:val="20"/>
          <w:szCs w:val="20"/>
          <w:color w:val="auto"/>
        </w:rPr>
      </w:pPr>
      <w:r>
        <w:rPr>
          <w:rFonts w:ascii="Times New Roman" w:cs="Times New Roman" w:eastAsia="Times New Roman" w:hAnsi="Times New Roman"/>
          <w:sz w:val="12"/>
          <w:szCs w:val="12"/>
          <w:color w:val="auto"/>
        </w:rPr>
        <w:t>10.9#</w:t>
      </w:r>
      <w:r>
        <w:rPr>
          <w:rFonts w:ascii="Times New Roman" w:cs="Times New Roman" w:eastAsia="Times New Roman" w:hAnsi="Times New Roman"/>
          <w:sz w:val="20"/>
          <w:szCs w:val="20"/>
          <w:color w:val="auto"/>
          <w:vertAlign w:val="superscript"/>
        </w:rPr>
        <w:t>​</w:t>
      </w:r>
    </w:p>
    <w:p>
      <w:pPr>
        <w:spacing w:after="0" w:line="20" w:lineRule="exact"/>
        <w:rPr>
          <w:sz w:val="20"/>
          <w:szCs w:val="20"/>
          <w:color w:val="auto"/>
        </w:rPr>
      </w:pPr>
      <w:r>
        <w:rPr>
          <w:sz w:val="20"/>
          <w:szCs w:val="20"/>
          <w:color w:val="auto"/>
        </w:rPr>
        <w:br w:type="column"/>
      </w:r>
    </w:p>
    <w:p>
      <w:pPr>
        <w:ind w:left="90" w:hanging="90"/>
        <w:spacing w:after="0" w:line="206" w:lineRule="auto"/>
        <w:tabs>
          <w:tab w:leader="none" w:pos="90" w:val="left"/>
        </w:tabs>
        <w:numPr>
          <w:ilvl w:val="0"/>
          <w:numId w:val="1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000000"/>
          <w:vertAlign w:val="superscript"/>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Zenas BioPharma, Inc. 2020 Equity Incentive Plan.</w:t>
      </w:r>
    </w:p>
    <w:p>
      <w:pPr>
        <w:ind w:left="90" w:hanging="90"/>
        <w:spacing w:after="0" w:line="181" w:lineRule="auto"/>
        <w:tabs>
          <w:tab w:leader="none" w:pos="90" w:val="left"/>
        </w:tabs>
        <w:numPr>
          <w:ilvl w:val="0"/>
          <w:numId w:val="1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000000"/>
          <w:vertAlign w:val="superscript"/>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u w:val="single" w:color="auto"/>
          <w:color w:val="0000EE"/>
        </w:rPr>
        <w:t>Amendment to Zenas BioPharma, Inc. 2020 Equity Incentive Plan.</w:t>
      </w:r>
    </w:p>
    <w:p>
      <w:pPr>
        <w:ind w:left="90" w:hanging="90"/>
        <w:spacing w:after="0" w:line="183" w:lineRule="auto"/>
        <w:tabs>
          <w:tab w:leader="none" w:pos="90" w:val="left"/>
        </w:tabs>
        <w:numPr>
          <w:ilvl w:val="0"/>
          <w:numId w:val="1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20"/>
          <w:szCs w:val="20"/>
          <w:color w:val="000000"/>
          <w:vertAlign w:val="superscript"/>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u w:val="single" w:color="auto"/>
          <w:color w:val="0000EE"/>
        </w:rPr>
        <w:t>Amendment to Zenas BioPharma, Inc. 2020 Equity 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63" w:lineRule="exact"/>
        <w:rPr>
          <w:sz w:val="20"/>
          <w:szCs w:val="20"/>
          <w:color w:val="auto"/>
        </w:rPr>
      </w:pPr>
    </w:p>
    <w:p>
      <w:pPr>
        <w:sectPr>
          <w:pgSz w:w="11900" w:h="16838" w:orient="portrait"/>
          <w:cols w:equalWidth="0" w:num="3">
            <w:col w:w="1500" w:space="170"/>
            <w:col w:w="5450" w:space="720"/>
            <w:col w:w="1179"/>
          </w:cols>
          <w:pgMar w:left="1440" w:top="98" w:right="1440" w:bottom="1440" w:gutter="0" w:footer="0" w:header="0"/>
          <w:type w:val="continuous"/>
        </w:sectPr>
      </w:pPr>
    </w:p>
    <w:tbl>
      <w:tblPr>
        <w:tblLayout w:type="fixed"/>
        <w:tblInd w:w="140" w:type="dxa"/>
        <w:tblCellMar>
          <w:top w:w="0" w:type="dxa"/>
          <w:left w:w="0" w:type="dxa"/>
          <w:bottom w:w="0" w:type="dxa"/>
          <w:right w:w="0" w:type="dxa"/>
        </w:tblCellMar>
      </w:tblPr>
      <w:tr>
        <w:trPr>
          <w:trHeight w:val="131"/>
        </w:trPr>
        <w:tc>
          <w:tcPr>
            <w:tcW w:w="1520" w:type="dxa"/>
            <w:vAlign w:val="bottom"/>
          </w:tcPr>
          <w:p>
            <w:pPr>
              <w:ind w:left="1020"/>
              <w:spacing w:after="0" w:line="131"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131" w:lineRule="exact"/>
              <w:rPr>
                <w:sz w:val="20"/>
                <w:szCs w:val="20"/>
                <w:color w:val="auto"/>
              </w:rPr>
            </w:pPr>
            <w:r>
              <w:rPr>
                <w:rFonts w:ascii="Times New Roman" w:cs="Times New Roman" w:eastAsia="Times New Roman" w:hAnsi="Times New Roman"/>
                <w:sz w:val="15"/>
                <w:szCs w:val="15"/>
                <w:color w:val="auto"/>
              </w:rPr>
              <w:t>​ ​</w:t>
            </w:r>
          </w:p>
        </w:tc>
        <w:tc>
          <w:tcPr>
            <w:tcW w:w="6000" w:type="dxa"/>
            <w:vAlign w:val="bottom"/>
            <w:gridSpan w:val="6"/>
            <w:vMerge w:val="restart"/>
          </w:tcPr>
          <w:p>
            <w:pPr>
              <w:spacing w:after="0" w:line="164" w:lineRule="exact"/>
              <w:rPr>
                <w:sz w:val="20"/>
                <w:szCs w:val="20"/>
                <w:color w:val="auto"/>
              </w:rPr>
            </w:pPr>
            <w:r>
              <w:rPr>
                <w:rFonts w:ascii="Times New Roman" w:cs="Times New Roman" w:eastAsia="Times New Roman" w:hAnsi="Times New Roman"/>
                <w:sz w:val="15"/>
                <w:szCs w:val="15"/>
                <w:color w:val="0000EE"/>
              </w:rPr>
              <w:t>Form of Restricted Share Agreement under the Zenas BioPharma, Inc. 2020 Equity Incentive</w:t>
            </w:r>
          </w:p>
        </w:tc>
        <w:tc>
          <w:tcPr>
            <w:tcW w:w="1020" w:type="dxa"/>
            <w:vAlign w:val="bottom"/>
          </w:tcPr>
          <w:p>
            <w:pPr>
              <w:spacing w:after="0" w:line="13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8"/>
        </w:trPr>
        <w:tc>
          <w:tcPr>
            <w:tcW w:w="1520" w:type="dxa"/>
            <w:vAlign w:val="bottom"/>
          </w:tcPr>
          <w:p>
            <w:pPr>
              <w:ind w:left="1020"/>
              <w:spacing w:after="0" w:line="33" w:lineRule="exact"/>
              <w:rPr>
                <w:sz w:val="20"/>
                <w:szCs w:val="20"/>
                <w:color w:val="auto"/>
              </w:rPr>
            </w:pPr>
            <w:r>
              <w:rPr>
                <w:rFonts w:ascii="Times New Roman" w:cs="Times New Roman" w:eastAsia="Times New Roman" w:hAnsi="Times New Roman"/>
                <w:sz w:val="3"/>
                <w:szCs w:val="3"/>
                <w:color w:val="auto"/>
              </w:rPr>
              <w:t>10.10#</w:t>
            </w:r>
          </w:p>
        </w:tc>
        <w:tc>
          <w:tcPr>
            <w:tcW w:w="180" w:type="dxa"/>
            <w:vAlign w:val="bottom"/>
          </w:tcPr>
          <w:p>
            <w:pPr>
              <w:spacing w:after="0"/>
              <w:rPr>
                <w:sz w:val="2"/>
                <w:szCs w:val="2"/>
                <w:color w:val="auto"/>
              </w:rPr>
            </w:pPr>
          </w:p>
        </w:tc>
        <w:tc>
          <w:tcPr>
            <w:tcW w:w="6000" w:type="dxa"/>
            <w:vAlign w:val="bottom"/>
            <w:tcBorders>
              <w:bottom w:val="single" w:sz="8" w:color="0000EE"/>
            </w:tcBorders>
            <w:gridSpan w:val="6"/>
            <w:vMerge w:val="continue"/>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bottom w:val="single" w:sz="8" w:color="0000EE"/>
            </w:tcBorders>
          </w:tcPr>
          <w:p>
            <w:pPr>
              <w:spacing w:after="0" w:line="156" w:lineRule="exact"/>
              <w:rPr>
                <w:sz w:val="20"/>
                <w:szCs w:val="20"/>
                <w:color w:val="auto"/>
              </w:rPr>
            </w:pPr>
            <w:r>
              <w:rPr>
                <w:rFonts w:ascii="Times New Roman" w:cs="Times New Roman" w:eastAsia="Times New Roman" w:hAnsi="Times New Roman"/>
                <w:sz w:val="15"/>
                <w:szCs w:val="15"/>
                <w:color w:val="0000EE"/>
                <w:w w:val="98"/>
              </w:rPr>
              <w:t>Plan.</w:t>
            </w:r>
          </w:p>
        </w:tc>
        <w:tc>
          <w:tcPr>
            <w:tcW w:w="5680" w:type="dxa"/>
            <w:vAlign w:val="bottom"/>
            <w:gridSpan w:val="5"/>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520" w:type="dxa"/>
            <w:vAlign w:val="bottom"/>
          </w:tcPr>
          <w:p>
            <w:pPr>
              <w:ind w:left="10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 ​</w:t>
            </w:r>
          </w:p>
        </w:tc>
        <w:tc>
          <w:tcPr>
            <w:tcW w:w="6000" w:type="dxa"/>
            <w:vAlign w:val="bottom"/>
            <w:gridSpan w:val="6"/>
            <w:vMerge w:val="restart"/>
          </w:tcPr>
          <w:p>
            <w:pPr>
              <w:spacing w:after="0"/>
              <w:rPr>
                <w:sz w:val="20"/>
                <w:szCs w:val="20"/>
                <w:color w:val="auto"/>
              </w:rPr>
            </w:pPr>
            <w:r>
              <w:rPr>
                <w:rFonts w:ascii="Times New Roman" w:cs="Times New Roman" w:eastAsia="Times New Roman" w:hAnsi="Times New Roman"/>
                <w:sz w:val="15"/>
                <w:szCs w:val="15"/>
                <w:color w:val="0000EE"/>
              </w:rPr>
              <w:t>Form of Non-Qualified Stock Option Agreement (Non-Employee Directors) under the Zenas</w:t>
            </w:r>
          </w:p>
        </w:tc>
        <w:tc>
          <w:tcPr>
            <w:tcW w:w="102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8"/>
        </w:trPr>
        <w:tc>
          <w:tcPr>
            <w:tcW w:w="1520" w:type="dxa"/>
            <w:vAlign w:val="bottom"/>
          </w:tcPr>
          <w:p>
            <w:pPr>
              <w:ind w:left="1020"/>
              <w:spacing w:after="0" w:line="33" w:lineRule="exact"/>
              <w:rPr>
                <w:sz w:val="20"/>
                <w:szCs w:val="20"/>
                <w:color w:val="auto"/>
              </w:rPr>
            </w:pPr>
            <w:r>
              <w:rPr>
                <w:rFonts w:ascii="Times New Roman" w:cs="Times New Roman" w:eastAsia="Times New Roman" w:hAnsi="Times New Roman"/>
                <w:sz w:val="3"/>
                <w:szCs w:val="3"/>
                <w:color w:val="auto"/>
              </w:rPr>
              <w:t>10.11#</w:t>
            </w:r>
          </w:p>
        </w:tc>
        <w:tc>
          <w:tcPr>
            <w:tcW w:w="180" w:type="dxa"/>
            <w:vAlign w:val="bottom"/>
          </w:tcPr>
          <w:p>
            <w:pPr>
              <w:spacing w:after="0"/>
              <w:rPr>
                <w:sz w:val="2"/>
                <w:szCs w:val="2"/>
                <w:color w:val="auto"/>
              </w:rPr>
            </w:pPr>
          </w:p>
        </w:tc>
        <w:tc>
          <w:tcPr>
            <w:tcW w:w="6000" w:type="dxa"/>
            <w:vAlign w:val="bottom"/>
            <w:tcBorders>
              <w:bottom w:val="single" w:sz="8" w:color="0000EE"/>
            </w:tcBorders>
            <w:gridSpan w:val="6"/>
            <w:vMerge w:val="continue"/>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60" w:type="dxa"/>
            <w:vAlign w:val="bottom"/>
            <w:tcBorders>
              <w:bottom w:val="single" w:sz="8" w:color="0000EE"/>
            </w:tcBorders>
            <w:gridSpan w:val="4"/>
          </w:tcPr>
          <w:p>
            <w:pPr>
              <w:spacing w:after="0" w:line="156" w:lineRule="exact"/>
              <w:rPr>
                <w:sz w:val="20"/>
                <w:szCs w:val="20"/>
                <w:color w:val="auto"/>
              </w:rPr>
            </w:pPr>
            <w:r>
              <w:rPr>
                <w:rFonts w:ascii="Times New Roman" w:cs="Times New Roman" w:eastAsia="Times New Roman" w:hAnsi="Times New Roman"/>
                <w:sz w:val="15"/>
                <w:szCs w:val="15"/>
                <w:color w:val="0000EE"/>
              </w:rPr>
              <w:t>BioPharma, Inc. 2020 Equity Incentive Plan.</w:t>
            </w:r>
          </w:p>
        </w:tc>
        <w:tc>
          <w:tcPr>
            <w:tcW w:w="324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520" w:type="dxa"/>
            <w:vAlign w:val="bottom"/>
          </w:tcPr>
          <w:p>
            <w:pPr>
              <w:ind w:left="10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 ​</w:t>
            </w:r>
          </w:p>
        </w:tc>
        <w:tc>
          <w:tcPr>
            <w:tcW w:w="6000" w:type="dxa"/>
            <w:vAlign w:val="bottom"/>
            <w:gridSpan w:val="6"/>
            <w:vMerge w:val="restart"/>
          </w:tcPr>
          <w:p>
            <w:pPr>
              <w:spacing w:after="0"/>
              <w:rPr>
                <w:sz w:val="20"/>
                <w:szCs w:val="20"/>
                <w:color w:val="auto"/>
              </w:rPr>
            </w:pPr>
            <w:r>
              <w:rPr>
                <w:rFonts w:ascii="Times New Roman" w:cs="Times New Roman" w:eastAsia="Times New Roman" w:hAnsi="Times New Roman"/>
                <w:sz w:val="15"/>
                <w:szCs w:val="15"/>
                <w:color w:val="0000EE"/>
              </w:rPr>
              <w:t>Form of Non-Qualified Stock Option Agreement (Employees) under the Zenas BioPharma, Inc.</w:t>
            </w:r>
          </w:p>
        </w:tc>
        <w:tc>
          <w:tcPr>
            <w:tcW w:w="102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8"/>
        </w:trPr>
        <w:tc>
          <w:tcPr>
            <w:tcW w:w="1520" w:type="dxa"/>
            <w:vAlign w:val="bottom"/>
          </w:tcPr>
          <w:p>
            <w:pPr>
              <w:ind w:left="1020"/>
              <w:spacing w:after="0" w:line="33" w:lineRule="exact"/>
              <w:rPr>
                <w:sz w:val="20"/>
                <w:szCs w:val="20"/>
                <w:color w:val="auto"/>
              </w:rPr>
            </w:pPr>
            <w:r>
              <w:rPr>
                <w:rFonts w:ascii="Times New Roman" w:cs="Times New Roman" w:eastAsia="Times New Roman" w:hAnsi="Times New Roman"/>
                <w:sz w:val="3"/>
                <w:szCs w:val="3"/>
                <w:color w:val="auto"/>
              </w:rPr>
              <w:t>10.12#</w:t>
            </w:r>
          </w:p>
        </w:tc>
        <w:tc>
          <w:tcPr>
            <w:tcW w:w="180" w:type="dxa"/>
            <w:vAlign w:val="bottom"/>
          </w:tcPr>
          <w:p>
            <w:pPr>
              <w:spacing w:after="0"/>
              <w:rPr>
                <w:sz w:val="2"/>
                <w:szCs w:val="2"/>
                <w:color w:val="auto"/>
              </w:rPr>
            </w:pPr>
          </w:p>
        </w:tc>
        <w:tc>
          <w:tcPr>
            <w:tcW w:w="6000" w:type="dxa"/>
            <w:vAlign w:val="bottom"/>
            <w:tcBorders>
              <w:bottom w:val="single" w:sz="8" w:color="0000EE"/>
            </w:tcBorders>
            <w:gridSpan w:val="6"/>
            <w:vMerge w:val="continue"/>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Borders>
              <w:bottom w:val="single" w:sz="8" w:color="0000EE"/>
            </w:tcBorders>
            <w:gridSpan w:val="3"/>
          </w:tcPr>
          <w:p>
            <w:pPr>
              <w:spacing w:after="0" w:line="156" w:lineRule="exact"/>
              <w:rPr>
                <w:sz w:val="20"/>
                <w:szCs w:val="20"/>
                <w:color w:val="auto"/>
              </w:rPr>
            </w:pPr>
            <w:r>
              <w:rPr>
                <w:rFonts w:ascii="Times New Roman" w:cs="Times New Roman" w:eastAsia="Times New Roman" w:hAnsi="Times New Roman"/>
                <w:sz w:val="15"/>
                <w:szCs w:val="15"/>
                <w:color w:val="0000EE"/>
              </w:rPr>
              <w:t>2020 Equity Incentive Plan.</w:t>
            </w:r>
          </w:p>
        </w:tc>
        <w:tc>
          <w:tcPr>
            <w:tcW w:w="428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520" w:type="dxa"/>
            <w:vAlign w:val="bottom"/>
          </w:tcPr>
          <w:p>
            <w:pPr>
              <w:ind w:left="10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 ​</w:t>
            </w:r>
          </w:p>
        </w:tc>
        <w:tc>
          <w:tcPr>
            <w:tcW w:w="6000" w:type="dxa"/>
            <w:vAlign w:val="bottom"/>
            <w:gridSpan w:val="6"/>
            <w:vMerge w:val="restart"/>
          </w:tcPr>
          <w:p>
            <w:pPr>
              <w:spacing w:after="0"/>
              <w:rPr>
                <w:sz w:val="20"/>
                <w:szCs w:val="20"/>
                <w:color w:val="auto"/>
              </w:rPr>
            </w:pPr>
            <w:r>
              <w:rPr>
                <w:rFonts w:ascii="Times New Roman" w:cs="Times New Roman" w:eastAsia="Times New Roman" w:hAnsi="Times New Roman"/>
                <w:sz w:val="15"/>
                <w:szCs w:val="15"/>
                <w:color w:val="0000EE"/>
              </w:rPr>
              <w:t>Form of Incentive Stock Option Agreement under the Zenas BioPharma, Inc. 2020 Equity</w:t>
            </w:r>
          </w:p>
        </w:tc>
        <w:tc>
          <w:tcPr>
            <w:tcW w:w="102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8"/>
        </w:trPr>
        <w:tc>
          <w:tcPr>
            <w:tcW w:w="1520" w:type="dxa"/>
            <w:vAlign w:val="bottom"/>
          </w:tcPr>
          <w:p>
            <w:pPr>
              <w:ind w:left="1020"/>
              <w:spacing w:after="0" w:line="33" w:lineRule="exact"/>
              <w:rPr>
                <w:sz w:val="20"/>
                <w:szCs w:val="20"/>
                <w:color w:val="auto"/>
              </w:rPr>
            </w:pPr>
            <w:r>
              <w:rPr>
                <w:rFonts w:ascii="Times New Roman" w:cs="Times New Roman" w:eastAsia="Times New Roman" w:hAnsi="Times New Roman"/>
                <w:sz w:val="3"/>
                <w:szCs w:val="3"/>
                <w:color w:val="auto"/>
              </w:rPr>
              <w:t>10.13#</w:t>
            </w:r>
          </w:p>
        </w:tc>
        <w:tc>
          <w:tcPr>
            <w:tcW w:w="180" w:type="dxa"/>
            <w:vAlign w:val="bottom"/>
          </w:tcPr>
          <w:p>
            <w:pPr>
              <w:spacing w:after="0"/>
              <w:rPr>
                <w:sz w:val="2"/>
                <w:szCs w:val="2"/>
                <w:color w:val="auto"/>
              </w:rPr>
            </w:pPr>
          </w:p>
        </w:tc>
        <w:tc>
          <w:tcPr>
            <w:tcW w:w="6000" w:type="dxa"/>
            <w:vAlign w:val="bottom"/>
            <w:tcBorders>
              <w:bottom w:val="single" w:sz="8" w:color="0000EE"/>
            </w:tcBorders>
            <w:gridSpan w:val="6"/>
            <w:vMerge w:val="continue"/>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520" w:type="dxa"/>
            <w:vAlign w:val="bottom"/>
            <w:vMerge w:val="restart"/>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6000" w:type="dxa"/>
            <w:vAlign w:val="bottom"/>
            <w:gridSpan w:val="6"/>
          </w:tcPr>
          <w:p>
            <w:pPr>
              <w:spacing w:after="0" w:line="156" w:lineRule="exact"/>
              <w:rPr>
                <w:sz w:val="20"/>
                <w:szCs w:val="20"/>
                <w:color w:val="auto"/>
              </w:rPr>
            </w:pPr>
            <w:r>
              <w:rPr>
                <w:rFonts w:ascii="Times New Roman" w:cs="Times New Roman" w:eastAsia="Times New Roman" w:hAnsi="Times New Roman"/>
                <w:sz w:val="15"/>
                <w:szCs w:val="15"/>
                <w:color w:val="0000EE"/>
              </w:rPr>
              <w:t>Incentive Plan.</w:t>
            </w:r>
          </w:p>
        </w:tc>
        <w:tc>
          <w:tcPr>
            <w:tcW w:w="10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5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6000" w:type="dxa"/>
            <w:vAlign w:val="bottom"/>
            <w:gridSpan w:val="6"/>
            <w:vMerge w:val="restart"/>
          </w:tcPr>
          <w:p>
            <w:pPr>
              <w:spacing w:after="0"/>
              <w:rPr>
                <w:sz w:val="20"/>
                <w:szCs w:val="20"/>
                <w:color w:val="auto"/>
              </w:rPr>
            </w:pPr>
            <w:r>
              <w:rPr>
                <w:rFonts w:ascii="Times New Roman" w:cs="Times New Roman" w:eastAsia="Times New Roman" w:hAnsi="Times New Roman"/>
                <w:sz w:val="15"/>
                <w:szCs w:val="15"/>
                <w:color w:val="auto"/>
              </w:rPr>
              <w:t>Zenas BioPharma, Inc. Short-Term Incentive Plan.</w:t>
            </w: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20" w:type="dxa"/>
            <w:vAlign w:val="bottom"/>
          </w:tcPr>
          <w:p>
            <w:pPr>
              <w:ind w:left="1020"/>
              <w:spacing w:after="0" w:line="63" w:lineRule="exact"/>
              <w:rPr>
                <w:sz w:val="20"/>
                <w:szCs w:val="20"/>
                <w:color w:val="auto"/>
              </w:rPr>
            </w:pPr>
            <w:r>
              <w:rPr>
                <w:rFonts w:ascii="Times New Roman" w:cs="Times New Roman" w:eastAsia="Times New Roman" w:hAnsi="Times New Roman"/>
                <w:sz w:val="7"/>
                <w:szCs w:val="7"/>
                <w:color w:val="auto"/>
              </w:rPr>
              <w:t>10.14#*</w:t>
            </w:r>
          </w:p>
        </w:tc>
        <w:tc>
          <w:tcPr>
            <w:tcW w:w="180" w:type="dxa"/>
            <w:vAlign w:val="bottom"/>
          </w:tcPr>
          <w:p>
            <w:pPr>
              <w:spacing w:after="0"/>
              <w:rPr>
                <w:sz w:val="5"/>
                <w:szCs w:val="5"/>
                <w:color w:val="auto"/>
              </w:rPr>
            </w:pPr>
          </w:p>
        </w:tc>
        <w:tc>
          <w:tcPr>
            <w:tcW w:w="6000" w:type="dxa"/>
            <w:vAlign w:val="bottom"/>
            <w:gridSpan w:val="6"/>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520" w:type="dxa"/>
            <w:vAlign w:val="bottom"/>
          </w:tcPr>
          <w:p>
            <w:pPr>
              <w:ind w:left="10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 ​</w:t>
            </w:r>
          </w:p>
        </w:tc>
        <w:tc>
          <w:tcPr>
            <w:tcW w:w="6000" w:type="dxa"/>
            <w:vAlign w:val="bottom"/>
            <w:gridSpan w:val="6"/>
            <w:vMerge w:val="restart"/>
          </w:tcPr>
          <w:p>
            <w:pPr>
              <w:spacing w:after="0"/>
              <w:rPr>
                <w:sz w:val="20"/>
                <w:szCs w:val="20"/>
                <w:color w:val="auto"/>
              </w:rPr>
            </w:pPr>
            <w:r>
              <w:rPr>
                <w:rFonts w:ascii="Times New Roman" w:cs="Times New Roman" w:eastAsia="Times New Roman" w:hAnsi="Times New Roman"/>
                <w:sz w:val="15"/>
                <w:szCs w:val="15"/>
                <w:color w:val="auto"/>
              </w:rPr>
              <w:t>Zenas BioPharma, Inc. 2024 Equity Incentive Plan.</w:t>
            </w:r>
          </w:p>
        </w:tc>
        <w:tc>
          <w:tcPr>
            <w:tcW w:w="102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84"/>
        </w:trPr>
        <w:tc>
          <w:tcPr>
            <w:tcW w:w="1520" w:type="dxa"/>
            <w:vAlign w:val="bottom"/>
          </w:tcPr>
          <w:p>
            <w:pPr>
              <w:ind w:left="1020"/>
              <w:spacing w:after="0" w:line="85" w:lineRule="exact"/>
              <w:rPr>
                <w:sz w:val="20"/>
                <w:szCs w:val="20"/>
                <w:color w:val="auto"/>
              </w:rPr>
            </w:pPr>
            <w:r>
              <w:rPr>
                <w:rFonts w:ascii="Times New Roman" w:cs="Times New Roman" w:eastAsia="Times New Roman" w:hAnsi="Times New Roman"/>
                <w:sz w:val="9"/>
                <w:szCs w:val="9"/>
                <w:color w:val="auto"/>
              </w:rPr>
              <w:t>10.15#*</w:t>
            </w:r>
          </w:p>
        </w:tc>
        <w:tc>
          <w:tcPr>
            <w:tcW w:w="180" w:type="dxa"/>
            <w:vAlign w:val="bottom"/>
          </w:tcPr>
          <w:p>
            <w:pPr>
              <w:spacing w:after="0"/>
              <w:rPr>
                <w:sz w:val="7"/>
                <w:szCs w:val="7"/>
                <w:color w:val="auto"/>
              </w:rPr>
            </w:pPr>
          </w:p>
        </w:tc>
        <w:tc>
          <w:tcPr>
            <w:tcW w:w="6000" w:type="dxa"/>
            <w:vAlign w:val="bottom"/>
            <w:gridSpan w:val="6"/>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520" w:type="dxa"/>
            <w:vAlign w:val="bottom"/>
          </w:tcPr>
          <w:p>
            <w:pPr>
              <w:ind w:left="10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 ​</w:t>
            </w:r>
          </w:p>
        </w:tc>
        <w:tc>
          <w:tcPr>
            <w:tcW w:w="6000" w:type="dxa"/>
            <w:vAlign w:val="bottom"/>
            <w:gridSpan w:val="6"/>
            <w:vMerge w:val="restart"/>
          </w:tcPr>
          <w:p>
            <w:pPr>
              <w:spacing w:after="0"/>
              <w:rPr>
                <w:sz w:val="20"/>
                <w:szCs w:val="20"/>
                <w:color w:val="auto"/>
              </w:rPr>
            </w:pPr>
            <w:r>
              <w:rPr>
                <w:rFonts w:ascii="Times New Roman" w:cs="Times New Roman" w:eastAsia="Times New Roman" w:hAnsi="Times New Roman"/>
                <w:sz w:val="15"/>
                <w:szCs w:val="15"/>
                <w:color w:val="auto"/>
              </w:rPr>
              <w:t>Form of Non-Qualified Stock Option Agreement under the Zenas BioPharma, Inc. 2024 Equity</w:t>
            </w:r>
          </w:p>
        </w:tc>
        <w:tc>
          <w:tcPr>
            <w:tcW w:w="102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1"/>
        </w:trPr>
        <w:tc>
          <w:tcPr>
            <w:tcW w:w="1520" w:type="dxa"/>
            <w:vAlign w:val="bottom"/>
          </w:tcPr>
          <w:p>
            <w:pPr>
              <w:ind w:left="1020"/>
              <w:spacing w:after="0" w:line="52" w:lineRule="exact"/>
              <w:rPr>
                <w:sz w:val="20"/>
                <w:szCs w:val="20"/>
                <w:color w:val="auto"/>
              </w:rPr>
            </w:pPr>
            <w:r>
              <w:rPr>
                <w:rFonts w:ascii="Times New Roman" w:cs="Times New Roman" w:eastAsia="Times New Roman" w:hAnsi="Times New Roman"/>
                <w:sz w:val="5"/>
                <w:szCs w:val="5"/>
                <w:color w:val="auto"/>
              </w:rPr>
              <w:t>10.16#*</w:t>
            </w:r>
          </w:p>
        </w:tc>
        <w:tc>
          <w:tcPr>
            <w:tcW w:w="180" w:type="dxa"/>
            <w:vAlign w:val="bottom"/>
          </w:tcPr>
          <w:p>
            <w:pPr>
              <w:spacing w:after="0"/>
              <w:rPr>
                <w:sz w:val="4"/>
                <w:szCs w:val="4"/>
                <w:color w:val="auto"/>
              </w:rPr>
            </w:pPr>
          </w:p>
        </w:tc>
        <w:tc>
          <w:tcPr>
            <w:tcW w:w="600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Incentive Plan.</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520" w:type="dxa"/>
            <w:vAlign w:val="bottom"/>
          </w:tcPr>
          <w:p>
            <w:pPr>
              <w:ind w:left="1020"/>
              <w:spacing w:after="0" w:line="154"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 ​</w:t>
            </w:r>
          </w:p>
        </w:tc>
        <w:tc>
          <w:tcPr>
            <w:tcW w:w="6000" w:type="dxa"/>
            <w:vAlign w:val="bottom"/>
            <w:gridSpan w:val="6"/>
            <w:vMerge w:val="restart"/>
          </w:tcPr>
          <w:p>
            <w:pPr>
              <w:spacing w:after="0"/>
              <w:rPr>
                <w:sz w:val="20"/>
                <w:szCs w:val="20"/>
                <w:color w:val="auto"/>
              </w:rPr>
            </w:pPr>
            <w:r>
              <w:rPr>
                <w:rFonts w:ascii="Times New Roman" w:cs="Times New Roman" w:eastAsia="Times New Roman" w:hAnsi="Times New Roman"/>
                <w:sz w:val="15"/>
                <w:szCs w:val="15"/>
                <w:color w:val="auto"/>
              </w:rPr>
              <w:t>Zenas BioPharma, Inc. 2024 Employee Stock Purchase Plan.</w:t>
            </w:r>
          </w:p>
        </w:tc>
        <w:tc>
          <w:tcPr>
            <w:tcW w:w="102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73"/>
        </w:trPr>
        <w:tc>
          <w:tcPr>
            <w:tcW w:w="1520" w:type="dxa"/>
            <w:vAlign w:val="bottom"/>
          </w:tcPr>
          <w:p>
            <w:pPr>
              <w:ind w:left="1020"/>
              <w:spacing w:after="0" w:line="74" w:lineRule="exact"/>
              <w:rPr>
                <w:sz w:val="20"/>
                <w:szCs w:val="20"/>
                <w:color w:val="auto"/>
              </w:rPr>
            </w:pPr>
            <w:r>
              <w:rPr>
                <w:rFonts w:ascii="Times New Roman" w:cs="Times New Roman" w:eastAsia="Times New Roman" w:hAnsi="Times New Roman"/>
                <w:sz w:val="8"/>
                <w:szCs w:val="8"/>
                <w:color w:val="auto"/>
              </w:rPr>
              <w:t>10.17#*</w:t>
            </w:r>
          </w:p>
        </w:tc>
        <w:tc>
          <w:tcPr>
            <w:tcW w:w="180" w:type="dxa"/>
            <w:vAlign w:val="bottom"/>
          </w:tcPr>
          <w:p>
            <w:pPr>
              <w:spacing w:after="0"/>
              <w:rPr>
                <w:sz w:val="6"/>
                <w:szCs w:val="6"/>
                <w:color w:val="auto"/>
              </w:rPr>
            </w:pPr>
          </w:p>
        </w:tc>
        <w:tc>
          <w:tcPr>
            <w:tcW w:w="6000" w:type="dxa"/>
            <w:vAlign w:val="bottom"/>
            <w:gridSpan w:val="6"/>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20" w:type="dxa"/>
            <w:vAlign w:val="bottom"/>
          </w:tcPr>
          <w:p>
            <w:pPr>
              <w:ind w:left="10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 ​</w:t>
            </w:r>
          </w:p>
        </w:tc>
        <w:tc>
          <w:tcPr>
            <w:tcW w:w="6000" w:type="dxa"/>
            <w:vAlign w:val="bottom"/>
            <w:gridSpan w:val="6"/>
            <w:vMerge w:val="restart"/>
          </w:tcPr>
          <w:p>
            <w:pPr>
              <w:spacing w:after="0"/>
              <w:rPr>
                <w:sz w:val="20"/>
                <w:szCs w:val="20"/>
                <w:color w:val="auto"/>
              </w:rPr>
            </w:pPr>
            <w:r>
              <w:rPr>
                <w:rFonts w:ascii="Times New Roman" w:cs="Times New Roman" w:eastAsia="Times New Roman" w:hAnsi="Times New Roman"/>
                <w:sz w:val="15"/>
                <w:szCs w:val="15"/>
                <w:color w:val="auto"/>
              </w:rPr>
              <w:t>Zenas BioPharma, Inc. Non-Employee Director Compensation Policy.</w:t>
            </w:r>
          </w:p>
        </w:tc>
        <w:tc>
          <w:tcPr>
            <w:tcW w:w="102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73"/>
        </w:trPr>
        <w:tc>
          <w:tcPr>
            <w:tcW w:w="1520" w:type="dxa"/>
            <w:vAlign w:val="bottom"/>
          </w:tcPr>
          <w:p>
            <w:pPr>
              <w:ind w:left="1020"/>
              <w:spacing w:after="0" w:line="74" w:lineRule="exact"/>
              <w:rPr>
                <w:sz w:val="20"/>
                <w:szCs w:val="20"/>
                <w:color w:val="auto"/>
              </w:rPr>
            </w:pPr>
            <w:r>
              <w:rPr>
                <w:rFonts w:ascii="Times New Roman" w:cs="Times New Roman" w:eastAsia="Times New Roman" w:hAnsi="Times New Roman"/>
                <w:sz w:val="8"/>
                <w:szCs w:val="8"/>
                <w:color w:val="auto"/>
              </w:rPr>
              <w:t>10.18#*</w:t>
            </w:r>
          </w:p>
        </w:tc>
        <w:tc>
          <w:tcPr>
            <w:tcW w:w="180" w:type="dxa"/>
            <w:vAlign w:val="bottom"/>
          </w:tcPr>
          <w:p>
            <w:pPr>
              <w:spacing w:after="0"/>
              <w:rPr>
                <w:sz w:val="6"/>
                <w:szCs w:val="6"/>
                <w:color w:val="auto"/>
              </w:rPr>
            </w:pPr>
          </w:p>
        </w:tc>
        <w:tc>
          <w:tcPr>
            <w:tcW w:w="6000" w:type="dxa"/>
            <w:vAlign w:val="bottom"/>
            <w:gridSpan w:val="6"/>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20" w:type="dxa"/>
            <w:vAlign w:val="bottom"/>
          </w:tcPr>
          <w:p>
            <w:pPr>
              <w:ind w:left="10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 ​</w:t>
            </w:r>
          </w:p>
        </w:tc>
        <w:tc>
          <w:tcPr>
            <w:tcW w:w="6000" w:type="dxa"/>
            <w:vAlign w:val="bottom"/>
            <w:gridSpan w:val="6"/>
            <w:vMerge w:val="restart"/>
          </w:tcPr>
          <w:p>
            <w:pPr>
              <w:spacing w:after="0"/>
              <w:rPr>
                <w:sz w:val="20"/>
                <w:szCs w:val="20"/>
                <w:color w:val="auto"/>
              </w:rPr>
            </w:pPr>
            <w:r>
              <w:rPr>
                <w:rFonts w:ascii="Times New Roman" w:cs="Times New Roman" w:eastAsia="Times New Roman" w:hAnsi="Times New Roman"/>
                <w:sz w:val="15"/>
                <w:szCs w:val="15"/>
                <w:color w:val="auto"/>
              </w:rPr>
              <w:t>Amended and Restated Employment Agreement between the Registrant and Leon O. Moulder, Jr.</w:t>
            </w:r>
          </w:p>
        </w:tc>
        <w:tc>
          <w:tcPr>
            <w:tcW w:w="102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73"/>
        </w:trPr>
        <w:tc>
          <w:tcPr>
            <w:tcW w:w="1520" w:type="dxa"/>
            <w:vAlign w:val="bottom"/>
          </w:tcPr>
          <w:p>
            <w:pPr>
              <w:ind w:left="1020"/>
              <w:spacing w:after="0" w:line="74" w:lineRule="exact"/>
              <w:rPr>
                <w:sz w:val="20"/>
                <w:szCs w:val="20"/>
                <w:color w:val="auto"/>
              </w:rPr>
            </w:pPr>
            <w:r>
              <w:rPr>
                <w:rFonts w:ascii="Times New Roman" w:cs="Times New Roman" w:eastAsia="Times New Roman" w:hAnsi="Times New Roman"/>
                <w:sz w:val="8"/>
                <w:szCs w:val="8"/>
                <w:color w:val="auto"/>
              </w:rPr>
              <w:t>10.19#*</w:t>
            </w:r>
          </w:p>
        </w:tc>
        <w:tc>
          <w:tcPr>
            <w:tcW w:w="180" w:type="dxa"/>
            <w:vAlign w:val="bottom"/>
          </w:tcPr>
          <w:p>
            <w:pPr>
              <w:spacing w:after="0"/>
              <w:rPr>
                <w:sz w:val="6"/>
                <w:szCs w:val="6"/>
                <w:color w:val="auto"/>
              </w:rPr>
            </w:pPr>
          </w:p>
        </w:tc>
        <w:tc>
          <w:tcPr>
            <w:tcW w:w="6000" w:type="dxa"/>
            <w:vAlign w:val="bottom"/>
            <w:gridSpan w:val="6"/>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20" w:type="dxa"/>
            <w:vAlign w:val="bottom"/>
          </w:tcPr>
          <w:p>
            <w:pPr>
              <w:ind w:left="10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 ​</w:t>
            </w:r>
          </w:p>
        </w:tc>
        <w:tc>
          <w:tcPr>
            <w:tcW w:w="6000" w:type="dxa"/>
            <w:vAlign w:val="bottom"/>
            <w:gridSpan w:val="6"/>
            <w:vMerge w:val="restart"/>
          </w:tcPr>
          <w:p>
            <w:pPr>
              <w:spacing w:after="0"/>
              <w:rPr>
                <w:sz w:val="20"/>
                <w:szCs w:val="20"/>
                <w:color w:val="auto"/>
              </w:rPr>
            </w:pPr>
            <w:r>
              <w:rPr>
                <w:rFonts w:ascii="Times New Roman" w:cs="Times New Roman" w:eastAsia="Times New Roman" w:hAnsi="Times New Roman"/>
                <w:sz w:val="15"/>
                <w:szCs w:val="15"/>
                <w:color w:val="auto"/>
              </w:rPr>
              <w:t>Amended and Restated Employment Agreement between the Registrant and Joseph Farmer.</w:t>
            </w:r>
          </w:p>
        </w:tc>
        <w:tc>
          <w:tcPr>
            <w:tcW w:w="102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73"/>
        </w:trPr>
        <w:tc>
          <w:tcPr>
            <w:tcW w:w="1520" w:type="dxa"/>
            <w:vAlign w:val="bottom"/>
          </w:tcPr>
          <w:p>
            <w:pPr>
              <w:ind w:left="1020"/>
              <w:spacing w:after="0" w:line="74" w:lineRule="exact"/>
              <w:rPr>
                <w:sz w:val="20"/>
                <w:szCs w:val="20"/>
                <w:color w:val="auto"/>
              </w:rPr>
            </w:pPr>
            <w:r>
              <w:rPr>
                <w:rFonts w:ascii="Times New Roman" w:cs="Times New Roman" w:eastAsia="Times New Roman" w:hAnsi="Times New Roman"/>
                <w:sz w:val="8"/>
                <w:szCs w:val="8"/>
                <w:color w:val="auto"/>
              </w:rPr>
              <w:t>10.20#*</w:t>
            </w:r>
          </w:p>
        </w:tc>
        <w:tc>
          <w:tcPr>
            <w:tcW w:w="180" w:type="dxa"/>
            <w:vAlign w:val="bottom"/>
          </w:tcPr>
          <w:p>
            <w:pPr>
              <w:spacing w:after="0"/>
              <w:rPr>
                <w:sz w:val="6"/>
                <w:szCs w:val="6"/>
                <w:color w:val="auto"/>
              </w:rPr>
            </w:pPr>
          </w:p>
        </w:tc>
        <w:tc>
          <w:tcPr>
            <w:tcW w:w="6000" w:type="dxa"/>
            <w:vAlign w:val="bottom"/>
            <w:gridSpan w:val="6"/>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20" w:type="dxa"/>
            <w:vAlign w:val="bottom"/>
          </w:tcPr>
          <w:p>
            <w:pPr>
              <w:ind w:left="10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 ​</w:t>
            </w:r>
          </w:p>
        </w:tc>
        <w:tc>
          <w:tcPr>
            <w:tcW w:w="6000" w:type="dxa"/>
            <w:vAlign w:val="bottom"/>
            <w:gridSpan w:val="6"/>
            <w:vMerge w:val="restart"/>
          </w:tcPr>
          <w:p>
            <w:pPr>
              <w:spacing w:after="0"/>
              <w:rPr>
                <w:sz w:val="20"/>
                <w:szCs w:val="20"/>
                <w:color w:val="auto"/>
              </w:rPr>
            </w:pPr>
            <w:r>
              <w:rPr>
                <w:rFonts w:ascii="Times New Roman" w:cs="Times New Roman" w:eastAsia="Times New Roman" w:hAnsi="Times New Roman"/>
                <w:sz w:val="15"/>
                <w:szCs w:val="15"/>
                <w:color w:val="auto"/>
              </w:rPr>
              <w:t>Amended and Restated Employment Agreement between the Registrant and Jennifer Fox.</w:t>
            </w:r>
          </w:p>
        </w:tc>
        <w:tc>
          <w:tcPr>
            <w:tcW w:w="102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73"/>
        </w:trPr>
        <w:tc>
          <w:tcPr>
            <w:tcW w:w="1520" w:type="dxa"/>
            <w:vAlign w:val="bottom"/>
          </w:tcPr>
          <w:p>
            <w:pPr>
              <w:ind w:left="1020"/>
              <w:spacing w:after="0" w:line="74" w:lineRule="exact"/>
              <w:rPr>
                <w:sz w:val="20"/>
                <w:szCs w:val="20"/>
                <w:color w:val="auto"/>
              </w:rPr>
            </w:pPr>
            <w:r>
              <w:rPr>
                <w:rFonts w:ascii="Times New Roman" w:cs="Times New Roman" w:eastAsia="Times New Roman" w:hAnsi="Times New Roman"/>
                <w:sz w:val="8"/>
                <w:szCs w:val="8"/>
                <w:color w:val="auto"/>
              </w:rPr>
              <w:t>10.21#*</w:t>
            </w:r>
          </w:p>
        </w:tc>
        <w:tc>
          <w:tcPr>
            <w:tcW w:w="180" w:type="dxa"/>
            <w:vAlign w:val="bottom"/>
          </w:tcPr>
          <w:p>
            <w:pPr>
              <w:spacing w:after="0"/>
              <w:rPr>
                <w:sz w:val="6"/>
                <w:szCs w:val="6"/>
                <w:color w:val="auto"/>
              </w:rPr>
            </w:pPr>
          </w:p>
        </w:tc>
        <w:tc>
          <w:tcPr>
            <w:tcW w:w="6000" w:type="dxa"/>
            <w:vAlign w:val="bottom"/>
            <w:gridSpan w:val="6"/>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20" w:type="dxa"/>
            <w:vAlign w:val="bottom"/>
          </w:tcPr>
          <w:p>
            <w:pPr>
              <w:ind w:left="10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 ​</w:t>
            </w:r>
          </w:p>
        </w:tc>
        <w:tc>
          <w:tcPr>
            <w:tcW w:w="6000" w:type="dxa"/>
            <w:vAlign w:val="bottom"/>
            <w:gridSpan w:val="6"/>
            <w:vMerge w:val="restart"/>
          </w:tcPr>
          <w:p>
            <w:pPr>
              <w:spacing w:after="0"/>
              <w:rPr>
                <w:sz w:val="20"/>
                <w:szCs w:val="20"/>
                <w:color w:val="auto"/>
              </w:rPr>
            </w:pPr>
            <w:r>
              <w:rPr>
                <w:rFonts w:ascii="Times New Roman" w:cs="Times New Roman" w:eastAsia="Times New Roman" w:hAnsi="Times New Roman"/>
                <w:sz w:val="15"/>
                <w:szCs w:val="15"/>
                <w:color w:val="auto"/>
              </w:rPr>
              <w:t>Amended and Restated Employment Agreement between the Registrant and Orlando Oliveira.</w:t>
            </w:r>
          </w:p>
        </w:tc>
        <w:tc>
          <w:tcPr>
            <w:tcW w:w="102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73"/>
        </w:trPr>
        <w:tc>
          <w:tcPr>
            <w:tcW w:w="1520" w:type="dxa"/>
            <w:vAlign w:val="bottom"/>
          </w:tcPr>
          <w:p>
            <w:pPr>
              <w:ind w:left="1020"/>
              <w:spacing w:after="0" w:line="74" w:lineRule="exact"/>
              <w:rPr>
                <w:sz w:val="20"/>
                <w:szCs w:val="20"/>
                <w:color w:val="auto"/>
              </w:rPr>
            </w:pPr>
            <w:r>
              <w:rPr>
                <w:rFonts w:ascii="Times New Roman" w:cs="Times New Roman" w:eastAsia="Times New Roman" w:hAnsi="Times New Roman"/>
                <w:sz w:val="8"/>
                <w:szCs w:val="8"/>
                <w:color w:val="auto"/>
              </w:rPr>
              <w:t>10.22#*</w:t>
            </w:r>
          </w:p>
        </w:tc>
        <w:tc>
          <w:tcPr>
            <w:tcW w:w="180" w:type="dxa"/>
            <w:vAlign w:val="bottom"/>
          </w:tcPr>
          <w:p>
            <w:pPr>
              <w:spacing w:after="0"/>
              <w:rPr>
                <w:sz w:val="6"/>
                <w:szCs w:val="6"/>
                <w:color w:val="auto"/>
              </w:rPr>
            </w:pPr>
          </w:p>
        </w:tc>
        <w:tc>
          <w:tcPr>
            <w:tcW w:w="6000" w:type="dxa"/>
            <w:vAlign w:val="bottom"/>
            <w:gridSpan w:val="6"/>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20" w:type="dxa"/>
            <w:vAlign w:val="bottom"/>
          </w:tcPr>
          <w:p>
            <w:pPr>
              <w:ind w:left="10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 ​</w:t>
            </w:r>
          </w:p>
        </w:tc>
        <w:tc>
          <w:tcPr>
            <w:tcW w:w="6000" w:type="dxa"/>
            <w:vAlign w:val="bottom"/>
            <w:gridSpan w:val="6"/>
            <w:vMerge w:val="restart"/>
          </w:tcPr>
          <w:p>
            <w:pPr>
              <w:spacing w:after="0"/>
              <w:rPr>
                <w:sz w:val="20"/>
                <w:szCs w:val="20"/>
                <w:color w:val="auto"/>
              </w:rPr>
            </w:pPr>
            <w:r>
              <w:rPr>
                <w:rFonts w:ascii="Times New Roman" w:cs="Times New Roman" w:eastAsia="Times New Roman" w:hAnsi="Times New Roman"/>
                <w:sz w:val="15"/>
                <w:szCs w:val="15"/>
                <w:color w:val="0000EE"/>
              </w:rPr>
              <w:t>Employment Agreement between the Registrant and Tanya Fischer, dated September 22, 2023.</w:t>
            </w:r>
          </w:p>
        </w:tc>
        <w:tc>
          <w:tcPr>
            <w:tcW w:w="102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5"/>
        </w:trPr>
        <w:tc>
          <w:tcPr>
            <w:tcW w:w="1520" w:type="dxa"/>
            <w:vAlign w:val="bottom"/>
          </w:tcPr>
          <w:p>
            <w:pPr>
              <w:ind w:left="1020"/>
              <w:spacing w:after="0" w:line="55" w:lineRule="exact"/>
              <w:rPr>
                <w:sz w:val="20"/>
                <w:szCs w:val="20"/>
                <w:color w:val="auto"/>
              </w:rPr>
            </w:pPr>
            <w:r>
              <w:rPr>
                <w:rFonts w:ascii="Times New Roman" w:cs="Times New Roman" w:eastAsia="Times New Roman" w:hAnsi="Times New Roman"/>
                <w:sz w:val="6"/>
                <w:szCs w:val="6"/>
                <w:color w:val="auto"/>
              </w:rPr>
              <w:t>10.23#</w:t>
            </w:r>
          </w:p>
        </w:tc>
        <w:tc>
          <w:tcPr>
            <w:tcW w:w="180" w:type="dxa"/>
            <w:vAlign w:val="bottom"/>
          </w:tcPr>
          <w:p>
            <w:pPr>
              <w:spacing w:after="0"/>
              <w:rPr>
                <w:sz w:val="4"/>
                <w:szCs w:val="4"/>
                <w:color w:val="auto"/>
              </w:rPr>
            </w:pPr>
          </w:p>
        </w:tc>
        <w:tc>
          <w:tcPr>
            <w:tcW w:w="600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1"/>
        </w:trPr>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100" w:type="dxa"/>
            <w:vAlign w:val="bottom"/>
            <w:tcBorders>
              <w:top w:val="single" w:sz="8" w:color="0000EE"/>
            </w:tcBorders>
            <w:gridSpan w:val="2"/>
          </w:tcPr>
          <w:p>
            <w:pPr>
              <w:ind w:left="820"/>
              <w:spacing w:after="0"/>
              <w:rPr>
                <w:sz w:val="20"/>
                <w:szCs w:val="20"/>
                <w:color w:val="auto"/>
              </w:rPr>
            </w:pPr>
            <w:r>
              <w:rPr>
                <w:rFonts w:ascii="Times New Roman" w:cs="Times New Roman" w:eastAsia="Times New Roman" w:hAnsi="Times New Roman"/>
                <w:sz w:val="15"/>
                <w:szCs w:val="15"/>
                <w:color w:val="auto"/>
              </w:rPr>
              <w:t>II-5</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72" w:name="page273"/>
    <w:bookmarkEnd w:id="27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2"/>
          <w:szCs w:val="12"/>
          <w:b w:val="1"/>
          <w:bCs w:val="1"/>
          <w:color w:val="auto"/>
        </w:rPr>
        <w:t>Exhibit</w:t>
      </w:r>
    </w:p>
    <w:p>
      <w:pPr>
        <w:jc w:val="right"/>
        <w:ind w:right="1159"/>
        <w:spacing w:after="0" w:line="184" w:lineRule="auto"/>
        <w:tabs>
          <w:tab w:leader="none" w:pos="3540" w:val="left"/>
        </w:tabs>
        <w:rPr>
          <w:sz w:val="20"/>
          <w:szCs w:val="20"/>
          <w:color w:val="auto"/>
        </w:rPr>
      </w:pPr>
      <w:r>
        <w:rPr>
          <w:rFonts w:ascii="Times New Roman" w:cs="Times New Roman" w:eastAsia="Times New Roman" w:hAnsi="Times New Roman"/>
          <w:sz w:val="19"/>
          <w:szCs w:val="19"/>
          <w:b w:val="1"/>
          <w:bCs w:val="1"/>
          <w:u w:val="single" w:color="auto"/>
          <w:color w:val="auto"/>
          <w:vertAlign w:val="subscript"/>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b w:val="1"/>
          <w:bCs w:val="1"/>
          <w:u w:val="single" w:color="auto"/>
          <w:color w:val="auto"/>
        </w:rPr>
        <w:t>Number</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b w:val="1"/>
          <w:bCs w:val="1"/>
          <w:color w:val="auto"/>
          <w:vertAlign w:val="subscript"/>
        </w:rPr>
        <w:t>​ ​</w:t>
      </w:r>
      <w:r>
        <w:rPr>
          <w:sz w:val="20"/>
          <w:szCs w:val="20"/>
          <w:color w:val="auto"/>
        </w:rPr>
        <w:tab/>
      </w:r>
      <w:r>
        <w:rPr>
          <w:rFonts w:ascii="Times New Roman" w:cs="Times New Roman" w:eastAsia="Times New Roman" w:hAnsi="Times New Roman"/>
          <w:sz w:val="12"/>
          <w:szCs w:val="12"/>
          <w:b w:val="1"/>
          <w:bCs w:val="1"/>
          <w:color w:val="auto"/>
        </w:rPr>
        <w:t>Description of Exhibit</w:t>
      </w:r>
      <w:r>
        <w:rPr>
          <w:sz w:val="20"/>
          <w:szCs w:val="20"/>
          <w:color w:val="auto"/>
        </w:rPr>
        <w:t xml:space="preserve"> </w:t>
      </w:r>
      <w:r>
        <w:rPr>
          <w:rFonts w:ascii="Times New Roman" w:cs="Times New Roman" w:eastAsia="Times New Roman" w:hAnsi="Times New Roman"/>
          <w:sz w:val="19"/>
          <w:szCs w:val="1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0</wp:posOffset>
            </wp:positionV>
            <wp:extent cx="3809365"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809365" cy="698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ind w:left="1160"/>
        <w:spacing w:after="0" w:line="180"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10.24#</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10.25*​</w:t>
      </w:r>
    </w:p>
    <w:p>
      <w:pPr>
        <w:spacing w:after="0" w:line="9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21.1*</w:t>
      </w:r>
    </w:p>
    <w:p>
      <w:pPr>
        <w:ind w:left="1160"/>
        <w:spacing w:after="0" w:line="181" w:lineRule="auto"/>
        <w:rPr>
          <w:sz w:val="20"/>
          <w:szCs w:val="20"/>
          <w:color w:val="auto"/>
        </w:rPr>
      </w:pPr>
      <w:r>
        <w:rPr>
          <w:rFonts w:ascii="Times New Roman" w:cs="Times New Roman" w:eastAsia="Times New Roman" w:hAnsi="Times New Roman"/>
          <w:sz w:val="13"/>
          <w:szCs w:val="13"/>
          <w:color w:val="auto"/>
        </w:rPr>
        <w:t>23.1</w:t>
      </w:r>
      <w:r>
        <w:rPr>
          <w:rFonts w:ascii="Times New Roman" w:cs="Times New Roman" w:eastAsia="Times New Roman" w:hAnsi="Times New Roman"/>
          <w:sz w:val="24"/>
          <w:szCs w:val="24"/>
          <w:color w:val="auto"/>
          <w:vertAlign w:val="superscript"/>
        </w:rPr>
        <w:t>​</w:t>
      </w:r>
    </w:p>
    <w:p>
      <w:pPr>
        <w:ind w:left="1160"/>
        <w:spacing w:after="0" w:line="183" w:lineRule="auto"/>
        <w:rPr>
          <w:sz w:val="20"/>
          <w:szCs w:val="20"/>
          <w:color w:val="auto"/>
        </w:rPr>
      </w:pPr>
      <w:r>
        <w:rPr>
          <w:rFonts w:ascii="Times New Roman" w:cs="Times New Roman" w:eastAsia="Times New Roman" w:hAnsi="Times New Roman"/>
          <w:sz w:val="13"/>
          <w:szCs w:val="13"/>
          <w:color w:val="auto"/>
        </w:rPr>
        <w:t>23.2*</w:t>
      </w:r>
      <w:r>
        <w:rPr>
          <w:rFonts w:ascii="Times New Roman" w:cs="Times New Roman" w:eastAsia="Times New Roman" w:hAnsi="Times New Roman"/>
          <w:sz w:val="25"/>
          <w:szCs w:val="25"/>
          <w:color w:val="auto"/>
          <w:vertAlign w:val="superscript"/>
        </w:rPr>
        <w:t>​</w:t>
      </w:r>
    </w:p>
    <w:p>
      <w:pPr>
        <w:ind w:left="1160"/>
        <w:spacing w:after="0" w:line="184" w:lineRule="auto"/>
        <w:rPr>
          <w:sz w:val="20"/>
          <w:szCs w:val="20"/>
          <w:color w:val="auto"/>
        </w:rPr>
      </w:pPr>
      <w:r>
        <w:rPr>
          <w:rFonts w:ascii="Times New Roman" w:cs="Times New Roman" w:eastAsia="Times New Roman" w:hAnsi="Times New Roman"/>
          <w:sz w:val="13"/>
          <w:szCs w:val="13"/>
          <w:color w:val="auto"/>
        </w:rPr>
        <w:t>24.1</w:t>
      </w:r>
      <w:r>
        <w:rPr>
          <w:rFonts w:ascii="Times New Roman" w:cs="Times New Roman" w:eastAsia="Times New Roman" w:hAnsi="Times New Roman"/>
          <w:sz w:val="25"/>
          <w:szCs w:val="25"/>
          <w:color w:val="auto"/>
          <w:vertAlign w:val="superscript"/>
        </w:rPr>
        <w:t>​</w:t>
      </w:r>
    </w:p>
    <w:p>
      <w:pPr>
        <w:ind w:left="1160"/>
        <w:spacing w:after="0" w:line="187" w:lineRule="auto"/>
        <w:rPr>
          <w:sz w:val="20"/>
          <w:szCs w:val="20"/>
          <w:color w:val="auto"/>
        </w:rPr>
      </w:pPr>
      <w:r>
        <w:rPr>
          <w:rFonts w:ascii="Times New Roman" w:cs="Times New Roman" w:eastAsia="Times New Roman" w:hAnsi="Times New Roman"/>
          <w:sz w:val="15"/>
          <w:szCs w:val="15"/>
          <w:color w:val="auto"/>
        </w:rPr>
        <w:t>107</w:t>
      </w:r>
      <w:r>
        <w:rPr>
          <w:rFonts w:ascii="Times New Roman" w:cs="Times New Roman" w:eastAsia="Times New Roman" w:hAnsi="Times New Roman"/>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57785</wp:posOffset>
            </wp:positionV>
            <wp:extent cx="446405" cy="69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auto"/>
        <w:rPr>
          <w:sz w:val="20"/>
          <w:szCs w:val="20"/>
          <w:color w:val="auto"/>
        </w:rPr>
      </w:pPr>
      <w:r>
        <w:rPr>
          <w:rFonts w:ascii="Times New Roman" w:cs="Times New Roman" w:eastAsia="Times New Roman" w:hAnsi="Times New Roman"/>
          <w:sz w:val="25"/>
          <w:szCs w:val="25"/>
          <w:color w:val="000000"/>
          <w:vertAlign w:val="superscript"/>
        </w:rPr>
        <w:t>​ ​</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u w:val="single" w:color="auto"/>
          <w:color w:val="0000EE"/>
        </w:rPr>
        <w:t>Transition and Separation Agreement between the Registrant and Hua Mu, dated June 29, 2023.</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25"/>
          <w:szCs w:val="25"/>
          <w:color w:val="000000"/>
          <w:vertAlign w:val="superscript"/>
        </w:rPr>
        <w:t>​</w:t>
      </w:r>
    </w:p>
    <w:p>
      <w:pPr>
        <w:spacing w:after="0"/>
        <w:rPr>
          <w:sz w:val="20"/>
          <w:szCs w:val="20"/>
          <w:color w:val="auto"/>
        </w:rPr>
      </w:pPr>
      <w:r>
        <w:rPr>
          <w:rFonts w:ascii="Times New Roman" w:cs="Times New Roman" w:eastAsia="Times New Roman" w:hAnsi="Times New Roman"/>
          <w:sz w:val="15"/>
          <w:szCs w:val="15"/>
          <w:color w:val="auto"/>
        </w:rPr>
        <w:t>​ ​ Form of Indemnification Agreement, between the Registrant and each of its directors and​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 w:type="dxa"/>
            <w:vAlign w:val="bottom"/>
          </w:tcPr>
          <w:p>
            <w:pPr>
              <w:spacing w:after="0"/>
              <w:rPr>
                <w:sz w:val="15"/>
                <w:szCs w:val="15"/>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executive officers.</w:t>
            </w:r>
          </w:p>
        </w:tc>
        <w:tc>
          <w:tcPr>
            <w:tcW w:w="1160" w:type="dxa"/>
            <w:vAlign w:val="bottom"/>
          </w:tcPr>
          <w:p>
            <w:pPr>
              <w:spacing w:after="0"/>
              <w:rPr>
                <w:sz w:val="15"/>
                <w:szCs w:val="15"/>
                <w:color w:val="auto"/>
              </w:rPr>
            </w:pPr>
          </w:p>
        </w:tc>
      </w:tr>
      <w:tr>
        <w:trPr>
          <w:trHeight w:val="209"/>
        </w:trPr>
        <w:tc>
          <w:tcPr>
            <w:tcW w:w="5040" w:type="dxa"/>
            <w:vAlign w:val="bottom"/>
            <w:gridSpan w:val="4"/>
          </w:tcPr>
          <w:p>
            <w:pPr>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List of Subsidiaries of the Registrant.</w:t>
            </w:r>
          </w:p>
        </w:tc>
        <w:tc>
          <w:tcPr>
            <w:tcW w:w="1160" w:type="dxa"/>
            <w:vAlign w:val="bottom"/>
          </w:tcPr>
          <w:p>
            <w:pPr>
              <w:ind w:left="114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1"/>
        </w:trPr>
        <w:tc>
          <w:tcPr>
            <w:tcW w:w="5040" w:type="dxa"/>
            <w:vAlign w:val="bottom"/>
            <w:gridSpan w:val="4"/>
          </w:tcPr>
          <w:p>
            <w:pPr>
              <w:spacing w:after="0" w:line="201" w:lineRule="exact"/>
              <w:rPr>
                <w:sz w:val="20"/>
                <w:szCs w:val="20"/>
                <w:color w:val="auto"/>
              </w:rPr>
            </w:pPr>
            <w:r>
              <w:rPr>
                <w:rFonts w:ascii="Times New Roman" w:cs="Times New Roman" w:eastAsia="Times New Roman" w:hAnsi="Times New Roman"/>
                <w:sz w:val="23"/>
                <w:szCs w:val="23"/>
                <w:color w:val="000000"/>
                <w:vertAlign w:val="superscript"/>
              </w:rPr>
              <w:t>​ ​</w:t>
            </w:r>
            <w:r>
              <w:rPr>
                <w:rFonts w:ascii="Times New Roman" w:cs="Times New Roman" w:eastAsia="Times New Roman" w:hAnsi="Times New Roman"/>
                <w:sz w:val="13"/>
                <w:szCs w:val="13"/>
                <w:color w:val="0000EE"/>
              </w:rPr>
              <w:t xml:space="preserve"> Consent of Ernst &amp; Young LLP, independent registered public accounting firm.</w:t>
            </w:r>
          </w:p>
        </w:tc>
        <w:tc>
          <w:tcPr>
            <w:tcW w:w="1160" w:type="dxa"/>
            <w:vAlign w:val="bottom"/>
          </w:tcPr>
          <w:p>
            <w:pPr>
              <w:ind w:left="114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8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5"/>
                <w:szCs w:val="15"/>
                <w:color w:val="auto"/>
              </w:rPr>
              <w:t>Consent of Ropes &amp; Gray LLP (included in Exhibit 5.1).</w:t>
            </w:r>
          </w:p>
        </w:tc>
        <w:tc>
          <w:tcPr>
            <w:tcW w:w="1160" w:type="dxa"/>
            <w:vAlign w:val="bottom"/>
          </w:tcPr>
          <w:p>
            <w:pPr>
              <w:ind w:left="114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1"/>
        </w:trPr>
        <w:tc>
          <w:tcPr>
            <w:tcW w:w="5040" w:type="dxa"/>
            <w:vAlign w:val="bottom"/>
            <w:gridSpan w:val="4"/>
          </w:tcPr>
          <w:p>
            <w:pPr>
              <w:spacing w:after="0" w:line="201" w:lineRule="exact"/>
              <w:rPr>
                <w:sz w:val="20"/>
                <w:szCs w:val="20"/>
                <w:color w:val="auto"/>
              </w:rPr>
            </w:pPr>
            <w:r>
              <w:rPr>
                <w:rFonts w:ascii="Times New Roman" w:cs="Times New Roman" w:eastAsia="Times New Roman" w:hAnsi="Times New Roman"/>
                <w:sz w:val="23"/>
                <w:szCs w:val="23"/>
                <w:color w:val="000000"/>
                <w:vertAlign w:val="superscript"/>
              </w:rPr>
              <w:t>​ ​</w:t>
            </w:r>
            <w:r>
              <w:rPr>
                <w:rFonts w:ascii="Times New Roman" w:cs="Times New Roman" w:eastAsia="Times New Roman" w:hAnsi="Times New Roman"/>
                <w:sz w:val="13"/>
                <w:szCs w:val="13"/>
                <w:color w:val="0000EE"/>
              </w:rPr>
              <w:t xml:space="preserve"> Power of Attorney (included on signature page).</w:t>
            </w:r>
          </w:p>
        </w:tc>
        <w:tc>
          <w:tcPr>
            <w:tcW w:w="1160" w:type="dxa"/>
            <w:vAlign w:val="bottom"/>
          </w:tcPr>
          <w:p>
            <w:pPr>
              <w:ind w:left="114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0"/>
        </w:trPr>
        <w:tc>
          <w:tcPr>
            <w:tcW w:w="5040" w:type="dxa"/>
            <w:vAlign w:val="bottom"/>
            <w:gridSpan w:val="4"/>
          </w:tcPr>
          <w:p>
            <w:pPr>
              <w:spacing w:after="0" w:line="200" w:lineRule="exact"/>
              <w:rPr>
                <w:sz w:val="20"/>
                <w:szCs w:val="20"/>
                <w:color w:val="auto"/>
              </w:rPr>
            </w:pPr>
            <w:r>
              <w:rPr>
                <w:rFonts w:ascii="Times New Roman" w:cs="Times New Roman" w:eastAsia="Times New Roman" w:hAnsi="Times New Roman"/>
                <w:sz w:val="23"/>
                <w:szCs w:val="23"/>
                <w:color w:val="000000"/>
                <w:vertAlign w:val="superscript"/>
              </w:rPr>
              <w:t>​ ​</w:t>
            </w:r>
            <w:r>
              <w:rPr>
                <w:rFonts w:ascii="Times New Roman" w:cs="Times New Roman" w:eastAsia="Times New Roman" w:hAnsi="Times New Roman"/>
                <w:sz w:val="13"/>
                <w:szCs w:val="13"/>
                <w:color w:val="0000EE"/>
              </w:rPr>
              <w:t xml:space="preserve"> Filing Fee Table.</w:t>
            </w:r>
          </w:p>
        </w:tc>
        <w:tc>
          <w:tcPr>
            <w:tcW w:w="1160" w:type="dxa"/>
            <w:vAlign w:val="bottom"/>
          </w:tcPr>
          <w:p>
            <w:pPr>
              <w:ind w:left="114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89" w:lineRule="exact"/>
        <w:rPr>
          <w:sz w:val="20"/>
          <w:szCs w:val="20"/>
          <w:color w:val="auto"/>
        </w:rPr>
      </w:pPr>
    </w:p>
    <w:p>
      <w:pPr>
        <w:sectPr>
          <w:pgSz w:w="11900" w:h="16838" w:orient="portrait"/>
          <w:cols w:equalWidth="0" w:num="2">
            <w:col w:w="1580" w:space="80"/>
            <w:col w:w="7359"/>
          </w:cols>
          <w:pgMar w:left="1440" w:top="98" w:right="1440" w:bottom="1440" w:gutter="0" w:footer="0" w:header="0"/>
          <w:type w:val="continuous"/>
        </w:sectPr>
      </w:pPr>
    </w:p>
    <w:p>
      <w:pPr>
        <w:ind w:left="1460" w:hanging="296"/>
        <w:spacing w:after="0"/>
        <w:tabs>
          <w:tab w:leader="none" w:pos="146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filed by amendment.</w:t>
      </w:r>
    </w:p>
    <w:p>
      <w:pPr>
        <w:spacing w:after="0" w:line="49" w:lineRule="exact"/>
        <w:rPr>
          <w:sz w:val="20"/>
          <w:szCs w:val="20"/>
          <w:color w:val="auto"/>
        </w:rPr>
      </w:pPr>
    </w:p>
    <w:p>
      <w:pPr>
        <w:ind w:left="1460" w:hanging="296"/>
        <w:spacing w:after="0"/>
        <w:tabs>
          <w:tab w:leader="none" w:pos="146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Indicates management contract or compensatory plan.</w:t>
      </w:r>
    </w:p>
    <w:p>
      <w:pPr>
        <w:spacing w:after="0" w:line="60" w:lineRule="exact"/>
        <w:rPr>
          <w:sz w:val="20"/>
          <w:szCs w:val="20"/>
          <w:color w:val="auto"/>
        </w:rPr>
      </w:pPr>
    </w:p>
    <w:p>
      <w:pPr>
        <w:ind w:left="1460" w:right="1179" w:hanging="296"/>
        <w:spacing w:after="0" w:line="250" w:lineRule="auto"/>
        <w:tabs>
          <w:tab w:leader="none" w:pos="1460"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Portions of this exhibit (indicated by asterisks) have been redacted pursuant to Item 601 of Regulation S-K because they are both not material and the registrant customarily and actually treats such information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73" w:name="page274"/>
    <w:bookmarkEnd w:id="273"/>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as amended, the registrant has duly caused this registration statement to be signed on its behalf by the undersigned, thereunto duly authorized, in the City of Waltham, Massachusetts, on the 22nd day of August, 2024.</w:t>
      </w:r>
    </w:p>
    <w:p>
      <w:pPr>
        <w:spacing w:after="0" w:line="9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14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By: /s/ Leon O. Moulder,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39370</wp:posOffset>
            </wp:positionV>
            <wp:extent cx="1820545" cy="69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820545" cy="6985"/>
                    </a:xfrm>
                    <a:prstGeom prst="rect">
                      <a:avLst/>
                    </a:prstGeom>
                    <a:noFill/>
                  </pic:spPr>
                </pic:pic>
              </a:graphicData>
            </a:graphic>
          </wp:anchor>
        </w:drawing>
      </w:r>
    </w:p>
    <w:p>
      <w:pPr>
        <w:spacing w:after="0" w:line="6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5"/>
          <w:szCs w:val="15"/>
          <w:color w:val="auto"/>
        </w:rPr>
        <w:t>Leon O. Moulder, Jr.</w:t>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5"/>
          <w:szCs w:val="15"/>
          <w:color w:val="auto"/>
        </w:rPr>
        <w:t>Chief Executive Officer</w:t>
      </w:r>
    </w:p>
    <w:p>
      <w:pPr>
        <w:spacing w:after="0" w:line="5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KNOW ALL PERSONS BY THESE PRESENTS, that each person whose signature appears below constitutes and appoints Leon O. Moulder, Jr. and Joseph Farmer, and each of them singly, our true and lawful attorneys, with full power to them, and to each of them singly, to sign for us and in our names in the capacities indicated below, the registration statement on Form S-1 filed herewith, and any and all pre-effective and post-effective amendments to said registration statement, and any registration statement filed pursuant to Rule 462(b) under the Securities Act of 1933, as amended, in connection with the registration under the Securities Act of 1933, as amended, of equity securities of the Company,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273"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as amended, this registration statement has been signed by the following persons in the capacities and on the dates indicated:</w:t>
      </w:r>
    </w:p>
    <w:p>
      <w:pPr>
        <w:jc w:val="both"/>
        <w:ind w:left="1160"/>
        <w:spacing w:after="0"/>
        <w:tabs>
          <w:tab w:leader="none" w:pos="1980" w:val="left"/>
          <w:tab w:leader="none" w:pos="3300" w:val="left"/>
          <w:tab w:leader="none" w:pos="4720" w:val="left"/>
          <w:tab w:leader="none" w:pos="6300" w:val="left"/>
          <w:tab w:leader="none" w:pos="7020" w:val="left"/>
          <w:tab w:leader="none" w:pos="7820" w:val="left"/>
        </w:tabs>
        <w:rPr>
          <w:sz w:val="20"/>
          <w:szCs w:val="20"/>
          <w:color w:val="auto"/>
        </w:rPr>
      </w:pPr>
      <w:r>
        <w:rPr>
          <w:rFonts w:ascii="Times New Roman" w:cs="Times New Roman" w:eastAsia="Times New Roman" w:hAnsi="Times New Roman"/>
          <w:sz w:val="17"/>
          <w:szCs w:val="17"/>
          <w:b w:val="1"/>
          <w:bCs w:val="1"/>
          <w:color w:val="auto"/>
          <w:vertAlign w:val="subscript"/>
        </w:rPr>
        <w:t>​</w:t>
      </w:r>
      <w:r>
        <w:rPr>
          <w:sz w:val="20"/>
          <w:szCs w:val="20"/>
          <w:color w:val="auto"/>
        </w:rPr>
        <w:tab/>
      </w:r>
      <w:r>
        <w:rPr>
          <w:rFonts w:ascii="Times New Roman" w:cs="Times New Roman" w:eastAsia="Times New Roman" w:hAnsi="Times New Roman"/>
          <w:sz w:val="9"/>
          <w:szCs w:val="9"/>
          <w:b w:val="1"/>
          <w:bCs w:val="1"/>
          <w:color w:val="auto"/>
        </w:rPr>
        <w:t>Signature</w:t>
      </w:r>
      <w:r>
        <w:rPr>
          <w:sz w:val="20"/>
          <w:szCs w:val="20"/>
          <w:color w:val="auto"/>
        </w:rPr>
        <w:tab/>
      </w:r>
      <w:r>
        <w:rPr>
          <w:rFonts w:ascii="Times New Roman" w:cs="Times New Roman" w:eastAsia="Times New Roman" w:hAnsi="Times New Roman"/>
          <w:sz w:val="23"/>
          <w:szCs w:val="23"/>
          <w:b w:val="1"/>
          <w:bCs w:val="1"/>
          <w:color w:val="auto"/>
          <w:vertAlign w:val="subscript"/>
        </w:rPr>
        <w:t>​ ​</w:t>
      </w:r>
      <w:r>
        <w:rPr>
          <w:sz w:val="20"/>
          <w:szCs w:val="20"/>
          <w:color w:val="auto"/>
        </w:rPr>
        <w:tab/>
      </w:r>
      <w:r>
        <w:rPr>
          <w:rFonts w:ascii="Times New Roman" w:cs="Times New Roman" w:eastAsia="Times New Roman" w:hAnsi="Times New Roman"/>
          <w:sz w:val="12"/>
          <w:szCs w:val="12"/>
          <w:b w:val="1"/>
          <w:bCs w:val="1"/>
          <w:color w:val="auto"/>
        </w:rPr>
        <w:t>Title</w:t>
      </w:r>
      <w:r>
        <w:rPr>
          <w:sz w:val="20"/>
          <w:szCs w:val="20"/>
          <w:color w:val="auto"/>
        </w:rPr>
        <w:tab/>
      </w:r>
      <w:r>
        <w:rPr>
          <w:rFonts w:ascii="Times New Roman" w:cs="Times New Roman" w:eastAsia="Times New Roman" w:hAnsi="Times New Roman"/>
          <w:sz w:val="23"/>
          <w:szCs w:val="23"/>
          <w:b w:val="1"/>
          <w:bCs w:val="1"/>
          <w:color w:val="auto"/>
          <w:vertAlign w:val="subscript"/>
        </w:rPr>
        <w:t>​ ​</w:t>
      </w:r>
      <w:r>
        <w:rPr>
          <w:sz w:val="20"/>
          <w:szCs w:val="20"/>
          <w:color w:val="auto"/>
        </w:rPr>
        <w:tab/>
      </w:r>
      <w:r>
        <w:rPr>
          <w:rFonts w:ascii="Times New Roman" w:cs="Times New Roman" w:eastAsia="Times New Roman" w:hAnsi="Times New Roman"/>
          <w:sz w:val="12"/>
          <w:szCs w:val="12"/>
          <w:b w:val="1"/>
          <w:bCs w:val="1"/>
          <w:color w:val="auto"/>
        </w:rPr>
        <w:t>Date</w:t>
      </w:r>
      <w:r>
        <w:rPr>
          <w:sz w:val="20"/>
          <w:szCs w:val="20"/>
          <w:color w:val="auto"/>
        </w:rPr>
        <w:tab/>
      </w:r>
      <w:r>
        <w:rPr>
          <w:rFonts w:ascii="Times New Roman" w:cs="Times New Roman" w:eastAsia="Times New Roman" w:hAnsi="Times New Roman"/>
          <w:sz w:val="23"/>
          <w:szCs w:val="2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27305</wp:posOffset>
            </wp:positionV>
            <wp:extent cx="4241800" cy="69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 Leon O. Moulder,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32385</wp:posOffset>
            </wp:positionV>
            <wp:extent cx="1339215"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339215" cy="6985"/>
                    </a:xfrm>
                    <a:prstGeom prst="rect">
                      <a:avLst/>
                    </a:prstGeom>
                    <a:noFill/>
                  </pic:spPr>
                </pic:pic>
              </a:graphicData>
            </a:graphic>
          </wp:anchor>
        </w:drawing>
      </w:r>
    </w:p>
    <w:p>
      <w:pPr>
        <w:spacing w:after="0" w:line="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Leon O. Moulder, Jr.</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/s/ Jennifer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-22860</wp:posOffset>
            </wp:positionV>
            <wp:extent cx="1339215" cy="69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339215" cy="6985"/>
                    </a:xfrm>
                    <a:prstGeom prst="rect">
                      <a:avLst/>
                    </a:prstGeom>
                    <a:noFill/>
                  </pic:spPr>
                </pic:pic>
              </a:graphicData>
            </a:graphic>
          </wp:anchor>
        </w:drawing>
      </w:r>
    </w:p>
    <w:p>
      <w:pPr>
        <w:ind w:left="1180"/>
        <w:spacing w:after="0"/>
        <w:rPr>
          <w:sz w:val="20"/>
          <w:szCs w:val="20"/>
          <w:color w:val="auto"/>
        </w:rPr>
      </w:pPr>
      <w:r>
        <w:rPr>
          <w:rFonts w:ascii="Times New Roman" w:cs="Times New Roman" w:eastAsia="Times New Roman" w:hAnsi="Times New Roman"/>
          <w:sz w:val="15"/>
          <w:szCs w:val="15"/>
          <w:color w:val="auto"/>
        </w:rPr>
        <w:t>Jennifer Fox</w:t>
      </w:r>
    </w:p>
    <w:p>
      <w:pPr>
        <w:spacing w:after="0" w:line="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 Patricia Allen</w:t>
      </w:r>
    </w:p>
    <w:p>
      <w:pPr>
        <w:ind w:left="1160"/>
        <w:spacing w:after="0" w:line="198" w:lineRule="auto"/>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-27940</wp:posOffset>
            </wp:positionV>
            <wp:extent cx="1339215" cy="69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339215" cy="698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color w:val="auto"/>
        </w:rPr>
        <w:t>Patricia Allen</w:t>
      </w:r>
    </w:p>
    <w:p>
      <w:pPr>
        <w:ind w:left="1160"/>
        <w:spacing w:after="0" w:line="203" w:lineRule="auto"/>
        <w:rPr>
          <w:sz w:val="20"/>
          <w:szCs w:val="20"/>
          <w:color w:val="auto"/>
        </w:rPr>
      </w:pPr>
      <w:r>
        <w:rPr>
          <w:rFonts w:ascii="Times New Roman" w:cs="Times New Roman" w:eastAsia="Times New Roman" w:hAnsi="Times New Roman"/>
          <w:sz w:val="15"/>
          <w:szCs w:val="15"/>
          <w:color w:val="auto"/>
        </w:rPr>
        <w:t>/s/ James Boylan</w:t>
      </w:r>
    </w:p>
    <w:p>
      <w:pPr>
        <w:ind w:left="1160"/>
        <w:spacing w:after="0" w:line="199" w:lineRule="auto"/>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-27940</wp:posOffset>
            </wp:positionV>
            <wp:extent cx="1339215"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339215" cy="698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color w:val="auto"/>
        </w:rPr>
        <w:t>James Boylan</w:t>
      </w:r>
    </w:p>
    <w:p>
      <w:pPr>
        <w:ind w:left="1160"/>
        <w:spacing w:after="0" w:line="203" w:lineRule="auto"/>
        <w:rPr>
          <w:sz w:val="20"/>
          <w:szCs w:val="20"/>
          <w:color w:val="auto"/>
        </w:rPr>
      </w:pPr>
      <w:r>
        <w:rPr>
          <w:rFonts w:ascii="Times New Roman" w:cs="Times New Roman" w:eastAsia="Times New Roman" w:hAnsi="Times New Roman"/>
          <w:sz w:val="15"/>
          <w:szCs w:val="15"/>
          <w:color w:val="auto"/>
        </w:rPr>
        <w:t>/s/ Patrick Enright</w:t>
      </w:r>
    </w:p>
    <w:p>
      <w:pPr>
        <w:ind w:left="1160"/>
        <w:spacing w:after="0" w:line="199" w:lineRule="auto"/>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-27940</wp:posOffset>
            </wp:positionV>
            <wp:extent cx="1339215" cy="69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339215" cy="698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color w:val="auto"/>
        </w:rPr>
        <w:t>Patrick Enright</w:t>
      </w:r>
    </w:p>
    <w:p>
      <w:pPr>
        <w:ind w:left="1160"/>
        <w:spacing w:after="0" w:line="203" w:lineRule="auto"/>
        <w:rPr>
          <w:sz w:val="20"/>
          <w:szCs w:val="20"/>
          <w:color w:val="auto"/>
        </w:rPr>
      </w:pPr>
      <w:r>
        <w:rPr>
          <w:rFonts w:ascii="Times New Roman" w:cs="Times New Roman" w:eastAsia="Times New Roman" w:hAnsi="Times New Roman"/>
          <w:sz w:val="15"/>
          <w:szCs w:val="15"/>
          <w:color w:val="auto"/>
        </w:rPr>
        <w:t>/s/ Tomas Kiselak</w:t>
      </w:r>
    </w:p>
    <w:p>
      <w:pPr>
        <w:ind w:left="1160"/>
        <w:spacing w:after="0" w:line="199" w:lineRule="auto"/>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-27940</wp:posOffset>
            </wp:positionV>
            <wp:extent cx="1339215"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339215" cy="698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color w:val="auto"/>
        </w:rPr>
        <w:t>Tomas Kiselak</w:t>
      </w:r>
    </w:p>
    <w:p>
      <w:pPr>
        <w:ind w:left="1160"/>
        <w:spacing w:after="0" w:line="203" w:lineRule="auto"/>
        <w:rPr>
          <w:sz w:val="20"/>
          <w:szCs w:val="20"/>
          <w:color w:val="auto"/>
        </w:rPr>
      </w:pPr>
      <w:r>
        <w:rPr>
          <w:rFonts w:ascii="Times New Roman" w:cs="Times New Roman" w:eastAsia="Times New Roman" w:hAnsi="Times New Roman"/>
          <w:sz w:val="15"/>
          <w:szCs w:val="15"/>
          <w:color w:val="auto"/>
        </w:rPr>
        <w:t>/s/ Hongbo Lu, Ph.D.</w:t>
      </w:r>
    </w:p>
    <w:p>
      <w:pPr>
        <w:ind w:left="1160"/>
        <w:spacing w:after="0" w:line="199" w:lineRule="auto"/>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-27940</wp:posOffset>
            </wp:positionV>
            <wp:extent cx="1339215"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339215" cy="698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color w:val="auto"/>
        </w:rPr>
        <w:t>Hongbo Lu, Ph.D.</w:t>
      </w:r>
    </w:p>
    <w:p>
      <w:pPr>
        <w:ind w:left="1160"/>
        <w:spacing w:after="0" w:line="203" w:lineRule="auto"/>
        <w:rPr>
          <w:sz w:val="20"/>
          <w:szCs w:val="20"/>
          <w:color w:val="auto"/>
        </w:rPr>
      </w:pPr>
      <w:r>
        <w:rPr>
          <w:rFonts w:ascii="Times New Roman" w:cs="Times New Roman" w:eastAsia="Times New Roman" w:hAnsi="Times New Roman"/>
          <w:sz w:val="15"/>
          <w:szCs w:val="15"/>
          <w:color w:val="auto"/>
        </w:rPr>
        <w:t>/s/ Jake Nunn</w:t>
      </w:r>
    </w:p>
    <w:p>
      <w:pPr>
        <w:ind w:left="1160"/>
        <w:spacing w:after="0" w:line="199" w:lineRule="auto"/>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-27940</wp:posOffset>
            </wp:positionV>
            <wp:extent cx="1339215"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339215" cy="698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color w:val="auto"/>
        </w:rPr>
        <w:t>Jake Nunn</w:t>
      </w:r>
    </w:p>
    <w:p>
      <w:pPr>
        <w:ind w:left="1160"/>
        <w:spacing w:after="0" w:line="203" w:lineRule="auto"/>
        <w:rPr>
          <w:sz w:val="20"/>
          <w:szCs w:val="20"/>
          <w:color w:val="auto"/>
        </w:rPr>
      </w:pPr>
      <w:r>
        <w:rPr>
          <w:rFonts w:ascii="Times New Roman" w:cs="Times New Roman" w:eastAsia="Times New Roman" w:hAnsi="Times New Roman"/>
          <w:sz w:val="15"/>
          <w:szCs w:val="15"/>
          <w:color w:val="auto"/>
        </w:rPr>
        <w:t>/s/ John Orloff, M.D.</w:t>
      </w:r>
    </w:p>
    <w:p>
      <w:pPr>
        <w:ind w:left="1160"/>
        <w:spacing w:after="0" w:line="199" w:lineRule="auto"/>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-27940</wp:posOffset>
            </wp:positionV>
            <wp:extent cx="1339215"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339215" cy="698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color w:val="auto"/>
        </w:rPr>
        <w:t>John Orloff, M.D.</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 Ting Xiao</w:t>
      </w:r>
    </w:p>
    <w:p>
      <w:pPr>
        <w:ind w:left="1160"/>
        <w:spacing w:after="0" w:line="191" w:lineRule="auto"/>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-27940</wp:posOffset>
            </wp:positionV>
            <wp:extent cx="1339215" cy="69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339215" cy="698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color w:val="auto"/>
        </w:rPr>
        <w:t>Ting Xiao</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Chief Executive Officer and Director</w:t>
            </w:r>
          </w:p>
        </w:tc>
        <w:tc>
          <w:tcPr>
            <w:tcW w:w="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20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August 22, 2024</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05"/>
        </w:trPr>
        <w:tc>
          <w:tcPr>
            <w:tcW w:w="120" w:type="dxa"/>
            <w:vAlign w:val="bottom"/>
          </w:tcPr>
          <w:p>
            <w:pPr>
              <w:spacing w:after="0"/>
              <w:rPr>
                <w:sz w:val="9"/>
                <w:szCs w:val="9"/>
                <w:color w:val="auto"/>
              </w:rPr>
            </w:pP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Principal Executive Officer</w:t>
            </w:r>
            <w:r>
              <w:rPr>
                <w:rFonts w:ascii="Times New Roman" w:cs="Times New Roman" w:eastAsia="Times New Roman" w:hAnsi="Times New Roman"/>
                <w:sz w:val="15"/>
                <w:szCs w:val="15"/>
                <w:color w:val="auto"/>
              </w:rPr>
              <w:t>)</w:t>
            </w:r>
          </w:p>
        </w:tc>
        <w:tc>
          <w:tcPr>
            <w:tcW w:w="2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20" w:type="dxa"/>
            <w:vAlign w:val="bottom"/>
          </w:tcPr>
          <w:p>
            <w:pPr>
              <w:spacing w:after="0"/>
              <w:rPr>
                <w:sz w:val="7"/>
                <w:szCs w:val="7"/>
                <w:color w:val="auto"/>
              </w:rPr>
            </w:pPr>
          </w:p>
        </w:tc>
        <w:tc>
          <w:tcPr>
            <w:tcW w:w="28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2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Chief Business Officer and Chief</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20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August 22, 2024</w:t>
            </w:r>
          </w:p>
        </w:tc>
        <w:tc>
          <w:tcPr>
            <w:tcW w:w="1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120" w:type="dxa"/>
            <w:vAlign w:val="bottom"/>
            <w:vMerge w:val="continue"/>
          </w:tcPr>
          <w:p>
            <w:pPr>
              <w:spacing w:after="0"/>
              <w:rPr>
                <w:sz w:val="15"/>
                <w:szCs w:val="15"/>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Financial Officer</w:t>
            </w:r>
          </w:p>
        </w:tc>
        <w:tc>
          <w:tcPr>
            <w:tcW w:w="2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Principal Financial and Accounting Officer</w:t>
            </w: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8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August 22, 2024</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61"/>
        </w:trPr>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8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August 22, 2024</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61"/>
        </w:trPr>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8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August 22, 2024</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61"/>
        </w:trPr>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8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August 22, 2024</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61"/>
        </w:trPr>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8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August 22, 2024</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61"/>
        </w:trPr>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8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August 22, 2024</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61"/>
        </w:trPr>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8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August 22, 2024</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94"/>
        </w:trPr>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8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August 22, 2024</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307" w:lineRule="exact"/>
        <w:rPr>
          <w:sz w:val="20"/>
          <w:szCs w:val="20"/>
          <w:color w:val="auto"/>
        </w:rPr>
      </w:pPr>
    </w:p>
    <w:p>
      <w:pPr>
        <w:sectPr>
          <w:pgSz w:w="11900" w:h="16838" w:orient="portrait"/>
          <w:cols w:equalWidth="0" w:num="2">
            <w:col w:w="2620" w:space="700"/>
            <w:col w:w="5699"/>
          </w:cols>
          <w:pgMar w:left="1440" w:top="98" w:right="1440" w:bottom="1440" w:gutter="0" w:footer="0" w:header="0"/>
          <w:type w:val="continuous"/>
        </w:sect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74" w:name="page275"/>
    <w:bookmarkEnd w:id="274"/>
    <w:p>
      <w:pPr>
        <w:ind w:left="10520"/>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191"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15"/>
          <w:szCs w:val="15"/>
          <w:b w:val="1"/>
          <w:bCs w:val="1"/>
          <w:color w:val="auto"/>
        </w:rPr>
        <w:t>CERTAIN INFORMATION IDENTIFIED WITH [***] HAS BEEN EXCLUDED FROM THIS EXHIBIT BECAUSE IT IS (1) NOT MATERIAL AND (II) OF THE TYPE THAT THE REGISTRANT TREATS AS PRIVATE OR CONFIDENTIAL.</w:t>
      </w:r>
    </w:p>
    <w:p>
      <w:pPr>
        <w:spacing w:after="0" w:line="1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Execution Version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LICENSE AGREEMENT</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THIS LICENSE AGREEMENT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is made and entered into on September 23, 2020 (the “</w:t>
      </w:r>
      <w:r>
        <w:rPr>
          <w:rFonts w:ascii="Times New Roman" w:cs="Times New Roman" w:eastAsia="Times New Roman" w:hAnsi="Times New Roman"/>
          <w:sz w:val="15"/>
          <w:szCs w:val="15"/>
          <w:u w:val="single" w:color="auto"/>
          <w:color w:val="auto"/>
        </w:rPr>
        <w:t>Execution Date</w:t>
      </w:r>
      <w:r>
        <w:rPr>
          <w:rFonts w:ascii="Times New Roman" w:cs="Times New Roman" w:eastAsia="Times New Roman" w:hAnsi="Times New Roman"/>
          <w:sz w:val="15"/>
          <w:szCs w:val="15"/>
          <w:color w:val="auto"/>
        </w:rPr>
        <w:t>”), by and among:</w:t>
      </w:r>
    </w:p>
    <w:p>
      <w:pPr>
        <w:spacing w:after="0" w:line="179" w:lineRule="exact"/>
        <w:rPr>
          <w:sz w:val="20"/>
          <w:szCs w:val="20"/>
          <w:color w:val="auto"/>
        </w:rPr>
      </w:pPr>
    </w:p>
    <w:p>
      <w:pPr>
        <w:ind w:left="540" w:hanging="532"/>
        <w:spacing w:after="0"/>
        <w:tabs>
          <w:tab w:leader="none" w:pos="54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Xencor, Inc., a corporation organized and existing under the laws of the State of Delaware (“</w:t>
      </w:r>
      <w:r>
        <w:rPr>
          <w:rFonts w:ascii="Times New Roman" w:cs="Times New Roman" w:eastAsia="Times New Roman" w:hAnsi="Times New Roman"/>
          <w:sz w:val="15"/>
          <w:szCs w:val="15"/>
          <w:u w:val="single" w:color="auto"/>
          <w:color w:val="auto"/>
        </w:rPr>
        <w:t>XENCOR</w:t>
      </w:r>
      <w:r>
        <w:rPr>
          <w:rFonts w:ascii="Times New Roman" w:cs="Times New Roman" w:eastAsia="Times New Roman" w:hAnsi="Times New Roman"/>
          <w:sz w:val="15"/>
          <w:szCs w:val="15"/>
          <w:color w:val="auto"/>
        </w:rPr>
        <w:t>”) and</w:t>
      </w:r>
    </w:p>
    <w:p>
      <w:pPr>
        <w:spacing w:after="0" w:line="179" w:lineRule="exact"/>
        <w:rPr>
          <w:rFonts w:ascii="Times New Roman" w:cs="Times New Roman" w:eastAsia="Times New Roman" w:hAnsi="Times New Roman"/>
          <w:sz w:val="15"/>
          <w:szCs w:val="15"/>
          <w:color w:val="auto"/>
        </w:rPr>
      </w:pPr>
    </w:p>
    <w:p>
      <w:pPr>
        <w:ind w:left="540" w:right="3460" w:hanging="532"/>
        <w:spacing w:after="0" w:line="522" w:lineRule="auto"/>
        <w:tabs>
          <w:tab w:leader="none" w:pos="54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Zenas BioPharma (Cayman) Limited, an exempted company organized under the Laws of the Cayman Islands (“</w:t>
      </w:r>
      <w:r>
        <w:rPr>
          <w:rFonts w:ascii="Times New Roman" w:cs="Times New Roman" w:eastAsia="Times New Roman" w:hAnsi="Times New Roman"/>
          <w:sz w:val="14"/>
          <w:szCs w:val="14"/>
          <w:u w:val="single" w:color="auto"/>
          <w:color w:val="auto"/>
        </w:rPr>
        <w:t>Licensee</w:t>
      </w:r>
      <w:r>
        <w:rPr>
          <w:rFonts w:ascii="Times New Roman" w:cs="Times New Roman" w:eastAsia="Times New Roman" w:hAnsi="Times New Roman"/>
          <w:sz w:val="14"/>
          <w:szCs w:val="14"/>
          <w:color w:val="auto"/>
        </w:rPr>
        <w:t>”). XENCOR and Licensee may each be referred to herein individually as a “</w:t>
      </w: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color w:val="auto"/>
        </w:rPr>
        <w:t>” and collectively as the “</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181" w:lineRule="exact"/>
        <w:rPr>
          <w:sz w:val="20"/>
          <w:szCs w:val="20"/>
          <w:color w:val="auto"/>
        </w:rPr>
      </w:pPr>
    </w:p>
    <w:p>
      <w:pPr>
        <w:ind w:left="540" w:hanging="532"/>
        <w:spacing w:after="0" w:line="269" w:lineRule="auto"/>
        <w:tabs>
          <w:tab w:leader="none" w:pos="54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XENCOR owns or otherwise controls certain patents, patent applications, technology, know-how, scientific and technical information and other proprietary rights and information relating to the research, development and manufacture of the Licensed Assets (as defined below);</w:t>
      </w:r>
    </w:p>
    <w:p>
      <w:pPr>
        <w:spacing w:after="0" w:line="140" w:lineRule="exact"/>
        <w:rPr>
          <w:rFonts w:ascii="Times New Roman" w:cs="Times New Roman" w:eastAsia="Times New Roman" w:hAnsi="Times New Roman"/>
          <w:sz w:val="15"/>
          <w:szCs w:val="15"/>
          <w:color w:val="auto"/>
        </w:rPr>
      </w:pPr>
    </w:p>
    <w:p>
      <w:pPr>
        <w:ind w:left="540" w:hanging="532"/>
        <w:spacing w:after="0" w:line="269" w:lineRule="auto"/>
        <w:tabs>
          <w:tab w:leader="none" w:pos="54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Licensee was established by Tellus BioVentures, LLC and Fairmount Funds Management LLC to develop, manufacture and commercialize assets and products, including the Licensed Assets (as defined below) and Products (as defined below) in the Field (as defined below) in the Licensed Territory (as defined below); and</w:t>
      </w:r>
    </w:p>
    <w:p>
      <w:pPr>
        <w:spacing w:after="0" w:line="140" w:lineRule="exact"/>
        <w:rPr>
          <w:rFonts w:ascii="Times New Roman" w:cs="Times New Roman" w:eastAsia="Times New Roman" w:hAnsi="Times New Roman"/>
          <w:sz w:val="15"/>
          <w:szCs w:val="15"/>
          <w:color w:val="auto"/>
        </w:rPr>
      </w:pPr>
    </w:p>
    <w:p>
      <w:pPr>
        <w:ind w:left="540" w:hanging="532"/>
        <w:spacing w:after="0" w:line="269" w:lineRule="auto"/>
        <w:tabs>
          <w:tab w:leader="none" w:pos="54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terms and conditions of this Agreement, XENCOR wishes to grant to Licensee, and Licensee wishes to receive from XENCOR, an exclusive license to develop, manufacture and commercialize the Licensed Assets and Products in the Field in the Licensed Territory.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WITNESSETH</w:t>
      </w:r>
    </w:p>
    <w:p>
      <w:pPr>
        <w:spacing w:after="0" w:line="181" w:lineRule="exact"/>
        <w:rPr>
          <w:sz w:val="20"/>
          <w:szCs w:val="20"/>
          <w:color w:val="auto"/>
        </w:rPr>
      </w:pPr>
    </w:p>
    <w:p>
      <w:pPr>
        <w:ind w:firstLine="527"/>
        <w:spacing w:after="0" w:line="269" w:lineRule="auto"/>
        <w:rPr>
          <w:sz w:val="20"/>
          <w:szCs w:val="20"/>
          <w:color w:val="auto"/>
        </w:rPr>
      </w:pPr>
      <w:r>
        <w:rPr>
          <w:rFonts w:ascii="Times New Roman" w:cs="Times New Roman" w:eastAsia="Times New Roman" w:hAnsi="Times New Roman"/>
          <w:sz w:val="15"/>
          <w:szCs w:val="15"/>
          <w:color w:val="auto"/>
        </w:rPr>
        <w:t>NOW, THEREFORE, in consideration of the foregoing recitals, the mutual promises hereinafter set forth, and other good and valuable consideration, the receipt and sufficiency of which are hereby acknowledged, the Parties intending to be legally bound hereto hereby agree as follows:</w:t>
      </w:r>
    </w:p>
    <w:p>
      <w:pPr>
        <w:spacing w:after="0" w:line="139" w:lineRule="exact"/>
        <w:rPr>
          <w:sz w:val="20"/>
          <w:szCs w:val="20"/>
          <w:color w:val="auto"/>
        </w:rPr>
      </w:pPr>
    </w:p>
    <w:p>
      <w:pPr>
        <w:ind w:left="540" w:hanging="532"/>
        <w:spacing w:after="0"/>
        <w:tabs>
          <w:tab w:leader="none" w:pos="540" w:val="left"/>
        </w:tabs>
        <w:numPr>
          <w:ilvl w:val="0"/>
          <w:numId w:val="1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Definitions and Interpretation</w:t>
      </w:r>
      <w:r>
        <w:rPr>
          <w:rFonts w:ascii="Times New Roman" w:cs="Times New Roman" w:eastAsia="Times New Roman" w:hAnsi="Times New Roman"/>
          <w:sz w:val="15"/>
          <w:szCs w:val="15"/>
          <w:color w:val="auto"/>
        </w:rPr>
        <w:t>.</w:t>
      </w:r>
    </w:p>
    <w:p>
      <w:pPr>
        <w:spacing w:after="0" w:line="181" w:lineRule="exact"/>
        <w:rPr>
          <w:rFonts w:ascii="Times New Roman" w:cs="Times New Roman" w:eastAsia="Times New Roman" w:hAnsi="Times New Roman"/>
          <w:sz w:val="15"/>
          <w:szCs w:val="15"/>
          <w:b w:val="1"/>
          <w:bCs w:val="1"/>
          <w:color w:val="auto"/>
        </w:rPr>
      </w:pPr>
    </w:p>
    <w:p>
      <w:pPr>
        <w:ind w:left="54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following terms shall have the meanings ascribed to them below:</w:t>
      </w:r>
    </w:p>
    <w:p>
      <w:pPr>
        <w:spacing w:after="0" w:line="179" w:lineRule="exact"/>
        <w:rPr>
          <w:sz w:val="20"/>
          <w:szCs w:val="20"/>
          <w:color w:val="auto"/>
        </w:rPr>
      </w:pPr>
    </w:p>
    <w:p>
      <w:pPr>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Accounting Standard</w:t>
      </w:r>
      <w:r>
        <w:rPr>
          <w:rFonts w:ascii="Times New Roman" w:cs="Times New Roman" w:eastAsia="Times New Roman" w:hAnsi="Times New Roman"/>
          <w:sz w:val="15"/>
          <w:szCs w:val="15"/>
          <w:color w:val="auto"/>
        </w:rPr>
        <w:t>” means United States generally accepted accounting principles or International Financial Reporting Standards, as consistently applied by Licensee, its Affiliates or Sublicensees.</w:t>
      </w:r>
    </w:p>
    <w:p>
      <w:pPr>
        <w:spacing w:after="0" w:line="141" w:lineRule="exact"/>
        <w:rPr>
          <w:sz w:val="20"/>
          <w:szCs w:val="20"/>
          <w:color w:val="auto"/>
        </w:rPr>
      </w:pPr>
    </w:p>
    <w:p>
      <w:pPr>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Active Ingredient</w:t>
      </w:r>
      <w:r>
        <w:rPr>
          <w:rFonts w:ascii="Times New Roman" w:cs="Times New Roman" w:eastAsia="Times New Roman" w:hAnsi="Times New Roman"/>
          <w:sz w:val="15"/>
          <w:szCs w:val="15"/>
          <w:color w:val="auto"/>
        </w:rPr>
        <w:t>” means the clinically active material(s) that provide pharmacological activity in a pharmaceutical product (excluding, for the avoidance of doubt, formulation components such as coatings, stabilizers, excipients or solvents, adjuvants or controlled release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57720"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5" w:name="page276"/>
    <w:bookmarkEnd w:id="275"/>
    <w:p>
      <w:pPr>
        <w:jc w:val="both"/>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1.3</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Adverse Event</w:t>
      </w:r>
      <w:r>
        <w:rPr>
          <w:rFonts w:ascii="Times New Roman" w:cs="Times New Roman" w:eastAsia="Times New Roman" w:hAnsi="Times New Roman"/>
          <w:sz w:val="15"/>
          <w:szCs w:val="15"/>
          <w:color w:val="auto"/>
        </w:rPr>
        <w:t>” means any adverse medical occurrence in a patient or clinical investigation subject that is administered a Product, as designated in any Applicable Laws and that is required to be reported to a Regulatory Authority.</w:t>
      </w:r>
    </w:p>
    <w:p>
      <w:pPr>
        <w:spacing w:after="0" w:line="141" w:lineRule="exact"/>
        <w:rPr>
          <w:sz w:val="20"/>
          <w:szCs w:val="20"/>
          <w:color w:val="auto"/>
        </w:rPr>
      </w:pPr>
    </w:p>
    <w:p>
      <w:pPr>
        <w:jc w:val="both"/>
        <w:ind w:left="540" w:hanging="526"/>
        <w:spacing w:after="0" w:line="252" w:lineRule="auto"/>
        <w:tabs>
          <w:tab w:leader="none" w:pos="520" w:val="left"/>
        </w:tabs>
        <w:rPr>
          <w:sz w:val="20"/>
          <w:szCs w:val="20"/>
          <w:color w:val="auto"/>
        </w:rPr>
      </w:pPr>
      <w:r>
        <w:rPr>
          <w:rFonts w:ascii="Times New Roman" w:cs="Times New Roman" w:eastAsia="Times New Roman" w:hAnsi="Times New Roman"/>
          <w:sz w:val="15"/>
          <w:szCs w:val="15"/>
          <w:color w:val="auto"/>
        </w:rPr>
        <w:t>1.4</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Affiliate(s)</w:t>
      </w:r>
      <w:r>
        <w:rPr>
          <w:rFonts w:ascii="Times New Roman" w:cs="Times New Roman" w:eastAsia="Times New Roman" w:hAnsi="Times New Roman"/>
          <w:sz w:val="15"/>
          <w:szCs w:val="15"/>
          <w:color w:val="auto"/>
        </w:rPr>
        <w:t>” means, with respect to any specified Person, any other Person that controls, is controlled by, or is under common control with such first Person. For purposes of this definition only, “control” means (a) to possess, directly or indirectly, the power to direct or cause the direction of the management or policies of a Person, whether through ownership of voting securities or by contract relating to voting rights or corporate governance; or (b) to own, directly or indirectly, more than fifty percent (50%) of the outstanding voting securities or other ownership interests of such Person.</w:t>
      </w:r>
    </w:p>
    <w:p>
      <w:pPr>
        <w:spacing w:after="0" w:line="154" w:lineRule="exact"/>
        <w:rPr>
          <w:sz w:val="20"/>
          <w:szCs w:val="20"/>
          <w:color w:val="auto"/>
        </w:rPr>
      </w:pPr>
    </w:p>
    <w:p>
      <w:pPr>
        <w:jc w:val="both"/>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1.5</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Anti-Corruption Laws</w:t>
      </w:r>
      <w:r>
        <w:rPr>
          <w:rFonts w:ascii="Times New Roman" w:cs="Times New Roman" w:eastAsia="Times New Roman" w:hAnsi="Times New Roman"/>
          <w:sz w:val="15"/>
          <w:szCs w:val="15"/>
          <w:color w:val="auto"/>
        </w:rPr>
        <w:t>” means the U.S. Foreign Corrupt Practices Act, as amended, the UK Bribery Act 2010, as amended, and any other applicable anti-corruption laws and laws for the prevention of fraud, racketeering, money laundering or terrorism.</w:t>
      </w:r>
    </w:p>
    <w:p>
      <w:pPr>
        <w:spacing w:after="0" w:line="141" w:lineRule="exact"/>
        <w:rPr>
          <w:sz w:val="20"/>
          <w:szCs w:val="20"/>
          <w:color w:val="auto"/>
        </w:rPr>
      </w:pPr>
    </w:p>
    <w:p>
      <w:pPr>
        <w:jc w:val="both"/>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Applicable Laws</w:t>
      </w:r>
      <w:r>
        <w:rPr>
          <w:rFonts w:ascii="Times New Roman" w:cs="Times New Roman" w:eastAsia="Times New Roman" w:hAnsi="Times New Roman"/>
          <w:sz w:val="15"/>
          <w:szCs w:val="15"/>
          <w:color w:val="auto"/>
        </w:rPr>
        <w:t>” means all applicable laws, statutes, ordinances, regulations, rules, mandatory guidelines or orders of any kind whatsoever of any Government Authority or Regulatory Authority in any Region or regulatory jurisdiction that may be in effect from time-to-time.</w:t>
      </w:r>
    </w:p>
    <w:p>
      <w:pPr>
        <w:spacing w:after="0" w:line="14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1.7</w:t>
      </w:r>
      <w:r>
        <w:rPr>
          <w:sz w:val="20"/>
          <w:szCs w:val="20"/>
          <w:color w:val="auto"/>
        </w:rPr>
        <w:tab/>
      </w:r>
      <w:r>
        <w:rPr>
          <w:rFonts w:ascii="Times New Roman" w:cs="Times New Roman" w:eastAsia="Times New Roman" w:hAnsi="Times New Roman"/>
          <w:sz w:val="14"/>
          <w:szCs w:val="14"/>
          <w:color w:val="auto"/>
        </w:rPr>
        <w:t>“[***]” means [***].</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1.8</w:t>
      </w:r>
      <w:r>
        <w:rPr>
          <w:sz w:val="20"/>
          <w:szCs w:val="20"/>
          <w:color w:val="auto"/>
        </w:rPr>
        <w:tab/>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means that certain Collaboration Agreement by and between XENCOR and [***] effective on [***] and assigned by [***] to [***].</w:t>
      </w:r>
    </w:p>
    <w:p>
      <w:pPr>
        <w:spacing w:after="0" w:line="179" w:lineRule="exact"/>
        <w:rPr>
          <w:sz w:val="20"/>
          <w:szCs w:val="20"/>
          <w:color w:val="auto"/>
        </w:rPr>
      </w:pPr>
    </w:p>
    <w:p>
      <w:pPr>
        <w:jc w:val="both"/>
        <w:ind w:left="540" w:hanging="526"/>
        <w:spacing w:after="0" w:line="249" w:lineRule="auto"/>
        <w:tabs>
          <w:tab w:leader="none" w:pos="520" w:val="left"/>
        </w:tabs>
        <w:rPr>
          <w:sz w:val="20"/>
          <w:szCs w:val="20"/>
          <w:color w:val="auto"/>
        </w:rPr>
      </w:pPr>
      <w:r>
        <w:rPr>
          <w:rFonts w:ascii="Times New Roman" w:cs="Times New Roman" w:eastAsia="Times New Roman" w:hAnsi="Times New Roman"/>
          <w:sz w:val="15"/>
          <w:szCs w:val="15"/>
          <w:color w:val="auto"/>
        </w:rPr>
        <w:t>1.9</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Biosimilar Product</w:t>
      </w:r>
      <w:r>
        <w:rPr>
          <w:rFonts w:ascii="Times New Roman" w:cs="Times New Roman" w:eastAsia="Times New Roman" w:hAnsi="Times New Roman"/>
          <w:sz w:val="15"/>
          <w:szCs w:val="15"/>
          <w:color w:val="auto"/>
        </w:rPr>
        <w:t>” means, with respect to a Product that has received Regulatory Approval in a Region, a biologic therapeutic sold by a Third Party not authorized by or on behalf of Licensee, its Affiliates or Sublicensees containing the same amino acid sequence as such Product, to permit such biologic therapeutic, on the basis of such prior Regulatory Approval granted to such Product, to be marketed in such Region (a) as a “biosimilar” or “interchangeable” product pursuant to Section 351(k) of the Public Health Service Act (42 U.S.C. § 262(k)) (or other Applicable Law); (b) as a “similar biological medicinal product” pursuant to EU Directive 2001/83/EC (or other Applicable Law); (c) as a “biosimilar product” pursuant to Chinese Drug Registration Rules and the ancillary Technical Review Guidelines for Biosimilar Products (or other Applicable Law); or (d) under analogous abbreviated Regulatory Approval from the applicable Regulatory Authority in another foreign jurisdiction.</w:t>
      </w:r>
    </w:p>
    <w:p>
      <w:pPr>
        <w:spacing w:after="0" w:line="157" w:lineRule="exact"/>
        <w:rPr>
          <w:sz w:val="20"/>
          <w:szCs w:val="20"/>
          <w:color w:val="auto"/>
        </w:rPr>
      </w:pPr>
    </w:p>
    <w:p>
      <w:pPr>
        <w:jc w:val="both"/>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1.10</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Business Day</w:t>
      </w:r>
      <w:r>
        <w:rPr>
          <w:rFonts w:ascii="Times New Roman" w:cs="Times New Roman" w:eastAsia="Times New Roman" w:hAnsi="Times New Roman"/>
          <w:sz w:val="15"/>
          <w:szCs w:val="15"/>
          <w:color w:val="auto"/>
        </w:rPr>
        <w:t>” means any day other than a Saturday, Sunday or other day on which commercial banks in the People’s Republic of China or California are required or authorized by law or executive order to be closed.</w:t>
      </w:r>
    </w:p>
    <w:p>
      <w:pPr>
        <w:spacing w:after="0" w:line="141" w:lineRule="exact"/>
        <w:rPr>
          <w:sz w:val="20"/>
          <w:szCs w:val="20"/>
          <w:color w:val="auto"/>
        </w:rPr>
      </w:pPr>
    </w:p>
    <w:p>
      <w:pPr>
        <w:jc w:val="both"/>
        <w:ind w:left="5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1.11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Calendar Quarter</w:t>
      </w:r>
      <w:r>
        <w:rPr>
          <w:rFonts w:ascii="Times New Roman" w:cs="Times New Roman" w:eastAsia="Times New Roman" w:hAnsi="Times New Roman"/>
          <w:sz w:val="15"/>
          <w:szCs w:val="15"/>
          <w:color w:val="auto"/>
        </w:rPr>
        <w:t xml:space="preserve">” means each of the three (3) consecutive month periods ending on March 31, June 30, September 30 and December 31;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 the first Calendar Quarter of the License Term shall extend from the Effective Date to the end of the first full Calendar Quarter thereafter, and (b) the last Calendar Quarter of the License Term shall end upon the expiration or termination of this Agreement.</w:t>
      </w:r>
    </w:p>
    <w:p>
      <w:pPr>
        <w:spacing w:after="0" w:line="149" w:lineRule="exact"/>
        <w:rPr>
          <w:sz w:val="20"/>
          <w:szCs w:val="20"/>
          <w:color w:val="auto"/>
        </w:rPr>
      </w:pPr>
    </w:p>
    <w:p>
      <w:pPr>
        <w:jc w:val="both"/>
        <w:ind w:left="5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1.12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Calendar Year</w:t>
      </w:r>
      <w:r>
        <w:rPr>
          <w:rFonts w:ascii="Times New Roman" w:cs="Times New Roman" w:eastAsia="Times New Roman" w:hAnsi="Times New Roman"/>
          <w:sz w:val="15"/>
          <w:szCs w:val="15"/>
          <w:color w:val="auto"/>
        </w:rPr>
        <w:t xml:space="preserve">” means each twelve (12) month period ending December 31st;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 the first Calendar Year of the License Term shall commence on the Effective Date and end on December 31 of the same year and (b) the last Calendar Year of the License Term shall commence on January 1 of the Calendar Year in which this Agreement terminates or expires and end on the date of termination or expiration of this Agreement.</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276" w:name="page277"/>
    <w:bookmarkEnd w:id="276"/>
    <w:p>
      <w:pPr>
        <w:jc w:val="both"/>
        <w:ind w:left="540" w:hanging="526"/>
        <w:spacing w:after="0" w:line="248" w:lineRule="auto"/>
        <w:tabs>
          <w:tab w:leader="none" w:pos="520" w:val="left"/>
        </w:tabs>
        <w:rPr>
          <w:sz w:val="20"/>
          <w:szCs w:val="20"/>
          <w:color w:val="auto"/>
        </w:rPr>
      </w:pPr>
      <w:r>
        <w:rPr>
          <w:rFonts w:ascii="Times New Roman" w:cs="Times New Roman" w:eastAsia="Times New Roman" w:hAnsi="Times New Roman"/>
          <w:sz w:val="15"/>
          <w:szCs w:val="15"/>
          <w:color w:val="auto"/>
        </w:rPr>
        <w:t>1.13</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Change of Control</w:t>
      </w:r>
      <w:r>
        <w:rPr>
          <w:rFonts w:ascii="Times New Roman" w:cs="Times New Roman" w:eastAsia="Times New Roman" w:hAnsi="Times New Roman"/>
          <w:sz w:val="15"/>
          <w:szCs w:val="15"/>
          <w:color w:val="auto"/>
        </w:rPr>
        <w:t>” means, with respect to a Party, that: (a) any Third Party acquires directly or indirectly the beneficial ownership of any voting security of such Party, or if the percentage ownership of such Third Party in the voting securities of such Party is increased through stock redemption, cancellation, or other recapitalization, and immediately after such acquisition or increase such Third Party is, directly or indirectly, the beneficial owner of voting securities representing at least fifty percent (50%) of the total voting power of all of the then outstanding voting securities of such Party; (b) a merger, consolidation, recapitalization, or reorganization of such Party is consummated which would result in shareholders or equity holders of such Party immediately prior to such transaction, no longer owning at least fifty percent (50%) of the outstanding voting securities of the surviving entity (or its parent entity) immediately following such transaction; or (c) there is a sale or transfer to a Third Party of all or substantially all of such Party’s consolidated assets taken as a whole, through one or more related transactions.</w:t>
      </w:r>
    </w:p>
    <w:p>
      <w:pPr>
        <w:spacing w:after="0" w:line="15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1.14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CMC</w:t>
      </w:r>
      <w:r>
        <w:rPr>
          <w:rFonts w:ascii="Times New Roman" w:cs="Times New Roman" w:eastAsia="Times New Roman" w:hAnsi="Times New Roman"/>
          <w:sz w:val="14"/>
          <w:szCs w:val="14"/>
          <w:color w:val="auto"/>
        </w:rPr>
        <w:t>” means chemistry, manufacturing and controls.</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1.15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CMO</w:t>
      </w:r>
      <w:r>
        <w:rPr>
          <w:rFonts w:ascii="Times New Roman" w:cs="Times New Roman" w:eastAsia="Times New Roman" w:hAnsi="Times New Roman"/>
          <w:sz w:val="14"/>
          <w:szCs w:val="14"/>
          <w:color w:val="auto"/>
        </w:rPr>
        <w:t>” means contract manufacturing organization.</w:t>
      </w:r>
    </w:p>
    <w:p>
      <w:pPr>
        <w:spacing w:after="0" w:line="179" w:lineRule="exact"/>
        <w:rPr>
          <w:sz w:val="20"/>
          <w:szCs w:val="20"/>
          <w:color w:val="auto"/>
        </w:rPr>
      </w:pPr>
    </w:p>
    <w:p>
      <w:pPr>
        <w:jc w:val="both"/>
        <w:ind w:left="5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1.16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Commercialization</w:t>
      </w:r>
      <w:r>
        <w:rPr>
          <w:rFonts w:ascii="Times New Roman" w:cs="Times New Roman" w:eastAsia="Times New Roman" w:hAnsi="Times New Roman"/>
          <w:sz w:val="15"/>
          <w:szCs w:val="15"/>
          <w:color w:val="auto"/>
        </w:rPr>
        <w:t>” means any and all activities directed to marketing, promoting, distributing, importing or selling a product, including obtaining pricing and reimbursement approvals. When used as a verb, “</w:t>
      </w:r>
      <w:r>
        <w:rPr>
          <w:rFonts w:ascii="Times New Roman" w:cs="Times New Roman" w:eastAsia="Times New Roman" w:hAnsi="Times New Roman"/>
          <w:sz w:val="15"/>
          <w:szCs w:val="15"/>
          <w:u w:val="single" w:color="auto"/>
          <w:color w:val="auto"/>
        </w:rPr>
        <w:t>Commercialize</w:t>
      </w:r>
      <w:r>
        <w:rPr>
          <w:rFonts w:ascii="Times New Roman" w:cs="Times New Roman" w:eastAsia="Times New Roman" w:hAnsi="Times New Roman"/>
          <w:sz w:val="15"/>
          <w:szCs w:val="15"/>
          <w:color w:val="auto"/>
        </w:rPr>
        <w:t>” means to engage in Commercialization. For the avoidance of doubt, Commercialization does not include Development and Manufacturing.</w:t>
      </w:r>
    </w:p>
    <w:p>
      <w:pPr>
        <w:spacing w:after="0" w:line="149" w:lineRule="exact"/>
        <w:rPr>
          <w:sz w:val="20"/>
          <w:szCs w:val="20"/>
          <w:color w:val="auto"/>
        </w:rPr>
      </w:pPr>
    </w:p>
    <w:p>
      <w:pPr>
        <w:jc w:val="both"/>
        <w:ind w:left="540" w:hanging="526"/>
        <w:spacing w:after="0" w:line="247" w:lineRule="auto"/>
        <w:tabs>
          <w:tab w:leader="none" w:pos="520" w:val="left"/>
        </w:tabs>
        <w:rPr>
          <w:sz w:val="20"/>
          <w:szCs w:val="20"/>
          <w:color w:val="auto"/>
        </w:rPr>
      </w:pPr>
      <w:r>
        <w:rPr>
          <w:rFonts w:ascii="Times New Roman" w:cs="Times New Roman" w:eastAsia="Times New Roman" w:hAnsi="Times New Roman"/>
          <w:sz w:val="15"/>
          <w:szCs w:val="15"/>
          <w:color w:val="auto"/>
        </w:rPr>
        <w:t>1.17</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Commercially Reasonable Efforts</w:t>
      </w:r>
      <w:r>
        <w:rPr>
          <w:rFonts w:ascii="Times New Roman" w:cs="Times New Roman" w:eastAsia="Times New Roman" w:hAnsi="Times New Roman"/>
          <w:sz w:val="15"/>
          <w:szCs w:val="15"/>
          <w:color w:val="auto"/>
        </w:rPr>
        <w:t>” means, with respect to the efforts to be expended by a Party with respect to any objective, those reasonable, diligent, good faith efforts to accomplish such objective that an entity in the biopharmaceutical industry with similar resources and size would use to accomplish a similar objective under similar circumstances exercising reasonable business judgment. With respect to Licensee’s efforts in connection with the Development, Manufacture or Commercialization of a Licensed Asset or a Product hereunder, Licensee shall be deemed to have exercised Commercially Reasonable Efforts if Licensee has exercised those reasonable, diligent, good faith efforts used by an entity in the biopharmaceutical industry with similar resources and size to Licensee for such entity’s own products or product candidates, or to which such entity has similar rights, which product or product candidate is of similar market potential, has similar estimated profitability and is at a similar stage in its development or product life cycle as such Licensed Asset or Product, taking into account all relevant factors that may affect the Development, Manufacture or Commercialization of a Product. Without limiting the foregoing, Commercially Reasonable Efforts requires, with respect to such obligations, that Licensee: (a) promptly assign responsibility for such obligation to specific employee(s) who are held accountable for progress and monitor such progress on an on-going basis, (b) set objectives for carrying out such obligations, and (c) allocate resources designed to advance progress with respect to such objectives.</w:t>
      </w:r>
    </w:p>
    <w:p>
      <w:pPr>
        <w:spacing w:after="0" w:line="15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1.18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Competing Product</w:t>
      </w:r>
      <w:r>
        <w:rPr>
          <w:rFonts w:ascii="Times New Roman" w:cs="Times New Roman" w:eastAsia="Times New Roman" w:hAnsi="Times New Roman"/>
          <w:sz w:val="14"/>
          <w:szCs w:val="14"/>
          <w:color w:val="auto"/>
        </w:rPr>
        <w:t>” means, with respect to a Licensed Asset, a pharmaceutical or biologic product in the [***].</w:t>
      </w:r>
    </w:p>
    <w:p>
      <w:pPr>
        <w:spacing w:after="0" w:line="179" w:lineRule="exact"/>
        <w:rPr>
          <w:sz w:val="20"/>
          <w:szCs w:val="20"/>
          <w:color w:val="auto"/>
        </w:rPr>
      </w:pPr>
    </w:p>
    <w:p>
      <w:pPr>
        <w:jc w:val="both"/>
        <w:ind w:left="540" w:hanging="526"/>
        <w:spacing w:after="0" w:line="250" w:lineRule="auto"/>
        <w:tabs>
          <w:tab w:leader="none" w:pos="520" w:val="left"/>
        </w:tabs>
        <w:rPr>
          <w:sz w:val="20"/>
          <w:szCs w:val="20"/>
          <w:color w:val="auto"/>
        </w:rPr>
      </w:pPr>
      <w:r>
        <w:rPr>
          <w:rFonts w:ascii="Times New Roman" w:cs="Times New Roman" w:eastAsia="Times New Roman" w:hAnsi="Times New Roman"/>
          <w:sz w:val="15"/>
          <w:szCs w:val="15"/>
          <w:color w:val="auto"/>
        </w:rPr>
        <w:t>1.19</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Confidential Information</w:t>
      </w:r>
      <w:r>
        <w:rPr>
          <w:rFonts w:ascii="Times New Roman" w:cs="Times New Roman" w:eastAsia="Times New Roman" w:hAnsi="Times New Roman"/>
          <w:sz w:val="15"/>
          <w:szCs w:val="15"/>
          <w:color w:val="auto"/>
        </w:rPr>
        <w:t>” means, with respect to a Party, all confidential and proprietary information (and all tangible and intangible embodiments thereof), that is disclosed by such Party to the other Party under this Agreement whether in writing, orally, electronically, visually, or by other means and whether or not designated as confidential in writing by such Party, whether by letter or by use of an appropriate stamp or legend, prior to or at the time any such information is disclosed by such Party to the other Party. For clarity, any information, including Know-How, developed or generated in the course of a Receiving Party’s performance under this Agreement based, in whole or in part, on Confidential Information of the Disclosing Party will constitute Confidential Information of both the Receiving Party and the Disclosing Party, unless otherwise specified.</w:t>
      </w: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277" w:name="page278"/>
    <w:bookmarkEnd w:id="277"/>
    <w:p>
      <w:pPr>
        <w:jc w:val="both"/>
        <w:ind w:left="540" w:hanging="526"/>
        <w:spacing w:after="0" w:line="267" w:lineRule="auto"/>
        <w:tabs>
          <w:tab w:leader="none" w:pos="520" w:val="left"/>
        </w:tabs>
        <w:rPr>
          <w:sz w:val="20"/>
          <w:szCs w:val="20"/>
          <w:color w:val="auto"/>
        </w:rPr>
      </w:pPr>
      <w:r>
        <w:rPr>
          <w:rFonts w:ascii="Times New Roman" w:cs="Times New Roman" w:eastAsia="Times New Roman" w:hAnsi="Times New Roman"/>
          <w:sz w:val="15"/>
          <w:szCs w:val="15"/>
          <w:color w:val="auto"/>
        </w:rPr>
        <w:t>1.20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Controlled</w:t>
      </w:r>
      <w:r>
        <w:rPr>
          <w:rFonts w:ascii="Times New Roman" w:cs="Times New Roman" w:eastAsia="Times New Roman" w:hAnsi="Times New Roman"/>
          <w:sz w:val="14"/>
          <w:szCs w:val="14"/>
          <w:color w:val="auto"/>
        </w:rPr>
        <w:t>” means, (a) with respect to any Intellectual Property right of a Party, that the Party owns or has a license to such Intellectual Property right (other than pursuant to this Agreement) and has the ability to grant access, a license, or a sublicense to such Intellectual Property right to any other Party as provided in this Agreement without violating an agreement with or other rights of any Third Party, or (b) with respect to any Materials or other tangible Know-How, the legal authority or right to physical possession of such Materials or tangible Know-How, with the right to provide such Materials or tangible Know-How to the other Party on the terms set forth herein Notwithstanding the foregoing:</w:t>
      </w:r>
    </w:p>
    <w:p>
      <w:pPr>
        <w:spacing w:after="0" w:line="1" w:lineRule="exact"/>
        <w:rPr>
          <w:sz w:val="20"/>
          <w:szCs w:val="20"/>
          <w:color w:val="auto"/>
        </w:rPr>
      </w:pPr>
    </w:p>
    <w:p>
      <w:pPr>
        <w:jc w:val="both"/>
        <w:ind w:left="540" w:hanging="5"/>
        <w:spacing w:after="0" w:line="245" w:lineRule="auto"/>
        <w:tabs>
          <w:tab w:leader="none" w:pos="780"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Party and its Affiliates will not be deemed to “Control” any of the foregoing (a)-(b) that, prior to the consummation of a Change of Control of such Party, is owned or in-licensed by a Third Party that becomes an Affiliate of such acquired Party (or that merges or consolidates with such Party) after the Execution Date as a result of such Change of Control, unless (i) prior to the consummation of such Change of Control, such acquired Party or any of its Affiliates also Controlled such Intellectual Properties or proprietary rights towards a product, or (ii) after the consummation of such Change of Control, such acquired Party or any of its Affiliates uses any such Intellectual Properties or proprietary rights towards a product in the performance of its obligations or exercise of its rights under this Agreement, in each of which cases ((i) and (ii)), such Intellectual Properties or proprietary rights towards a product will be deemed to be “Controlled” by such Party for purposes of this Agreement; and (B) [***].</w:t>
      </w:r>
    </w:p>
    <w:p>
      <w:pPr>
        <w:spacing w:after="0" w:line="159" w:lineRule="exact"/>
        <w:rPr>
          <w:sz w:val="20"/>
          <w:szCs w:val="20"/>
          <w:color w:val="auto"/>
        </w:rPr>
      </w:pPr>
    </w:p>
    <w:p>
      <w:pPr>
        <w:jc w:val="both"/>
        <w:ind w:left="5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1.21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Cover</w:t>
      </w:r>
      <w:r>
        <w:rPr>
          <w:rFonts w:ascii="Times New Roman" w:cs="Times New Roman" w:eastAsia="Times New Roman" w:hAnsi="Times New Roman"/>
          <w:sz w:val="15"/>
          <w:szCs w:val="15"/>
          <w:color w:val="auto"/>
        </w:rPr>
        <w:t>” means, with respect to a particular subject matter at issue and a Patent Right, that, but for rights granted to a Person under such Patent Right, the manufacture, use, sale, offer for sale or importation of such subject matter would infringe a Valid Claim (including, if applicable, in the case of an application that has not issued, if such Valid Claim were issued) included in such Patent Right.</w:t>
      </w:r>
    </w:p>
    <w:p>
      <w:pPr>
        <w:spacing w:after="0" w:line="149" w:lineRule="exact"/>
        <w:rPr>
          <w:sz w:val="20"/>
          <w:szCs w:val="20"/>
          <w:color w:val="auto"/>
        </w:rPr>
      </w:pPr>
    </w:p>
    <w:p>
      <w:pPr>
        <w:jc w:val="both"/>
        <w:ind w:left="540" w:hanging="526"/>
        <w:spacing w:after="0" w:line="252" w:lineRule="auto"/>
        <w:tabs>
          <w:tab w:leader="none" w:pos="520" w:val="left"/>
        </w:tabs>
        <w:rPr>
          <w:sz w:val="20"/>
          <w:szCs w:val="20"/>
          <w:color w:val="auto"/>
        </w:rPr>
      </w:pPr>
      <w:r>
        <w:rPr>
          <w:rFonts w:ascii="Times New Roman" w:cs="Times New Roman" w:eastAsia="Times New Roman" w:hAnsi="Times New Roman"/>
          <w:sz w:val="15"/>
          <w:szCs w:val="15"/>
          <w:color w:val="auto"/>
        </w:rPr>
        <w:t>1.22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Development</w:t>
      </w:r>
      <w:r>
        <w:rPr>
          <w:rFonts w:ascii="Times New Roman" w:cs="Times New Roman" w:eastAsia="Times New Roman" w:hAnsi="Times New Roman"/>
          <w:sz w:val="15"/>
          <w:szCs w:val="15"/>
          <w:color w:val="auto"/>
        </w:rPr>
        <w:t>” means, with respect to a product, all activities relating to the pre-clinical and clinical development of such product, and all development activities relating to applying for and obtaining Regulatory Approval for such product, including preclinical testing, test method development and stability testing, toxicology, formulation, clinical trials, statistical analysis and report writing. Development shall not include Manufacturing, Commercialization, or scientific research not intended for inclusion in a Regulatory Submission. When used as a verb, “</w:t>
      </w:r>
      <w:r>
        <w:rPr>
          <w:rFonts w:ascii="Times New Roman" w:cs="Times New Roman" w:eastAsia="Times New Roman" w:hAnsi="Times New Roman"/>
          <w:sz w:val="15"/>
          <w:szCs w:val="15"/>
          <w:u w:val="single" w:color="auto"/>
          <w:color w:val="auto"/>
        </w:rPr>
        <w:t>Develop</w:t>
      </w:r>
      <w:r>
        <w:rPr>
          <w:rFonts w:ascii="Times New Roman" w:cs="Times New Roman" w:eastAsia="Times New Roman" w:hAnsi="Times New Roman"/>
          <w:sz w:val="15"/>
          <w:szCs w:val="15"/>
          <w:color w:val="auto"/>
        </w:rPr>
        <w:t>” means to engage in Development.</w:t>
      </w:r>
    </w:p>
    <w:p>
      <w:pPr>
        <w:spacing w:after="0" w:line="15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1.23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EMA</w:t>
      </w:r>
      <w:r>
        <w:rPr>
          <w:rFonts w:ascii="Times New Roman" w:cs="Times New Roman" w:eastAsia="Times New Roman" w:hAnsi="Times New Roman"/>
          <w:sz w:val="14"/>
          <w:szCs w:val="14"/>
          <w:color w:val="auto"/>
        </w:rPr>
        <w:t>” means the European Medicines Agency or any successor agency thereto.</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1.24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EU</w:t>
      </w:r>
      <w:r>
        <w:rPr>
          <w:rFonts w:ascii="Times New Roman" w:cs="Times New Roman" w:eastAsia="Times New Roman" w:hAnsi="Times New Roman"/>
          <w:sz w:val="14"/>
          <w:szCs w:val="14"/>
          <w:color w:val="auto"/>
        </w:rPr>
        <w:t>” means the European Union (including the United Kingdom, whether or not the United Kingdom is a member state of the EU during the term of this Agreement).</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1.25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FD&amp;C Act</w:t>
      </w:r>
      <w:r>
        <w:rPr>
          <w:rFonts w:ascii="Times New Roman" w:cs="Times New Roman" w:eastAsia="Times New Roman" w:hAnsi="Times New Roman"/>
          <w:sz w:val="14"/>
          <w:szCs w:val="14"/>
          <w:color w:val="auto"/>
        </w:rPr>
        <w:t>” means the United States Federal Food, Drug, and Cosmetic Act, as amended, and any regulations promulgated thereunder.</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1.26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Field</w:t>
      </w:r>
      <w:r>
        <w:rPr>
          <w:rFonts w:ascii="Times New Roman" w:cs="Times New Roman" w:eastAsia="Times New Roman" w:hAnsi="Times New Roman"/>
          <w:sz w:val="14"/>
          <w:szCs w:val="14"/>
          <w:color w:val="auto"/>
        </w:rPr>
        <w:t>” means all uses in any treatment, palliation, diagnosis or prevention of any disease, disorder or condition or symptoms adverse to human or animal health.</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278" w:name="page279"/>
    <w:bookmarkEnd w:id="278"/>
    <w:p>
      <w:pPr>
        <w:jc w:val="both"/>
        <w:ind w:left="540" w:hanging="526"/>
        <w:spacing w:after="0" w:line="250" w:lineRule="auto"/>
        <w:tabs>
          <w:tab w:leader="none" w:pos="520" w:val="left"/>
        </w:tabs>
        <w:rPr>
          <w:sz w:val="20"/>
          <w:szCs w:val="20"/>
          <w:color w:val="auto"/>
        </w:rPr>
      </w:pPr>
      <w:r>
        <w:rPr>
          <w:rFonts w:ascii="Times New Roman" w:cs="Times New Roman" w:eastAsia="Times New Roman" w:hAnsi="Times New Roman"/>
          <w:sz w:val="15"/>
          <w:szCs w:val="15"/>
          <w:color w:val="auto"/>
        </w:rPr>
        <w:t>1.27</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First Commercial Sale</w:t>
      </w:r>
      <w:r>
        <w:rPr>
          <w:rFonts w:ascii="Times New Roman" w:cs="Times New Roman" w:eastAsia="Times New Roman" w:hAnsi="Times New Roman"/>
          <w:sz w:val="15"/>
          <w:szCs w:val="15"/>
          <w:color w:val="auto"/>
        </w:rPr>
        <w:t>” means, with respect to a product and on a Region-by-Region basis, the first sale of such product by a Party, its Affiliate or its Sublicensee under this Agreement to a Third Party in such Region in the Licensed Territory for end use or consumption in the Field in an arms’ length transaction, after such product has been granted Regulatory Approval (other than pricing approval) by the applicable Government Authority in any Region of the Licensed Territory. For clarity, First Commercial Sale excludes any transfers of a product to Third Parties without consideration for clinical trial purposes or any expanded access program, compassionate sales or use program (including named patient program or single patient program), or indigent program.</w:t>
      </w:r>
    </w:p>
    <w:p>
      <w:pPr>
        <w:spacing w:after="0" w:line="156" w:lineRule="exact"/>
        <w:rPr>
          <w:sz w:val="20"/>
          <w:szCs w:val="20"/>
          <w:color w:val="auto"/>
        </w:rPr>
      </w:pPr>
    </w:p>
    <w:p>
      <w:pPr>
        <w:jc w:val="both"/>
        <w:ind w:left="540" w:hanging="526"/>
        <w:spacing w:after="0" w:line="252" w:lineRule="auto"/>
        <w:tabs>
          <w:tab w:leader="none" w:pos="520" w:val="left"/>
        </w:tabs>
        <w:rPr>
          <w:sz w:val="20"/>
          <w:szCs w:val="20"/>
          <w:color w:val="auto"/>
        </w:rPr>
      </w:pPr>
      <w:r>
        <w:rPr>
          <w:rFonts w:ascii="Times New Roman" w:cs="Times New Roman" w:eastAsia="Times New Roman" w:hAnsi="Times New Roman"/>
          <w:sz w:val="15"/>
          <w:szCs w:val="15"/>
          <w:color w:val="auto"/>
        </w:rPr>
        <w:t>1.28</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Good Clinical Practice</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GCP</w:t>
      </w:r>
      <w:r>
        <w:rPr>
          <w:rFonts w:ascii="Times New Roman" w:cs="Times New Roman" w:eastAsia="Times New Roman" w:hAnsi="Times New Roman"/>
          <w:sz w:val="15"/>
          <w:szCs w:val="15"/>
          <w:color w:val="auto"/>
        </w:rPr>
        <w:t>” means Applicable Laws and applicable ICH guidelines for the design, conduct, performance, monitoring, auditing, recording, analysis and reporting of clinical trials, including (a) 21 C.F.R. Parts 11, 50, 54, 56, 312, 314 and 320, (b) European Commission Directive 2005/28/EC, and (c) the PRC Good Clinical Practices for Pharmaceutical Products, as released by China National Medical Products Administration in 2003 and last updated in 2020, as amended from time to time, or any successor thereto, and any analogous Applicable Laws and guidelines in the Licensed Territory.</w:t>
      </w:r>
    </w:p>
    <w:p>
      <w:pPr>
        <w:spacing w:after="0" w:line="154" w:lineRule="exact"/>
        <w:rPr>
          <w:sz w:val="20"/>
          <w:szCs w:val="20"/>
          <w:color w:val="auto"/>
        </w:rPr>
      </w:pPr>
    </w:p>
    <w:p>
      <w:pPr>
        <w:jc w:val="both"/>
        <w:ind w:left="540" w:hanging="526"/>
        <w:spacing w:after="0" w:line="252" w:lineRule="auto"/>
        <w:tabs>
          <w:tab w:leader="none" w:pos="520" w:val="left"/>
        </w:tabs>
        <w:rPr>
          <w:sz w:val="20"/>
          <w:szCs w:val="20"/>
          <w:color w:val="auto"/>
        </w:rPr>
      </w:pPr>
      <w:r>
        <w:rPr>
          <w:rFonts w:ascii="Times New Roman" w:cs="Times New Roman" w:eastAsia="Times New Roman" w:hAnsi="Times New Roman"/>
          <w:sz w:val="15"/>
          <w:szCs w:val="15"/>
          <w:color w:val="auto"/>
        </w:rPr>
        <w:t>1.29</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Good Laboratory Practice</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GLP</w:t>
      </w:r>
      <w:r>
        <w:rPr>
          <w:rFonts w:ascii="Times New Roman" w:cs="Times New Roman" w:eastAsia="Times New Roman" w:hAnsi="Times New Roman"/>
          <w:sz w:val="15"/>
          <w:szCs w:val="15"/>
          <w:color w:val="auto"/>
        </w:rPr>
        <w:t>” means the applicable then-current standards for laboratory activities for pharmaceuticals or biopharmaceuticals, including as set forth in (a) the then-current good laboratory practice standards promulgated or endorsed by the US FDA, as defined in 21 C.F.R. Part 58, (b) the Good Laboratory Practices for Nonclinical Drug Research, as released by China National Medical Products Administration in 2017, or (c) in any analogous Applicable Laws in any relevant country, and any guidance documents promulgated thereunder, as amended from time to time or any successor thereto.</w:t>
      </w:r>
    </w:p>
    <w:p>
      <w:pPr>
        <w:spacing w:after="0" w:line="154" w:lineRule="exact"/>
        <w:rPr>
          <w:sz w:val="20"/>
          <w:szCs w:val="20"/>
          <w:color w:val="auto"/>
        </w:rPr>
      </w:pPr>
    </w:p>
    <w:p>
      <w:pPr>
        <w:jc w:val="both"/>
        <w:ind w:left="540" w:hanging="526"/>
        <w:spacing w:after="0" w:line="252" w:lineRule="auto"/>
        <w:tabs>
          <w:tab w:leader="none" w:pos="520" w:val="left"/>
        </w:tabs>
        <w:rPr>
          <w:sz w:val="20"/>
          <w:szCs w:val="20"/>
          <w:color w:val="auto"/>
        </w:rPr>
      </w:pPr>
      <w:r>
        <w:rPr>
          <w:rFonts w:ascii="Times New Roman" w:cs="Times New Roman" w:eastAsia="Times New Roman" w:hAnsi="Times New Roman"/>
          <w:sz w:val="15"/>
          <w:szCs w:val="15"/>
          <w:color w:val="auto"/>
        </w:rPr>
        <w:t>1.30</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Good Manufacturing Practice</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GMP</w:t>
      </w:r>
      <w:r>
        <w:rPr>
          <w:rFonts w:ascii="Times New Roman" w:cs="Times New Roman" w:eastAsia="Times New Roman" w:hAnsi="Times New Roman"/>
          <w:sz w:val="15"/>
          <w:szCs w:val="15"/>
          <w:color w:val="auto"/>
        </w:rPr>
        <w:t>” means Good Manufacturing Practice and General Biological Products Standards, as promulgated under and in accordance with (a) the FD&amp;C Act (including 21 C.F.R. Parts 210, 211 and 600-680), (b) European Commission Directive 2003/94/EC, and (c) China Food and Drug Administration Ministry of Health Decree No. 79 for Good Manufacturing Practice for Drugs, effective as of March 1, 2011, as each may be amended from time to time, or any successor thereto, and any analogous Applicable Laws and guidelines in the Licensed Territory.</w:t>
      </w:r>
    </w:p>
    <w:p>
      <w:pPr>
        <w:spacing w:after="0" w:line="154" w:lineRule="exact"/>
        <w:rPr>
          <w:sz w:val="20"/>
          <w:szCs w:val="20"/>
          <w:color w:val="auto"/>
        </w:rPr>
      </w:pPr>
    </w:p>
    <w:p>
      <w:pPr>
        <w:jc w:val="both"/>
        <w:ind w:left="5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1.31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Government Authority</w:t>
      </w:r>
      <w:r>
        <w:rPr>
          <w:rFonts w:ascii="Times New Roman" w:cs="Times New Roman" w:eastAsia="Times New Roman" w:hAnsi="Times New Roman"/>
          <w:sz w:val="15"/>
          <w:szCs w:val="15"/>
          <w:color w:val="auto"/>
        </w:rPr>
        <w:t>” means any court or government body, whether national, supra-national, federal, state, local, foreign or provincial, including any political subdivision thereof, including any department, commission, board, bureau, agency, or other regulatory or administrative governmental authority or instrumentality, and further including any governmental Person or entity exercising the functions of any of these. For clarity, any Regulatory Authority shall be a Government Authority.</w:t>
      </w:r>
    </w:p>
    <w:p>
      <w:pPr>
        <w:spacing w:after="0" w:line="149" w:lineRule="exact"/>
        <w:rPr>
          <w:sz w:val="20"/>
          <w:szCs w:val="20"/>
          <w:color w:val="auto"/>
        </w:rPr>
      </w:pPr>
    </w:p>
    <w:p>
      <w:pPr>
        <w:jc w:val="both"/>
        <w:ind w:left="5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1.32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Government Official</w:t>
      </w:r>
      <w:r>
        <w:rPr>
          <w:rFonts w:ascii="Times New Roman" w:cs="Times New Roman" w:eastAsia="Times New Roman" w:hAnsi="Times New Roman"/>
          <w:sz w:val="15"/>
          <w:szCs w:val="15"/>
          <w:color w:val="auto"/>
        </w:rPr>
        <w:t>” means any Person employed by or acting in an official capacity on behalf of a Government Authority, Government Authority-controlled entity or public international organization; any political party, party official or candidate; any Person who holds or performs the duties of an appointment, office or position created by custom or convention; and any Person who is an authorized intermediary of any of the foregoing.</w:t>
      </w:r>
    </w:p>
    <w:p>
      <w:pPr>
        <w:spacing w:after="0" w:line="1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1.33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Hong Kong</w:t>
      </w:r>
      <w:r>
        <w:rPr>
          <w:rFonts w:ascii="Times New Roman" w:cs="Times New Roman" w:eastAsia="Times New Roman" w:hAnsi="Times New Roman"/>
          <w:sz w:val="14"/>
          <w:szCs w:val="14"/>
          <w:color w:val="auto"/>
        </w:rPr>
        <w:t>” means the Hong Kong Special Administrative Region of the People’s Republic of China.</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1.34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ICH</w:t>
      </w:r>
      <w:r>
        <w:rPr>
          <w:rFonts w:ascii="Times New Roman" w:cs="Times New Roman" w:eastAsia="Times New Roman" w:hAnsi="Times New Roman"/>
          <w:sz w:val="14"/>
          <w:szCs w:val="14"/>
          <w:color w:val="auto"/>
        </w:rPr>
        <w:t>” means the International Conference on Harmonisation of Technical Requirements for Registration of Pharmaceuticals for Human Use.</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279" w:name="page280"/>
    <w:bookmarkEnd w:id="279"/>
    <w:p>
      <w:pPr>
        <w:spacing w:after="0"/>
        <w:tabs>
          <w:tab w:leader="none" w:pos="520" w:val="left"/>
        </w:tabs>
        <w:rPr>
          <w:sz w:val="20"/>
          <w:szCs w:val="20"/>
          <w:color w:val="auto"/>
        </w:rPr>
      </w:pPr>
      <w:r>
        <w:rPr>
          <w:rFonts w:ascii="Times New Roman" w:cs="Times New Roman" w:eastAsia="Times New Roman" w:hAnsi="Times New Roman"/>
          <w:sz w:val="15"/>
          <w:szCs w:val="15"/>
          <w:color w:val="auto"/>
        </w:rPr>
        <w:t>1.35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means all proprietary rights of any kind or nature, whether patentable or not, including Patent Rights, Know-How, Trademarks and copyrights.</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1.36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Invented</w:t>
      </w:r>
      <w:r>
        <w:rPr>
          <w:rFonts w:ascii="Times New Roman" w:cs="Times New Roman" w:eastAsia="Times New Roman" w:hAnsi="Times New Roman"/>
          <w:sz w:val="14"/>
          <w:szCs w:val="14"/>
          <w:color w:val="auto"/>
        </w:rPr>
        <w:t>” means the act of invention by inventors, as determined in accordance with the patent laws of the United States.</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1.37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Joint Intellectual Property</w:t>
      </w:r>
      <w:r>
        <w:rPr>
          <w:rFonts w:ascii="Times New Roman" w:cs="Times New Roman" w:eastAsia="Times New Roman" w:hAnsi="Times New Roman"/>
          <w:sz w:val="14"/>
          <w:szCs w:val="14"/>
          <w:color w:val="auto"/>
        </w:rPr>
        <w:t>” means the Joint Know-How, the Joint Patent Rights, and all intellectual property rights therein.</w:t>
      </w:r>
    </w:p>
    <w:p>
      <w:pPr>
        <w:spacing w:after="0" w:line="179" w:lineRule="exact"/>
        <w:rPr>
          <w:sz w:val="20"/>
          <w:szCs w:val="20"/>
          <w:color w:val="auto"/>
        </w:rPr>
      </w:pPr>
    </w:p>
    <w:p>
      <w:pPr>
        <w:jc w:val="both"/>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1.38</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Joint Know-How</w:t>
      </w:r>
      <w:r>
        <w:rPr>
          <w:rFonts w:ascii="Times New Roman" w:cs="Times New Roman" w:eastAsia="Times New Roman" w:hAnsi="Times New Roman"/>
          <w:sz w:val="15"/>
          <w:szCs w:val="15"/>
          <w:color w:val="auto"/>
        </w:rPr>
        <w:t>” means any Know-How that is identified, discovered, authored or developed jointly by or on behalf of XENCOR or any of its Affiliates, on the one hand, and Licensee or any of its Affiliates, on the other hand under this Agreement.</w:t>
      </w:r>
    </w:p>
    <w:p>
      <w:pPr>
        <w:spacing w:after="0" w:line="141" w:lineRule="exact"/>
        <w:rPr>
          <w:sz w:val="20"/>
          <w:szCs w:val="20"/>
          <w:color w:val="auto"/>
        </w:rPr>
      </w:pPr>
    </w:p>
    <w:p>
      <w:pPr>
        <w:jc w:val="both"/>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1.39</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Joint Patent Rights</w:t>
      </w:r>
      <w:r>
        <w:rPr>
          <w:rFonts w:ascii="Times New Roman" w:cs="Times New Roman" w:eastAsia="Times New Roman" w:hAnsi="Times New Roman"/>
          <w:sz w:val="15"/>
          <w:szCs w:val="15"/>
          <w:color w:val="auto"/>
        </w:rPr>
        <w:t>” means all Patent Rights that claim (i) inventions Invented under this Agreement that are made jointly by or on behalf of XENCOR or any of its Affiliates, on the one hand, and Licensee or any of its Affiliates, on the other hand, during the License Term, or (ii) Joint Know-How.</w:t>
      </w:r>
    </w:p>
    <w:p>
      <w:pPr>
        <w:spacing w:after="0" w:line="141" w:lineRule="exact"/>
        <w:rPr>
          <w:sz w:val="20"/>
          <w:szCs w:val="20"/>
          <w:color w:val="auto"/>
        </w:rPr>
      </w:pPr>
    </w:p>
    <w:p>
      <w:pPr>
        <w:jc w:val="both"/>
        <w:ind w:left="540" w:hanging="526"/>
        <w:spacing w:after="0" w:line="252" w:lineRule="auto"/>
        <w:tabs>
          <w:tab w:leader="none" w:pos="520" w:val="left"/>
        </w:tabs>
        <w:rPr>
          <w:sz w:val="20"/>
          <w:szCs w:val="20"/>
          <w:color w:val="auto"/>
        </w:rPr>
      </w:pPr>
      <w:r>
        <w:rPr>
          <w:rFonts w:ascii="Times New Roman" w:cs="Times New Roman" w:eastAsia="Times New Roman" w:hAnsi="Times New Roman"/>
          <w:sz w:val="15"/>
          <w:szCs w:val="15"/>
          <w:color w:val="auto"/>
        </w:rPr>
        <w:t>1.40</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Know-How</w:t>
      </w:r>
      <w:r>
        <w:rPr>
          <w:rFonts w:ascii="Times New Roman" w:cs="Times New Roman" w:eastAsia="Times New Roman" w:hAnsi="Times New Roman"/>
          <w:sz w:val="15"/>
          <w:szCs w:val="15"/>
          <w:color w:val="auto"/>
        </w:rPr>
        <w:t>” means all discoveries, data, information (including scientific, technical or regulatory information), processes, methods, techniques, materials, technology, results, analyses, laboratory, pre-clinical and clinical data, or other know-how, including pharmacology, toxicology, drug stability, manufacturing and formulation methodologies and techniques, clinical and non-clinical safety and efficacy studies, marketing studies, absorption, distribution, metabolism and excretion studies. Know-How does not include Patent Rights.</w:t>
      </w:r>
    </w:p>
    <w:p>
      <w:pPr>
        <w:spacing w:after="0" w:line="154" w:lineRule="exact"/>
        <w:rPr>
          <w:sz w:val="20"/>
          <w:szCs w:val="20"/>
          <w:color w:val="auto"/>
        </w:rPr>
      </w:pPr>
    </w:p>
    <w:p>
      <w:pPr>
        <w:jc w:val="both"/>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1.41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Knowledge</w:t>
      </w:r>
      <w:r>
        <w:rPr>
          <w:rFonts w:ascii="Times New Roman" w:cs="Times New Roman" w:eastAsia="Times New Roman" w:hAnsi="Times New Roman"/>
          <w:sz w:val="15"/>
          <w:szCs w:val="15"/>
          <w:color w:val="auto"/>
        </w:rPr>
        <w:t>” means, the actual knowledge, after reasonable inquiry, of XENCOR’s officers as defined under Rule 16a-1(f) of the Securities Exchange Act of 1934 (or amendment thereto or replacement or successor law) as of the Execution Date.</w:t>
      </w:r>
    </w:p>
    <w:p>
      <w:pPr>
        <w:spacing w:after="0" w:line="14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1.42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Licensed Assets</w:t>
      </w:r>
      <w:r>
        <w:rPr>
          <w:rFonts w:ascii="Times New Roman" w:cs="Times New Roman" w:eastAsia="Times New Roman" w:hAnsi="Times New Roman"/>
          <w:sz w:val="14"/>
          <w:szCs w:val="14"/>
          <w:color w:val="auto"/>
        </w:rPr>
        <w:t>” means the following proprietary products:</w:t>
      </w:r>
    </w:p>
    <w:p>
      <w:pPr>
        <w:spacing w:after="0" w:line="179" w:lineRule="exact"/>
        <w:rPr>
          <w:sz w:val="20"/>
          <w:szCs w:val="20"/>
          <w:color w:val="auto"/>
        </w:rPr>
      </w:pPr>
    </w:p>
    <w:p>
      <w:pPr>
        <w:ind w:left="1600" w:hanging="537"/>
        <w:spacing w:after="0"/>
        <w:tabs>
          <w:tab w:leader="none" w:pos="160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anti-CD20 antibody, designated by XENCOR as XmAb10171, [***].</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anti-TNFa antibody, designated by XENCOR as XmAb6755, [***].</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CTLA-4-Fc fusion protein, designated by XENCOR as XPro9523, [***].</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For clarity, none of the foregoing include any Excluded Variants or antibodies containing any Excluded Variants.</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1.43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Licensed Territory</w:t>
      </w:r>
      <w:r>
        <w:rPr>
          <w:rFonts w:ascii="Times New Roman" w:cs="Times New Roman" w:eastAsia="Times New Roman" w:hAnsi="Times New Roman"/>
          <w:sz w:val="14"/>
          <w:szCs w:val="14"/>
          <w:color w:val="auto"/>
        </w:rPr>
        <w:t>” means worldwide.</w:t>
      </w:r>
    </w:p>
    <w:p>
      <w:pPr>
        <w:spacing w:after="0" w:line="179" w:lineRule="exact"/>
        <w:rPr>
          <w:sz w:val="20"/>
          <w:szCs w:val="20"/>
          <w:color w:val="auto"/>
        </w:rPr>
      </w:pPr>
    </w:p>
    <w:p>
      <w:pPr>
        <w:jc w:val="both"/>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1.44</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Licensee Intellectual Property</w:t>
      </w:r>
      <w:r>
        <w:rPr>
          <w:rFonts w:ascii="Times New Roman" w:cs="Times New Roman" w:eastAsia="Times New Roman" w:hAnsi="Times New Roman"/>
          <w:sz w:val="15"/>
          <w:szCs w:val="15"/>
          <w:color w:val="auto"/>
        </w:rPr>
        <w:t xml:space="preserve">” means the Licensee Know-How, the Licensee Patent Rights, any Product Trademark owned by Licensee pursuant to </w:t>
      </w:r>
      <w:r>
        <w:rPr>
          <w:rFonts w:ascii="Times New Roman" w:cs="Times New Roman" w:eastAsia="Times New Roman" w:hAnsi="Times New Roman"/>
          <w:sz w:val="15"/>
          <w:szCs w:val="15"/>
          <w:u w:val="single" w:color="auto"/>
          <w:color w:val="auto"/>
        </w:rPr>
        <w:t>Section 11.4</w:t>
      </w:r>
      <w:r>
        <w:rPr>
          <w:rFonts w:ascii="Times New Roman" w:cs="Times New Roman" w:eastAsia="Times New Roman" w:hAnsi="Times New Roman"/>
          <w:sz w:val="15"/>
          <w:szCs w:val="15"/>
          <w:color w:val="auto"/>
        </w:rPr>
        <w:t>, and all intellectual property rights therein.</w:t>
      </w:r>
    </w:p>
    <w:p>
      <w:pPr>
        <w:spacing w:after="0" w:line="141" w:lineRule="exact"/>
        <w:rPr>
          <w:sz w:val="20"/>
          <w:szCs w:val="20"/>
          <w:color w:val="auto"/>
        </w:rPr>
      </w:pPr>
    </w:p>
    <w:p>
      <w:pPr>
        <w:jc w:val="both"/>
        <w:ind w:left="5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1.45</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Licensee Know-How</w:t>
      </w:r>
      <w:r>
        <w:rPr>
          <w:rFonts w:ascii="Times New Roman" w:cs="Times New Roman" w:eastAsia="Times New Roman" w:hAnsi="Times New Roman"/>
          <w:sz w:val="15"/>
          <w:szCs w:val="15"/>
          <w:color w:val="auto"/>
        </w:rPr>
        <w:t>” means all Know-How (i) that is Controlled by Licensee or its Affiliates as of the Execution Date or during the License Term that is actually used, applied or incorporated by Licensee in the Development, Manufacture or Commercialization of Licensed Assets or Products in the Licensed Territory, or (ii) that constitutes a Licensee Invention.</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938" w:right="319" w:bottom="1440" w:gutter="0" w:footer="0" w:header="0"/>
        </w:sectPr>
      </w:pPr>
    </w:p>
    <w:bookmarkStart w:id="280" w:name="page281"/>
    <w:bookmarkEnd w:id="280"/>
    <w:p>
      <w:pPr>
        <w:jc w:val="both"/>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1.46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Licensee Patent Rights</w:t>
      </w:r>
      <w:r>
        <w:rPr>
          <w:rFonts w:ascii="Times New Roman" w:cs="Times New Roman" w:eastAsia="Times New Roman" w:hAnsi="Times New Roman"/>
          <w:sz w:val="15"/>
          <w:szCs w:val="15"/>
          <w:color w:val="auto"/>
        </w:rPr>
        <w:t>” means all Patent Rights Controlled by Licensee or its Affiliates as of the Execution Date or during the License Term that (i) Cover the Development, Manufacture or Commercialization of Licensed Assets or Products, (ii) Cover Licensee Know-How.</w:t>
      </w:r>
    </w:p>
    <w:p>
      <w:pPr>
        <w:spacing w:after="0" w:line="141" w:lineRule="exact"/>
        <w:rPr>
          <w:sz w:val="20"/>
          <w:szCs w:val="20"/>
          <w:color w:val="auto"/>
        </w:rPr>
      </w:pPr>
    </w:p>
    <w:p>
      <w:pPr>
        <w:jc w:val="both"/>
        <w:ind w:left="5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1.47</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Lien</w:t>
      </w:r>
      <w:r>
        <w:rPr>
          <w:rFonts w:ascii="Times New Roman" w:cs="Times New Roman" w:eastAsia="Times New Roman" w:hAnsi="Times New Roman"/>
          <w:sz w:val="15"/>
          <w:szCs w:val="15"/>
          <w:color w:val="auto"/>
        </w:rPr>
        <w:t>” means any mortgage, pledge, assignment (as security), deposit arrangement, encumbrance, lien (statutory or other), charge or other security interest, or any preference, priority or other security agreement or preferential arrangement of any kind or nature whatsoever having substantially the same economic effect as any of the foregoing (including any conditional sale or other title retention agreement and any capital lease).</w:t>
      </w:r>
    </w:p>
    <w:p>
      <w:pPr>
        <w:spacing w:after="0" w:line="1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1.48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Major Territory</w:t>
      </w:r>
      <w:r>
        <w:rPr>
          <w:rFonts w:ascii="Times New Roman" w:cs="Times New Roman" w:eastAsia="Times New Roman" w:hAnsi="Times New Roman"/>
          <w:sz w:val="14"/>
          <w:szCs w:val="14"/>
          <w:color w:val="auto"/>
        </w:rPr>
        <w:t>” means the U.S., United Kingdom, France, Germany, Italy, and Spain.</w:t>
      </w:r>
    </w:p>
    <w:p>
      <w:pPr>
        <w:spacing w:after="0" w:line="179" w:lineRule="exact"/>
        <w:rPr>
          <w:sz w:val="20"/>
          <w:szCs w:val="20"/>
          <w:color w:val="auto"/>
        </w:rPr>
      </w:pPr>
    </w:p>
    <w:p>
      <w:pPr>
        <w:jc w:val="both"/>
        <w:ind w:left="5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1.49</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Manufacturing</w:t>
      </w:r>
      <w:r>
        <w:rPr>
          <w:rFonts w:ascii="Times New Roman" w:cs="Times New Roman" w:eastAsia="Times New Roman" w:hAnsi="Times New Roman"/>
          <w:sz w:val="15"/>
          <w:szCs w:val="15"/>
          <w:color w:val="auto"/>
        </w:rPr>
        <w:t>” means any and all activities directed to making, producing, manufacturing, processing, filling, finishing, packaging, labeling, quality assurance testing and release, shipping or storage of a product (or any ingredient thereof). When used as a verb, “</w:t>
      </w:r>
      <w:r>
        <w:rPr>
          <w:rFonts w:ascii="Times New Roman" w:cs="Times New Roman" w:eastAsia="Times New Roman" w:hAnsi="Times New Roman"/>
          <w:sz w:val="15"/>
          <w:szCs w:val="15"/>
          <w:u w:val="single" w:color="auto"/>
          <w:color w:val="auto"/>
        </w:rPr>
        <w:t>Manufacture</w:t>
      </w:r>
      <w:r>
        <w:rPr>
          <w:rFonts w:ascii="Times New Roman" w:cs="Times New Roman" w:eastAsia="Times New Roman" w:hAnsi="Times New Roman"/>
          <w:sz w:val="15"/>
          <w:szCs w:val="15"/>
          <w:color w:val="auto"/>
        </w:rPr>
        <w:t>” means to engage in Manufacturing. For the avoidance of doubt, Manufacturing does not include Commercialization and Development.</w:t>
      </w:r>
    </w:p>
    <w:p>
      <w:pPr>
        <w:spacing w:after="0" w:line="1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1.50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Marketing Authorization Application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MAA</w:t>
      </w:r>
      <w:r>
        <w:rPr>
          <w:rFonts w:ascii="Times New Roman" w:cs="Times New Roman" w:eastAsia="Times New Roman" w:hAnsi="Times New Roman"/>
          <w:sz w:val="14"/>
          <w:szCs w:val="14"/>
          <w:color w:val="auto"/>
        </w:rPr>
        <w:t>” means an application for Regulatory Approval in the Licensed Territory, including a Biologics License Application as described in</w:t>
      </w:r>
    </w:p>
    <w:p>
      <w:pPr>
        <w:spacing w:after="0" w:line="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21 C.F.R. §601.2, as amended.</w:t>
      </w:r>
    </w:p>
    <w:p>
      <w:pPr>
        <w:spacing w:after="0" w:line="164" w:lineRule="exact"/>
        <w:rPr>
          <w:sz w:val="20"/>
          <w:szCs w:val="20"/>
          <w:color w:val="auto"/>
        </w:rPr>
      </w:pPr>
    </w:p>
    <w:p>
      <w:pPr>
        <w:jc w:val="both"/>
        <w:ind w:left="5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1.51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Material</w:t>
      </w:r>
      <w:r>
        <w:rPr>
          <w:rFonts w:ascii="Times New Roman" w:cs="Times New Roman" w:eastAsia="Times New Roman" w:hAnsi="Times New Roman"/>
          <w:sz w:val="15"/>
          <w:szCs w:val="15"/>
          <w:color w:val="auto"/>
        </w:rPr>
        <w:t>” means any tangible materials, including antibodies, antigens, genes, gene fragments, gene sequences, intermediate probes, DNA, RNA, cDNA libraries, plasmids, vectors, expression systems, cells, cell lines, organisms, biological substances (and any constituents, progeny, mutants, derivatives, or replications thereof or therefrom), reagents or chemical compounds.</w:t>
      </w:r>
    </w:p>
    <w:p>
      <w:pPr>
        <w:spacing w:after="0" w:line="149" w:lineRule="exact"/>
        <w:rPr>
          <w:sz w:val="20"/>
          <w:szCs w:val="20"/>
          <w:color w:val="auto"/>
        </w:rPr>
      </w:pPr>
    </w:p>
    <w:p>
      <w:pPr>
        <w:jc w:val="both"/>
        <w:ind w:left="5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1.52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Net Sales</w:t>
      </w:r>
      <w:r>
        <w:rPr>
          <w:rFonts w:ascii="Times New Roman" w:cs="Times New Roman" w:eastAsia="Times New Roman" w:hAnsi="Times New Roman"/>
          <w:sz w:val="15"/>
          <w:szCs w:val="15"/>
          <w:color w:val="auto"/>
        </w:rPr>
        <w:t xml:space="preserve">” means, with respect to a Product for any period, the gross amount invoiced for sales of such Product during such period by Licensee, its Affiliates or Sublicensees to Third Parties (including distributors) in the Licensed Territory, in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arm’s length transactions, less the following deductions, in each case related specifically to such Product and actually incurred, paid or accrued by, and not otherwise recovered by or reimbursed to, Licensee, its Affiliates or Sublicensees:</w:t>
      </w:r>
    </w:p>
    <w:p>
      <w:pPr>
        <w:spacing w:after="0" w:line="149" w:lineRule="exact"/>
        <w:rPr>
          <w:sz w:val="20"/>
          <w:szCs w:val="20"/>
          <w:color w:val="auto"/>
        </w:rPr>
      </w:pPr>
    </w:p>
    <w:p>
      <w:pPr>
        <w:ind w:left="1600" w:hanging="537"/>
        <w:spacing w:after="0"/>
        <w:tabs>
          <w:tab w:leader="none" w:pos="160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281" w:name="page282"/>
    <w:bookmarkEnd w:id="281"/>
    <w:p>
      <w:pPr>
        <w:ind w:left="1600" w:hanging="537"/>
        <w:spacing w:after="0"/>
        <w:tabs>
          <w:tab w:leader="none" w:pos="160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1.53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New</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has the meaning given in </w:t>
      </w:r>
      <w:r>
        <w:rPr>
          <w:rFonts w:ascii="Times New Roman" w:cs="Times New Roman" w:eastAsia="Times New Roman" w:hAnsi="Times New Roman"/>
          <w:sz w:val="14"/>
          <w:szCs w:val="14"/>
          <w:u w:val="single" w:color="auto"/>
          <w:color w:val="auto"/>
        </w:rPr>
        <w:t>Section 11.3.4</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1.54</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NMPA</w:t>
      </w:r>
      <w:r>
        <w:rPr>
          <w:rFonts w:ascii="Times New Roman" w:cs="Times New Roman" w:eastAsia="Times New Roman" w:hAnsi="Times New Roman"/>
          <w:sz w:val="15"/>
          <w:szCs w:val="15"/>
          <w:color w:val="auto"/>
        </w:rPr>
        <w:t>” means the National Medical Products Administration of People’s Republic of China and any successor agency(ies) or authority thereto having substantially the same function.</w:t>
      </w:r>
    </w:p>
    <w:p>
      <w:pPr>
        <w:spacing w:after="0" w:line="141" w:lineRule="exact"/>
        <w:rPr>
          <w:sz w:val="20"/>
          <w:szCs w:val="20"/>
          <w:color w:val="auto"/>
        </w:rPr>
      </w:pPr>
    </w:p>
    <w:p>
      <w:pPr>
        <w:jc w:val="both"/>
        <w:ind w:left="540" w:hanging="526"/>
        <w:spacing w:after="0" w:line="252" w:lineRule="auto"/>
        <w:tabs>
          <w:tab w:leader="none" w:pos="520" w:val="left"/>
        </w:tabs>
        <w:rPr>
          <w:sz w:val="20"/>
          <w:szCs w:val="20"/>
          <w:color w:val="auto"/>
        </w:rPr>
      </w:pPr>
      <w:r>
        <w:rPr>
          <w:rFonts w:ascii="Times New Roman" w:cs="Times New Roman" w:eastAsia="Times New Roman" w:hAnsi="Times New Roman"/>
          <w:sz w:val="15"/>
          <w:szCs w:val="15"/>
          <w:color w:val="auto"/>
        </w:rPr>
        <w:t>1.55</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Patent Right</w:t>
      </w:r>
      <w:r>
        <w:rPr>
          <w:rFonts w:ascii="Times New Roman" w:cs="Times New Roman" w:eastAsia="Times New Roman" w:hAnsi="Times New Roman"/>
          <w:sz w:val="15"/>
          <w:szCs w:val="15"/>
          <w:color w:val="auto"/>
        </w:rPr>
        <w:t>” means any and all: (a) patent applications filed under Applicable Law in any jurisdiction, including all provisional applications, substitutions, continuations, continuations-in-part, divisions, renewals, and all patents granted thereon; (b) all patents-of-addition, reissues, reexaminations and adjustments, extensions or restorations by existing or future extension or restoration mechanisms, including supplementary protection certificates or the equivalent thereof; (c) inventor’s certificates; (d) any other form of government-issued right substantially similar to any of the foregoing; and (e) United States and foreign counterparts of any of the foregoing.</w:t>
      </w:r>
    </w:p>
    <w:p>
      <w:pPr>
        <w:spacing w:after="0" w:line="154" w:lineRule="exact"/>
        <w:rPr>
          <w:sz w:val="20"/>
          <w:szCs w:val="20"/>
          <w:color w:val="auto"/>
        </w:rPr>
      </w:pPr>
    </w:p>
    <w:p>
      <w:pPr>
        <w:jc w:val="both"/>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1.56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Patent Term Extension</w:t>
      </w:r>
      <w:r>
        <w:rPr>
          <w:rFonts w:ascii="Times New Roman" w:cs="Times New Roman" w:eastAsia="Times New Roman" w:hAnsi="Times New Roman"/>
          <w:sz w:val="15"/>
          <w:szCs w:val="15"/>
          <w:color w:val="auto"/>
        </w:rPr>
        <w:t>” means any term extensions, supplementary protection certificates and equivalents thereof offering Patent Right protection beyond the initial term with respect to any issued Patent Rights.</w:t>
      </w:r>
    </w:p>
    <w:p>
      <w:pPr>
        <w:spacing w:after="0" w:line="141" w:lineRule="exact"/>
        <w:rPr>
          <w:sz w:val="20"/>
          <w:szCs w:val="20"/>
          <w:color w:val="auto"/>
        </w:rPr>
      </w:pPr>
    </w:p>
    <w:p>
      <w:pPr>
        <w:jc w:val="both"/>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1.57</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Person</w:t>
      </w:r>
      <w:r>
        <w:rPr>
          <w:rFonts w:ascii="Times New Roman" w:cs="Times New Roman" w:eastAsia="Times New Roman" w:hAnsi="Times New Roman"/>
          <w:sz w:val="15"/>
          <w:szCs w:val="15"/>
          <w:color w:val="auto"/>
        </w:rPr>
        <w:t>” means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or department or agency of a government.</w:t>
      </w:r>
    </w:p>
    <w:p>
      <w:pPr>
        <w:spacing w:after="0" w:line="141" w:lineRule="exact"/>
        <w:rPr>
          <w:sz w:val="20"/>
          <w:szCs w:val="20"/>
          <w:color w:val="auto"/>
        </w:rPr>
      </w:pPr>
    </w:p>
    <w:p>
      <w:pPr>
        <w:jc w:val="both"/>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1.58</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PRC</w:t>
      </w:r>
      <w:r>
        <w:rPr>
          <w:rFonts w:ascii="Times New Roman" w:cs="Times New Roman" w:eastAsia="Times New Roman" w:hAnsi="Times New Roman"/>
          <w:sz w:val="15"/>
          <w:szCs w:val="15"/>
          <w:color w:val="auto"/>
        </w:rPr>
        <w:t>” means the People’s Republic of China, which for the purposes of this Agreement, shall include Hong Kong Special Administrative Region, the Macau Special Administrative Region and Taiwan, each of which shall be deemed a separate Region.</w:t>
      </w:r>
    </w:p>
    <w:p>
      <w:pPr>
        <w:spacing w:after="0" w:line="141" w:lineRule="exact"/>
        <w:rPr>
          <w:sz w:val="20"/>
          <w:szCs w:val="20"/>
          <w:color w:val="auto"/>
        </w:rPr>
      </w:pPr>
    </w:p>
    <w:p>
      <w:pPr>
        <w:jc w:val="both"/>
        <w:ind w:left="540" w:hanging="526"/>
        <w:spacing w:after="0" w:line="252" w:lineRule="auto"/>
        <w:tabs>
          <w:tab w:leader="none" w:pos="520" w:val="left"/>
        </w:tabs>
        <w:rPr>
          <w:sz w:val="20"/>
          <w:szCs w:val="20"/>
          <w:color w:val="auto"/>
        </w:rPr>
      </w:pPr>
      <w:r>
        <w:rPr>
          <w:rFonts w:ascii="Times New Roman" w:cs="Times New Roman" w:eastAsia="Times New Roman" w:hAnsi="Times New Roman"/>
          <w:sz w:val="15"/>
          <w:szCs w:val="15"/>
          <w:color w:val="auto"/>
        </w:rPr>
        <w:t>1.59</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Product</w:t>
      </w:r>
      <w:r>
        <w:rPr>
          <w:rFonts w:ascii="Times New Roman" w:cs="Times New Roman" w:eastAsia="Times New Roman" w:hAnsi="Times New Roman"/>
          <w:sz w:val="15"/>
          <w:szCs w:val="15"/>
          <w:color w:val="auto"/>
        </w:rPr>
        <w:t xml:space="preserve">” means, in relation to each Licensed Asset, any biological product in finished form that contains (i) such Licensed Asset, or (ii) any Variant of (1) [***], and all presentations, formulations, dosages and dosage forms thereof;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a Product does not include any proprietary Active Ingredient of XENCOR or any of its Affiliates (or any product containing such an Active Ingredient) other than the Licensed Asset (or any intellectual property rights related to any such other proprietary Active Ingredient). For clarity, Product excludes any of the following (and any product containing any of the following): [***].</w:t>
      </w:r>
    </w:p>
    <w:p>
      <w:pPr>
        <w:spacing w:after="0" w:line="15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1.60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Region</w:t>
      </w:r>
      <w:r>
        <w:rPr>
          <w:rFonts w:ascii="Times New Roman" w:cs="Times New Roman" w:eastAsia="Times New Roman" w:hAnsi="Times New Roman"/>
          <w:sz w:val="14"/>
          <w:szCs w:val="14"/>
          <w:color w:val="auto"/>
        </w:rPr>
        <w:t>” means a country, [***].</w:t>
      </w:r>
    </w:p>
    <w:p>
      <w:pPr>
        <w:spacing w:after="0" w:line="179" w:lineRule="exact"/>
        <w:rPr>
          <w:sz w:val="20"/>
          <w:szCs w:val="20"/>
          <w:color w:val="auto"/>
        </w:rPr>
      </w:pPr>
    </w:p>
    <w:p>
      <w:pPr>
        <w:jc w:val="both"/>
        <w:ind w:left="5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1.61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Regulatory Approval</w:t>
      </w:r>
      <w:r>
        <w:rPr>
          <w:rFonts w:ascii="Times New Roman" w:cs="Times New Roman" w:eastAsia="Times New Roman" w:hAnsi="Times New Roman"/>
          <w:sz w:val="15"/>
          <w:szCs w:val="15"/>
          <w:color w:val="auto"/>
        </w:rPr>
        <w:t>” means the approval(s) and authorization(s) of a Regulatory Authority in a Region or regulatory jurisdiction necessary to Develop, Manufacture or Commercialize a product in such Region or regulatory jurisdiction (including pricing and reimbursement approval, where required), prior to the commencement of manufacture, sales, and distribution in such Region or regulatory jurisdiction (excluding compassionate use sales and other similar sales for which a limited approval is granted).</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282" w:name="page283"/>
    <w:bookmarkEnd w:id="282"/>
    <w:p>
      <w:pPr>
        <w:jc w:val="both"/>
        <w:ind w:left="54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1.62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Regulatory Authority</w:t>
      </w:r>
      <w:r>
        <w:rPr>
          <w:rFonts w:ascii="Times New Roman" w:cs="Times New Roman" w:eastAsia="Times New Roman" w:hAnsi="Times New Roman"/>
          <w:sz w:val="15"/>
          <w:szCs w:val="15"/>
          <w:color w:val="auto"/>
        </w:rPr>
        <w:t>” means the NMPA, US FDA, EMA or any Government Authority with similar regulatory authority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xml:space="preserve"> involved in granting Regulatory Approvals) in any other Region or regulatory jurisdiction anywhere in the world.</w:t>
      </w:r>
    </w:p>
    <w:p>
      <w:pPr>
        <w:spacing w:after="0" w:line="138" w:lineRule="exact"/>
        <w:rPr>
          <w:sz w:val="20"/>
          <w:szCs w:val="20"/>
          <w:color w:val="auto"/>
        </w:rPr>
      </w:pPr>
    </w:p>
    <w:p>
      <w:pPr>
        <w:jc w:val="both"/>
        <w:ind w:left="5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1.63</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Regulatory Exclusivity</w:t>
      </w:r>
      <w:r>
        <w:rPr>
          <w:rFonts w:ascii="Times New Roman" w:cs="Times New Roman" w:eastAsia="Times New Roman" w:hAnsi="Times New Roman"/>
          <w:sz w:val="15"/>
          <w:szCs w:val="15"/>
          <w:color w:val="auto"/>
        </w:rPr>
        <w:t>” means any exclusive marketing rights or data exclusivity rights conferred by any Regulatory Authority with respect to a Product in a Region, other than a Patent Right (potentially including new clinical data exclusivity, orphan drug exclusivity, pediatric exclusivity, or rights similar thereto in other Regions), in each case, that confers exclusive rights to Licensee, its Affiliates or Sublicensees, as applicable to market such Product in such Region.</w:t>
      </w:r>
    </w:p>
    <w:p>
      <w:pPr>
        <w:spacing w:after="0" w:line="149" w:lineRule="exact"/>
        <w:rPr>
          <w:sz w:val="20"/>
          <w:szCs w:val="20"/>
          <w:color w:val="auto"/>
        </w:rPr>
      </w:pPr>
    </w:p>
    <w:p>
      <w:pPr>
        <w:jc w:val="both"/>
        <w:ind w:left="540" w:hanging="526"/>
        <w:spacing w:after="0" w:line="250" w:lineRule="auto"/>
        <w:tabs>
          <w:tab w:leader="none" w:pos="520" w:val="left"/>
        </w:tabs>
        <w:rPr>
          <w:sz w:val="20"/>
          <w:szCs w:val="20"/>
          <w:color w:val="auto"/>
        </w:rPr>
      </w:pPr>
      <w:r>
        <w:rPr>
          <w:rFonts w:ascii="Times New Roman" w:cs="Times New Roman" w:eastAsia="Times New Roman" w:hAnsi="Times New Roman"/>
          <w:sz w:val="15"/>
          <w:szCs w:val="15"/>
          <w:color w:val="auto"/>
        </w:rPr>
        <w:t>1.64</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Regulatory Submissions</w:t>
      </w:r>
      <w:r>
        <w:rPr>
          <w:rFonts w:ascii="Times New Roman" w:cs="Times New Roman" w:eastAsia="Times New Roman" w:hAnsi="Times New Roman"/>
          <w:sz w:val="15"/>
          <w:szCs w:val="15"/>
          <w:color w:val="auto"/>
        </w:rPr>
        <w:t>” means applications for Regulatory Approval, notifications, communications, correspondence, meeting minutes, registrations, and other submissions made to or with a Regulatory Authority that are necessary or reasonably desirable to Develop, Manufacture or Commercialize a product in a Region or regulatory jurisdiction, whether obtained before or after a Regulatory Approval in such Region or regulatory jurisdiction, including investigative new drug applications and MAAs, and amendments, renewals and supplements to any of the foregoing and their foreign counterparts, applications for pricing and reimbursement approvals, and all proposed labels, labeling, package inserts, monographs and packaging for a product in a particular Region or regulatory jurisdiction.</w:t>
      </w:r>
    </w:p>
    <w:p>
      <w:pPr>
        <w:spacing w:after="0" w:line="15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1.65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Third Party</w:t>
      </w:r>
      <w:r>
        <w:rPr>
          <w:rFonts w:ascii="Times New Roman" w:cs="Times New Roman" w:eastAsia="Times New Roman" w:hAnsi="Times New Roman"/>
          <w:sz w:val="14"/>
          <w:szCs w:val="14"/>
          <w:color w:val="auto"/>
        </w:rPr>
        <w:t>” means any Person other than XENCOR and its Affiliates, and Licensee and its Affiliates.</w:t>
      </w:r>
    </w:p>
    <w:p>
      <w:pPr>
        <w:spacing w:after="0" w:line="179" w:lineRule="exact"/>
        <w:rPr>
          <w:sz w:val="20"/>
          <w:szCs w:val="20"/>
          <w:color w:val="auto"/>
        </w:rPr>
      </w:pPr>
    </w:p>
    <w:p>
      <w:pPr>
        <w:jc w:val="both"/>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1.66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Trademark</w:t>
      </w:r>
      <w:r>
        <w:rPr>
          <w:rFonts w:ascii="Times New Roman" w:cs="Times New Roman" w:eastAsia="Times New Roman" w:hAnsi="Times New Roman"/>
          <w:sz w:val="15"/>
          <w:szCs w:val="15"/>
          <w:color w:val="auto"/>
        </w:rPr>
        <w:t>” means any trademark, trade name, service mark, service name, brand, trade dress, slogan or other indicia of origin or ownership, including registrations and applications therefor and the goodwill associated with each of the foregoing.</w:t>
      </w:r>
    </w:p>
    <w:p>
      <w:pPr>
        <w:spacing w:after="0" w:line="14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1.67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Upstream Licenses</w:t>
      </w:r>
      <w:r>
        <w:rPr>
          <w:rFonts w:ascii="Times New Roman" w:cs="Times New Roman" w:eastAsia="Times New Roman" w:hAnsi="Times New Roman"/>
          <w:sz w:val="14"/>
          <w:szCs w:val="14"/>
          <w:color w:val="auto"/>
        </w:rPr>
        <w:t xml:space="preserve">” means the agreements set forth in </w:t>
      </w:r>
      <w:r>
        <w:rPr>
          <w:rFonts w:ascii="Times New Roman" w:cs="Times New Roman" w:eastAsia="Times New Roman" w:hAnsi="Times New Roman"/>
          <w:sz w:val="14"/>
          <w:szCs w:val="14"/>
          <w:u w:val="single" w:color="auto"/>
          <w:color w:val="auto"/>
        </w:rPr>
        <w:t>Schedule 1.67</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1.68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Upstream Licensors</w:t>
      </w:r>
      <w:r>
        <w:rPr>
          <w:rFonts w:ascii="Times New Roman" w:cs="Times New Roman" w:eastAsia="Times New Roman" w:hAnsi="Times New Roman"/>
          <w:sz w:val="14"/>
          <w:szCs w:val="14"/>
          <w:color w:val="auto"/>
        </w:rPr>
        <w:t>” means the counterparties of the Upstream Licenses.</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1.69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w:t>
      </w:r>
      <w:r>
        <w:rPr>
          <w:rFonts w:ascii="Times New Roman" w:cs="Times New Roman" w:eastAsia="Times New Roman" w:hAnsi="Times New Roman"/>
          <w:sz w:val="14"/>
          <w:szCs w:val="14"/>
          <w:color w:val="auto"/>
        </w:rPr>
        <w:t>” means the United States.</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1.70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FDA</w:t>
      </w:r>
      <w:r>
        <w:rPr>
          <w:rFonts w:ascii="Times New Roman" w:cs="Times New Roman" w:eastAsia="Times New Roman" w:hAnsi="Times New Roman"/>
          <w:sz w:val="14"/>
          <w:szCs w:val="14"/>
          <w:color w:val="auto"/>
        </w:rPr>
        <w:t>” means the United States Food and Drug Administration or any successor agency thereto.</w:t>
      </w:r>
    </w:p>
    <w:p>
      <w:pPr>
        <w:spacing w:after="0" w:line="179" w:lineRule="exact"/>
        <w:rPr>
          <w:sz w:val="20"/>
          <w:szCs w:val="20"/>
          <w:color w:val="auto"/>
        </w:rPr>
      </w:pPr>
    </w:p>
    <w:p>
      <w:pPr>
        <w:jc w:val="both"/>
        <w:ind w:left="540" w:hanging="526"/>
        <w:spacing w:after="0" w:line="250" w:lineRule="auto"/>
        <w:tabs>
          <w:tab w:leader="none" w:pos="520" w:val="left"/>
        </w:tabs>
        <w:rPr>
          <w:sz w:val="20"/>
          <w:szCs w:val="20"/>
          <w:color w:val="auto"/>
        </w:rPr>
      </w:pPr>
      <w:r>
        <w:rPr>
          <w:rFonts w:ascii="Times New Roman" w:cs="Times New Roman" w:eastAsia="Times New Roman" w:hAnsi="Times New Roman"/>
          <w:sz w:val="15"/>
          <w:szCs w:val="15"/>
          <w:color w:val="auto"/>
        </w:rPr>
        <w:t>1.71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Valid Claim</w:t>
      </w:r>
      <w:r>
        <w:rPr>
          <w:rFonts w:ascii="Times New Roman" w:cs="Times New Roman" w:eastAsia="Times New Roman" w:hAnsi="Times New Roman"/>
          <w:sz w:val="15"/>
          <w:szCs w:val="15"/>
          <w:color w:val="auto"/>
        </w:rPr>
        <w:t xml:space="preserve">” means a claim of a Patent Right, which has not expired, been revoked or held unenforceable, unpatentable or invalid by a decision of a court or other Government Authority of competent jurisdiction, which is not appealable or has not been appealed within the time allowed for appeal, and which has not been abandoned, disclaimed, denied or admitted to be invalid or unenforceable through reissue, re-examination or disclaimer or other final, irrevocable action;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if a claim of a pending patent application has not issued within seven (7) years after the earliest filing date from which such claim takes priority, then such claim will not constitute a Valid Claim for the purposes of this Agreement unless and until a patent issues with such claim.</w:t>
      </w:r>
    </w:p>
    <w:p>
      <w:pPr>
        <w:spacing w:after="0" w:line="156" w:lineRule="exact"/>
        <w:rPr>
          <w:sz w:val="20"/>
          <w:szCs w:val="20"/>
          <w:color w:val="auto"/>
        </w:rPr>
      </w:pPr>
    </w:p>
    <w:p>
      <w:pPr>
        <w:jc w:val="both"/>
        <w:ind w:left="540" w:right="2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1.72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Variant</w:t>
      </w:r>
      <w:r>
        <w:rPr>
          <w:rFonts w:ascii="Times New Roman" w:cs="Times New Roman" w:eastAsia="Times New Roman" w:hAnsi="Times New Roman"/>
          <w:sz w:val="15"/>
          <w:szCs w:val="15"/>
          <w:color w:val="auto"/>
        </w:rPr>
        <w:t>” means a change in amino acid sequence by way of substitutions, insertions and/or deletions of amino acids of a Licensed Asset that are generated in the course of developing and/or optimizing the Manufacturing process for such Licensed Asset.</w:t>
      </w: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83" w:name="page284"/>
    <w:bookmarkEnd w:id="283"/>
    <w:p>
      <w:pPr>
        <w:jc w:val="both"/>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1.73</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XENCOR Competing Product</w:t>
      </w:r>
      <w:r>
        <w:rPr>
          <w:rFonts w:ascii="Times New Roman" w:cs="Times New Roman" w:eastAsia="Times New Roman" w:hAnsi="Times New Roman"/>
          <w:sz w:val="15"/>
          <w:szCs w:val="15"/>
          <w:color w:val="auto"/>
        </w:rPr>
        <w:t>” means: (a) for XmAb10171, an XmAb10171 Competing Product, (b) for XmAb6755, an XmAb6755 Competing Product, or (c) for XPro9523, an XPro9523 Competing Product.</w:t>
      </w:r>
    </w:p>
    <w:p>
      <w:pPr>
        <w:spacing w:after="0" w:line="14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1.74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XENCOR Fc Variant</w:t>
      </w:r>
      <w:r>
        <w:rPr>
          <w:rFonts w:ascii="Times New Roman" w:cs="Times New Roman" w:eastAsia="Times New Roman" w:hAnsi="Times New Roman"/>
          <w:sz w:val="14"/>
          <w:szCs w:val="14"/>
          <w:color w:val="auto"/>
        </w:rPr>
        <w:t>” means a Fc domain variant of an antibody that is covered by one (1) or more Valid Claims of any Patent Right Controlled by XENCOR.</w:t>
      </w:r>
    </w:p>
    <w:p>
      <w:pPr>
        <w:spacing w:after="0" w:line="179" w:lineRule="exact"/>
        <w:rPr>
          <w:sz w:val="20"/>
          <w:szCs w:val="20"/>
          <w:color w:val="auto"/>
        </w:rPr>
      </w:pPr>
    </w:p>
    <w:p>
      <w:pPr>
        <w:jc w:val="both"/>
        <w:ind w:left="540" w:hanging="526"/>
        <w:spacing w:after="0" w:line="252" w:lineRule="auto"/>
        <w:tabs>
          <w:tab w:leader="none" w:pos="520" w:val="left"/>
        </w:tabs>
        <w:rPr>
          <w:sz w:val="20"/>
          <w:szCs w:val="20"/>
          <w:color w:val="auto"/>
        </w:rPr>
      </w:pPr>
      <w:r>
        <w:rPr>
          <w:rFonts w:ascii="Times New Roman" w:cs="Times New Roman" w:eastAsia="Times New Roman" w:hAnsi="Times New Roman"/>
          <w:sz w:val="15"/>
          <w:szCs w:val="15"/>
          <w:color w:val="auto"/>
        </w:rPr>
        <w:t>1.75</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XENCOR General Patent Rights</w:t>
      </w:r>
      <w:r>
        <w:rPr>
          <w:rFonts w:ascii="Times New Roman" w:cs="Times New Roman" w:eastAsia="Times New Roman" w:hAnsi="Times New Roman"/>
          <w:sz w:val="15"/>
          <w:szCs w:val="15"/>
          <w:color w:val="auto"/>
        </w:rPr>
        <w:t xml:space="preserve">” means (i) the Patent Rights identified on </w:t>
      </w:r>
      <w:r>
        <w:rPr>
          <w:rFonts w:ascii="Times New Roman" w:cs="Times New Roman" w:eastAsia="Times New Roman" w:hAnsi="Times New Roman"/>
          <w:sz w:val="15"/>
          <w:szCs w:val="15"/>
          <w:u w:val="single" w:color="auto"/>
          <w:color w:val="auto"/>
        </w:rPr>
        <w:t>Schedule 1.75</w:t>
      </w:r>
      <w:r>
        <w:rPr>
          <w:rFonts w:ascii="Times New Roman" w:cs="Times New Roman" w:eastAsia="Times New Roman" w:hAnsi="Times New Roman"/>
          <w:sz w:val="15"/>
          <w:szCs w:val="15"/>
          <w:color w:val="auto"/>
        </w:rPr>
        <w:t xml:space="preserve">, (ii) with respect to such Patent Rights set forth on </w:t>
      </w:r>
      <w:r>
        <w:rPr>
          <w:rFonts w:ascii="Times New Roman" w:cs="Times New Roman" w:eastAsia="Times New Roman" w:hAnsi="Times New Roman"/>
          <w:sz w:val="15"/>
          <w:szCs w:val="15"/>
          <w:u w:val="single" w:color="auto"/>
          <w:color w:val="auto"/>
        </w:rPr>
        <w:t>Schedule 1.75</w:t>
      </w:r>
      <w:r>
        <w:rPr>
          <w:rFonts w:ascii="Times New Roman" w:cs="Times New Roman" w:eastAsia="Times New Roman" w:hAnsi="Times New Roman"/>
          <w:sz w:val="15"/>
          <w:szCs w:val="15"/>
          <w:color w:val="auto"/>
        </w:rPr>
        <w:t>, all provisional applications, substitutions, continuations, continuations-in-part, divisionals, renewals, patents of addition, reissues, reexaminations and extensions (other than XENCOR Product Specific Patent Rights), (iii) all international and domestic counterparts of any of the foregoing, and (iv) any patents issuing from any patent application described in any of the foregoing.</w:t>
      </w:r>
    </w:p>
    <w:p>
      <w:pPr>
        <w:spacing w:after="0" w:line="154" w:lineRule="exact"/>
        <w:rPr>
          <w:sz w:val="20"/>
          <w:szCs w:val="20"/>
          <w:color w:val="auto"/>
        </w:rPr>
      </w:pPr>
    </w:p>
    <w:p>
      <w:pPr>
        <w:jc w:val="both"/>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1.76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XENCOR Intellectual Property</w:t>
      </w:r>
      <w:r>
        <w:rPr>
          <w:rFonts w:ascii="Times New Roman" w:cs="Times New Roman" w:eastAsia="Times New Roman" w:hAnsi="Times New Roman"/>
          <w:sz w:val="15"/>
          <w:szCs w:val="15"/>
          <w:color w:val="auto"/>
        </w:rPr>
        <w:t xml:space="preserve">” means the XENCOR Know-How, the XENCOR Patent Rights, any Product Trademark owned by XENCOR pursuant to </w:t>
      </w:r>
      <w:r>
        <w:rPr>
          <w:rFonts w:ascii="Times New Roman" w:cs="Times New Roman" w:eastAsia="Times New Roman" w:hAnsi="Times New Roman"/>
          <w:sz w:val="15"/>
          <w:szCs w:val="15"/>
          <w:u w:val="single" w:color="auto"/>
          <w:color w:val="auto"/>
        </w:rPr>
        <w:t>Section 11.4</w:t>
      </w:r>
      <w:r>
        <w:rPr>
          <w:rFonts w:ascii="Times New Roman" w:cs="Times New Roman" w:eastAsia="Times New Roman" w:hAnsi="Times New Roman"/>
          <w:sz w:val="15"/>
          <w:szCs w:val="15"/>
          <w:color w:val="auto"/>
        </w:rPr>
        <w:t>, and all intellectual property rights therein.</w:t>
      </w:r>
    </w:p>
    <w:p>
      <w:pPr>
        <w:spacing w:after="0" w:line="141" w:lineRule="exact"/>
        <w:rPr>
          <w:sz w:val="20"/>
          <w:szCs w:val="20"/>
          <w:color w:val="auto"/>
        </w:rPr>
      </w:pPr>
    </w:p>
    <w:p>
      <w:pPr>
        <w:jc w:val="both"/>
        <w:ind w:left="540" w:hanging="526"/>
        <w:spacing w:after="0" w:line="273" w:lineRule="auto"/>
        <w:tabs>
          <w:tab w:leader="none" w:pos="520" w:val="left"/>
        </w:tabs>
        <w:rPr>
          <w:sz w:val="20"/>
          <w:szCs w:val="20"/>
          <w:color w:val="auto"/>
        </w:rPr>
      </w:pPr>
      <w:r>
        <w:rPr>
          <w:rFonts w:ascii="Times New Roman" w:cs="Times New Roman" w:eastAsia="Times New Roman" w:hAnsi="Times New Roman"/>
          <w:sz w:val="15"/>
          <w:szCs w:val="15"/>
          <w:color w:val="auto"/>
        </w:rPr>
        <w:t>1.77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XENCOR Know-How</w:t>
      </w:r>
      <w:r>
        <w:rPr>
          <w:rFonts w:ascii="Times New Roman" w:cs="Times New Roman" w:eastAsia="Times New Roman" w:hAnsi="Times New Roman"/>
          <w:sz w:val="14"/>
          <w:szCs w:val="14"/>
          <w:color w:val="auto"/>
        </w:rPr>
        <w:t>” means all Know-How (i) Controlled by XENCOR or its Affiliates as of the Execution Date or, if transferred by XENCOR to Licensee during the License Term for the corresponding Licensed Asset, that is necessary for the Development, Manufacture or Commercialization of any Licensed Asset or Product in the Licensed Territory, or</w:t>
      </w:r>
    </w:p>
    <w:p>
      <w:pPr>
        <w:ind w:right="2940" w:firstLine="535"/>
        <w:spacing w:after="0" w:line="478" w:lineRule="auto"/>
        <w:tabs>
          <w:tab w:leader="none" w:pos="743"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constitutes a XENCOR Invention. Notwithstanding the foregoing, in all cases, XENCOR Know-How does not include [***]. 1.78 “</w:t>
      </w:r>
      <w:r>
        <w:rPr>
          <w:rFonts w:ascii="Times New Roman" w:cs="Times New Roman" w:eastAsia="Times New Roman" w:hAnsi="Times New Roman"/>
          <w:sz w:val="15"/>
          <w:szCs w:val="15"/>
          <w:u w:val="single" w:color="auto"/>
          <w:color w:val="auto"/>
        </w:rPr>
        <w:t>XENCOR Patent Rights</w:t>
      </w:r>
      <w:r>
        <w:rPr>
          <w:rFonts w:ascii="Times New Roman" w:cs="Times New Roman" w:eastAsia="Times New Roman" w:hAnsi="Times New Roman"/>
          <w:sz w:val="15"/>
          <w:szCs w:val="15"/>
          <w:color w:val="auto"/>
        </w:rPr>
        <w:t>” means all XENCOR General Patent Rights and XENCOR Product Specific Patent Rights.</w:t>
      </w:r>
    </w:p>
    <w:p>
      <w:pPr>
        <w:spacing w:after="0" w:line="1" w:lineRule="exact"/>
        <w:rPr>
          <w:sz w:val="20"/>
          <w:szCs w:val="20"/>
          <w:color w:val="auto"/>
        </w:rPr>
      </w:pPr>
    </w:p>
    <w:p>
      <w:pPr>
        <w:jc w:val="both"/>
        <w:ind w:left="540" w:hanging="526"/>
        <w:spacing w:after="0" w:line="249" w:lineRule="auto"/>
        <w:tabs>
          <w:tab w:leader="none" w:pos="520" w:val="left"/>
        </w:tabs>
        <w:rPr>
          <w:sz w:val="20"/>
          <w:szCs w:val="20"/>
          <w:color w:val="auto"/>
        </w:rPr>
      </w:pPr>
      <w:r>
        <w:rPr>
          <w:rFonts w:ascii="Times New Roman" w:cs="Times New Roman" w:eastAsia="Times New Roman" w:hAnsi="Times New Roman"/>
          <w:sz w:val="15"/>
          <w:szCs w:val="15"/>
          <w:color w:val="auto"/>
        </w:rPr>
        <w:t>1.79</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XENCOR Product Specific Patent Rights</w:t>
      </w:r>
      <w:r>
        <w:rPr>
          <w:rFonts w:ascii="Times New Roman" w:cs="Times New Roman" w:eastAsia="Times New Roman" w:hAnsi="Times New Roman"/>
          <w:sz w:val="15"/>
          <w:szCs w:val="15"/>
          <w:color w:val="auto"/>
        </w:rPr>
        <w:t xml:space="preserve">” means (i) the Patent Rights identified on </w:t>
      </w:r>
      <w:r>
        <w:rPr>
          <w:rFonts w:ascii="Times New Roman" w:cs="Times New Roman" w:eastAsia="Times New Roman" w:hAnsi="Times New Roman"/>
          <w:sz w:val="15"/>
          <w:szCs w:val="15"/>
          <w:u w:val="single" w:color="auto"/>
          <w:color w:val="auto"/>
        </w:rPr>
        <w:t>Schedule 1.79</w:t>
      </w:r>
      <w:r>
        <w:rPr>
          <w:rFonts w:ascii="Times New Roman" w:cs="Times New Roman" w:eastAsia="Times New Roman" w:hAnsi="Times New Roman"/>
          <w:sz w:val="15"/>
          <w:szCs w:val="15"/>
          <w:color w:val="auto"/>
        </w:rPr>
        <w:t xml:space="preserve"> and the [***] (ii) with respect to such Patent Rights set forth on </w:t>
      </w:r>
      <w:r>
        <w:rPr>
          <w:rFonts w:ascii="Times New Roman" w:cs="Times New Roman" w:eastAsia="Times New Roman" w:hAnsi="Times New Roman"/>
          <w:sz w:val="15"/>
          <w:szCs w:val="15"/>
          <w:u w:val="single" w:color="auto"/>
          <w:color w:val="auto"/>
        </w:rPr>
        <w:t>Schedule</w:t>
      </w:r>
      <w:r>
        <w:rPr>
          <w:rFonts w:ascii="Times New Roman" w:cs="Times New Roman" w:eastAsia="Times New Roman" w:hAnsi="Times New Roman"/>
          <w:sz w:val="15"/>
          <w:szCs w:val="15"/>
          <w:color w:val="auto"/>
        </w:rPr>
        <w:t xml:space="preserve"> 1.79 and the [***], all provisional applications, substitutions, continuations, continuations-in-part, divisionals, renewals, patents of addition, reissues, reexaminations and extensions, (iii) all continuations, continuations-in-part, and divisionals of the XENCOR General Patent Rights filed after the Execution Date, in each case, that solely and specifically Cover a Licensed Asset or Product, (iv) all international and domestic counterparts of any of the foregoing, (v) any patents issuing from any patent application described in any of the foregoing (including, without limitation, all renewals, patents of additions, reissues, reexaminations and extensions of any patent issuing from a continuation, continuation-in-part or divisional referenced in clause (iii)), and (vi) any Patent Rights that claim XENCOR Inventions.</w:t>
      </w:r>
    </w:p>
    <w:p>
      <w:pPr>
        <w:spacing w:after="0" w:line="157" w:lineRule="exact"/>
        <w:rPr>
          <w:sz w:val="20"/>
          <w:szCs w:val="20"/>
          <w:color w:val="auto"/>
        </w:rPr>
      </w:pPr>
    </w:p>
    <w:p>
      <w:pPr>
        <w:jc w:val="both"/>
        <w:ind w:left="5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1.80</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XmAb10171 Competing Product</w:t>
      </w:r>
      <w:r>
        <w:rPr>
          <w:rFonts w:ascii="Times New Roman" w:cs="Times New Roman" w:eastAsia="Times New Roman" w:hAnsi="Times New Roman"/>
          <w:sz w:val="15"/>
          <w:szCs w:val="15"/>
          <w:color w:val="auto"/>
        </w:rPr>
        <w:t>” means a Competing Product for XmAb10171 that: (a) contains or comprises an antibody with a XENCOR Fc Variant enhanced in in-vivo half-life or a XENCOR Fc Variant enhanced in antibody-dependent cell-mediated cytotoxicity; and (b) does not contain or comprise any antibody with any Excluded Variant or any XENCOR Fc Variant other than a XENCOR Fc Variant solely intended to enhance in-vivo half-life or antibody-dependent cell-mediated cytotoxicity.</w:t>
      </w:r>
    </w:p>
    <w:p>
      <w:pPr>
        <w:spacing w:after="0" w:line="149" w:lineRule="exact"/>
        <w:rPr>
          <w:sz w:val="20"/>
          <w:szCs w:val="20"/>
          <w:color w:val="auto"/>
        </w:rPr>
      </w:pPr>
    </w:p>
    <w:p>
      <w:pPr>
        <w:jc w:val="both"/>
        <w:ind w:left="5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1.81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XmAb6755 Competing Product</w:t>
      </w:r>
      <w:r>
        <w:rPr>
          <w:rFonts w:ascii="Times New Roman" w:cs="Times New Roman" w:eastAsia="Times New Roman" w:hAnsi="Times New Roman"/>
          <w:sz w:val="15"/>
          <w:szCs w:val="15"/>
          <w:color w:val="auto"/>
        </w:rPr>
        <w:t>” means a Competing Product for XmAb6755 that: (a) contains or comprises an antibody with a XENCOR Fc Variant enhanced in in-vivo half-life; and (b) does not contain or comprise any antibody with any Excluded Variant or any XENCOR Fc Variant other than a XENCOR Fc Variant solely intended to enhance in-vivo half-life.</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284" w:name="page285"/>
    <w:bookmarkEnd w:id="284"/>
    <w:p>
      <w:pPr>
        <w:jc w:val="both"/>
        <w:ind w:left="5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1.82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XPro9523 Competing Product</w:t>
      </w:r>
      <w:r>
        <w:rPr>
          <w:rFonts w:ascii="Times New Roman" w:cs="Times New Roman" w:eastAsia="Times New Roman" w:hAnsi="Times New Roman"/>
          <w:sz w:val="15"/>
          <w:szCs w:val="15"/>
          <w:color w:val="auto"/>
        </w:rPr>
        <w:t>” means a Competing Product for XPro9523 that: (a) contains or comprises a XENCOR Fc Variant enhanced in in-vivo half-life; (b) does not contain or comprise any Excluded Variant or any XENCOR Fc Variant other than a XENCOR Fc Variant that solely intended to enhance in-vivo half-life; and (c) comprises a CTLA-4 protein.</w:t>
      </w:r>
    </w:p>
    <w:p>
      <w:pPr>
        <w:spacing w:after="0" w:line="14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1.83</w:t>
      </w:r>
      <w:r>
        <w:rPr>
          <w:sz w:val="20"/>
          <w:szCs w:val="20"/>
          <w:color w:val="auto"/>
        </w:rPr>
        <w:tab/>
      </w:r>
      <w:r>
        <w:rPr>
          <w:rFonts w:ascii="Times New Roman" w:cs="Times New Roman" w:eastAsia="Times New Roman" w:hAnsi="Times New Roman"/>
          <w:sz w:val="14"/>
          <w:szCs w:val="14"/>
          <w:b w:val="1"/>
          <w:bCs w:val="1"/>
          <w:color w:val="auto"/>
        </w:rPr>
        <w:t>Other Defined Terms</w:t>
      </w:r>
      <w:r>
        <w:rPr>
          <w:rFonts w:ascii="Times New Roman" w:cs="Times New Roman" w:eastAsia="Times New Roman" w:hAnsi="Times New Roman"/>
          <w:sz w:val="14"/>
          <w:szCs w:val="14"/>
          <w:color w:val="auto"/>
        </w:rPr>
        <w:t>. The following terms shall have the meanings defined for such terms in the Sections set forth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Acquirer</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8.3</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Acting Improperly</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9.3.3(b)</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Agreement</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Preamble</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Anti-Corruption Policies</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9.3.1</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Arbitral Tribunal</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15.3.3</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6.1</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Candidate Selection</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11.3.3</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Claimant</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15.3.3</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CNIPA</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11.12</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Commercialization Plan</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7.2</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Competing Activities</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8.3</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Development Plan</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4.2</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Disclosing Party</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9.1.1</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Dispute</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15.3.1</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Effective Date</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13.1.2</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Equity Consideration</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13.1.2 (b)</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Excluded Variants</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1.59</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Execution Date</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Preamble</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Final Closing</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13.1.4</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Financing</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13.1.2(a)</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Financing Closing</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13.1.2(a)</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Financing Securities</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13.1.2(a)</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Force Majeure Event</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15.4</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Force Majeure Party</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15.4</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Fully Diluted Capitalization</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13.1.2(a)</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ICC Rules</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15.3.1</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Indemnified Party</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14.3</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Indemnifying Party</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14.3</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Infringement</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11.5.1</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Infringement Remedy</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11.5.2</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Investors</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13.1.2(a)</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Liability</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14.1</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License Term</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13.1.1</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Licensee</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Preamble</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Licensee Controlled Patent Rights</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11.3.2</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Licensee Indemnified Party</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14.1</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Licensee Invention</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11.2.1</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Licensee Regulatory Submission</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5.2.1</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Licensee Representatives</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9.3</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MOFCOM</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11.12</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Non-Transferred Regulatory Approvals</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13.5.2(a)</w:t>
            </w:r>
          </w:p>
        </w:tc>
      </w:tr>
      <w:tr>
        <w:trPr>
          <w:trHeight w:val="176"/>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Party(ies)</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Preamble</w:t>
            </w:r>
          </w:p>
        </w:tc>
      </w:tr>
      <w:tr>
        <w:trPr>
          <w:trHeight w:val="190"/>
        </w:trPr>
        <w:tc>
          <w:tcPr>
            <w:tcW w:w="45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Patent Challenge</w:t>
            </w:r>
          </w:p>
        </w:tc>
        <w:tc>
          <w:tcPr>
            <w:tcW w:w="67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Section 11.13</w:t>
            </w:r>
          </w:p>
        </w:tc>
      </w:tr>
      <w:tr>
        <w:trPr>
          <w:trHeight w:val="549"/>
        </w:trPr>
        <w:tc>
          <w:tcPr>
            <w:tcW w:w="45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5"/>
                <w:szCs w:val="15"/>
                <w:color w:val="auto"/>
              </w:rPr>
              <w:t>11</w:t>
            </w:r>
          </w:p>
        </w:tc>
      </w:tr>
    </w:tbl>
    <w:p>
      <w:pPr>
        <w:sectPr>
          <w:pgSz w:w="11900" w:h="16838" w:orient="portrait"/>
          <w:cols w:equalWidth="0" w:num="1">
            <w:col w:w="11280"/>
          </w:cols>
          <w:pgMar w:left="300" w:top="762" w:right="319" w:bottom="1440" w:gutter="0" w:footer="0" w:header="0"/>
        </w:sectPr>
      </w:pPr>
    </w:p>
    <w:bookmarkStart w:id="285" w:name="page286"/>
    <w:bookmarkEnd w:id="285"/>
    <w:p>
      <w:pPr>
        <w:ind w:left="1140"/>
        <w:spacing w:after="0"/>
        <w:rPr>
          <w:sz w:val="20"/>
          <w:szCs w:val="20"/>
          <w:color w:val="auto"/>
        </w:rPr>
      </w:pPr>
      <w:r>
        <w:rPr>
          <w:rFonts w:ascii="Times New Roman" w:cs="Times New Roman" w:eastAsia="Times New Roman" w:hAnsi="Times New Roman"/>
          <w:sz w:val="15"/>
          <w:szCs w:val="15"/>
          <w:color w:val="auto"/>
        </w:rPr>
        <w:t>Product Trademark</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Proposing Party</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Receiving Party</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Recipients</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Respondent</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Royalty Term</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Sublicense</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Sublicensee</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Terminated Assets</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Third Party Patent Challenge</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True-Up Shares</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Update Meeting</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VAT</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XENCOR</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XENCOR Indemnified Party</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XENCOR Invention</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XENCOR Termination</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XENCOR Transferee</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XmAb10171</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XmAb6755</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XPro9523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Section 11.4.1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11.10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9.1.1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9.1.1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15.3.3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8.2.2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2.2.2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2.2.2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13.5</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11.7</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13.1.4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3.1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8.3.4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Preamble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14.2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11.2.1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13.5.2(a)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13.5.2(a)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1.42(a)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1.42(a)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1.42(c)</w:t>
      </w:r>
    </w:p>
    <w:p>
      <w:pPr>
        <w:spacing w:after="0" w:line="200" w:lineRule="exact"/>
        <w:rPr>
          <w:sz w:val="20"/>
          <w:szCs w:val="20"/>
          <w:color w:val="auto"/>
        </w:rPr>
      </w:pPr>
    </w:p>
    <w:p>
      <w:pPr>
        <w:sectPr>
          <w:pgSz w:w="11900" w:h="16838" w:orient="portrait"/>
          <w:cols w:equalWidth="0" w:num="2">
            <w:col w:w="5120" w:space="720"/>
            <w:col w:w="5440"/>
          </w:cols>
          <w:pgMar w:left="300" w:top="784" w:right="319" w:bottom="1440" w:gutter="0" w:footer="0" w:header="0"/>
        </w:sectPr>
      </w:pPr>
    </w:p>
    <w:p>
      <w:pPr>
        <w:spacing w:after="0" w:line="13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1.84</w:t>
      </w:r>
      <w:r>
        <w:rPr>
          <w:sz w:val="20"/>
          <w:szCs w:val="20"/>
          <w:color w:val="auto"/>
        </w:rPr>
        <w:tab/>
      </w:r>
      <w:r>
        <w:rPr>
          <w:rFonts w:ascii="Times New Roman" w:cs="Times New Roman" w:eastAsia="Times New Roman" w:hAnsi="Times New Roman"/>
          <w:sz w:val="14"/>
          <w:szCs w:val="14"/>
          <w:b w:val="1"/>
          <w:bCs w:val="1"/>
          <w:color w:val="auto"/>
        </w:rPr>
        <w:t>Interpretation</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left="1060" w:right="2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1.84.1</w:t>
        <w:tab/>
        <w:t>The phrase “directly or indirectly” means directly or indirectly through one or more intermediate Persons or through contractual or other arrangements, and “direct or indirect” has the correlative meaning.</w:t>
      </w:r>
    </w:p>
    <w:p>
      <w:pPr>
        <w:spacing w:after="0" w:line="141" w:lineRule="exact"/>
        <w:rPr>
          <w:sz w:val="20"/>
          <w:szCs w:val="20"/>
          <w:color w:val="auto"/>
        </w:rPr>
      </w:pPr>
    </w:p>
    <w:p>
      <w:pPr>
        <w:jc w:val="both"/>
        <w:ind w:left="106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1.84.2</w:t>
        <w:tab/>
        <w:t>Unless the context otherwise requires, all words (whether gender-specific or gender neutral) shall be deemed to include each of the masculine, feminine and neuter genders, and words importing the singular include the plural and vice versa, and the word “or” has the inclusive meaning represented by the phrase “and/or.”</w:t>
      </w:r>
    </w:p>
    <w:p>
      <w:pPr>
        <w:spacing w:after="0" w:line="141"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1.84.3</w:t>
      </w:r>
      <w:r>
        <w:rPr>
          <w:sz w:val="20"/>
          <w:szCs w:val="20"/>
          <w:color w:val="auto"/>
        </w:rPr>
        <w:tab/>
      </w:r>
      <w:r>
        <w:rPr>
          <w:rFonts w:ascii="Times New Roman" w:cs="Times New Roman" w:eastAsia="Times New Roman" w:hAnsi="Times New Roman"/>
          <w:sz w:val="14"/>
          <w:szCs w:val="14"/>
          <w:color w:val="auto"/>
        </w:rPr>
        <w:t>Headings are included for convenience only and shall not affect the construction of any provision of this Agreement.</w:t>
      </w:r>
    </w:p>
    <w:p>
      <w:pPr>
        <w:spacing w:after="0" w:line="179"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1.84.4</w:t>
      </w:r>
      <w:r>
        <w:rPr>
          <w:sz w:val="20"/>
          <w:szCs w:val="20"/>
          <w:color w:val="auto"/>
        </w:rPr>
        <w:tab/>
      </w:r>
      <w:r>
        <w:rPr>
          <w:rFonts w:ascii="Times New Roman" w:cs="Times New Roman" w:eastAsia="Times New Roman" w:hAnsi="Times New Roman"/>
          <w:sz w:val="14"/>
          <w:szCs w:val="14"/>
          <w:color w:val="auto"/>
        </w:rPr>
        <w:t>“Include,” “including,” “are inclusive of” and similar expressions are not expressions of limitation and shall be construed as if followed by the words “without limitation.”</w:t>
      </w:r>
    </w:p>
    <w:p>
      <w:pPr>
        <w:spacing w:after="0" w:line="179"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1.84.5</w:t>
      </w:r>
      <w:r>
        <w:rPr>
          <w:sz w:val="20"/>
          <w:szCs w:val="20"/>
          <w:color w:val="auto"/>
        </w:rPr>
        <w:tab/>
      </w:r>
      <w:r>
        <w:rPr>
          <w:rFonts w:ascii="Times New Roman" w:cs="Times New Roman" w:eastAsia="Times New Roman" w:hAnsi="Times New Roman"/>
          <w:sz w:val="14"/>
          <w:szCs w:val="14"/>
          <w:color w:val="auto"/>
        </w:rPr>
        <w:t>The word “will” shall be construed to have the same meaning and effect as the word “shall.”</w:t>
      </w:r>
    </w:p>
    <w:p>
      <w:pPr>
        <w:spacing w:after="0" w:line="179" w:lineRule="exact"/>
        <w:rPr>
          <w:sz w:val="20"/>
          <w:szCs w:val="20"/>
          <w:color w:val="auto"/>
        </w:rPr>
      </w:pPr>
    </w:p>
    <w:p>
      <w:pPr>
        <w:jc w:val="both"/>
        <w:ind w:left="106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1.84.6</w:t>
        <w:tab/>
        <w:t>References to any specific law, rule or regulation, or article, section or other division thereof, shall be deemed to include the then-current amendments thereto or any replacement or successor law, rule or regulation thereof.</w:t>
      </w:r>
    </w:p>
    <w:p>
      <w:pPr>
        <w:spacing w:after="0" w:line="141" w:lineRule="exact"/>
        <w:rPr>
          <w:sz w:val="20"/>
          <w:szCs w:val="20"/>
          <w:color w:val="auto"/>
        </w:rPr>
      </w:pPr>
    </w:p>
    <w:p>
      <w:pPr>
        <w:jc w:val="both"/>
        <w:ind w:left="1060" w:hanging="526"/>
        <w:spacing w:after="0" w:line="252" w:lineRule="auto"/>
        <w:tabs>
          <w:tab w:leader="none" w:pos="1040" w:val="left"/>
        </w:tabs>
        <w:rPr>
          <w:sz w:val="20"/>
          <w:szCs w:val="20"/>
          <w:color w:val="auto"/>
        </w:rPr>
      </w:pPr>
      <w:r>
        <w:rPr>
          <w:rFonts w:ascii="Times New Roman" w:cs="Times New Roman" w:eastAsia="Times New Roman" w:hAnsi="Times New Roman"/>
          <w:sz w:val="15"/>
          <w:szCs w:val="15"/>
          <w:color w:val="auto"/>
        </w:rPr>
        <w:t>1.84.7</w:t>
        <w:tab/>
        <w:t>References to this Agreement include the Exhibits and Schedules, which form an integral part hereof. A reference to any Section, Schedule or Exhibit is, unless otherwise specified, to such Section, Schedule or Exhibit to this Agreement. The words “hereof,” “hereunder” and “hereto,” and words of like import, unless the context requires otherwise, refer to this Agreement as a whole and not to any particular clause hereof, or Schedule or Exhibit hereto. A reference to any document (including this Agreement) is to that document as amended, consolidated, supplemented, novated or replaced from time to time.</w:t>
      </w: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84" w:right="319" w:bottom="1440" w:gutter="0" w:footer="0" w:header="0"/>
          <w:type w:val="continuous"/>
        </w:sectPr>
      </w:pPr>
    </w:p>
    <w:bookmarkStart w:id="286" w:name="page287"/>
    <w:bookmarkEnd w:id="286"/>
    <w:p>
      <w:pPr>
        <w:ind w:left="1060" w:right="2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1.84.8</w:t>
        <w:tab/>
        <w:t>Whenever this Agreement refers to a number of days, unless otherwise specified, such number refers to calendar days. If a period of time is specified and dates from a given day or the day of a given act or event, such period shall be calculated exclusive of that day.</w:t>
      </w:r>
    </w:p>
    <w:p>
      <w:pPr>
        <w:spacing w:after="0" w:line="141"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1.84.9</w:t>
      </w:r>
      <w:r>
        <w:rPr>
          <w:sz w:val="20"/>
          <w:szCs w:val="20"/>
          <w:color w:val="auto"/>
        </w:rPr>
        <w:tab/>
      </w:r>
      <w:r>
        <w:rPr>
          <w:rFonts w:ascii="Times New Roman" w:cs="Times New Roman" w:eastAsia="Times New Roman" w:hAnsi="Times New Roman"/>
          <w:sz w:val="14"/>
          <w:szCs w:val="14"/>
          <w:color w:val="auto"/>
        </w:rPr>
        <w:t>References to writing and written include any mode of reproducing words in a legible and non-transitory form, including e-mails and faxes.</w:t>
      </w:r>
    </w:p>
    <w:p>
      <w:pPr>
        <w:spacing w:after="0" w:line="1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1.85</w:t>
      </w:r>
      <w:r>
        <w:rPr>
          <w:sz w:val="20"/>
          <w:szCs w:val="20"/>
          <w:color w:val="auto"/>
        </w:rPr>
        <w:tab/>
      </w:r>
      <w:r>
        <w:rPr>
          <w:rFonts w:ascii="Times New Roman" w:cs="Times New Roman" w:eastAsia="Times New Roman" w:hAnsi="Times New Roman"/>
          <w:sz w:val="14"/>
          <w:szCs w:val="14"/>
          <w:b w:val="1"/>
          <w:bCs w:val="1"/>
          <w:color w:val="auto"/>
        </w:rPr>
        <w:t>Language</w:t>
      </w:r>
      <w:r>
        <w:rPr>
          <w:rFonts w:ascii="Times New Roman" w:cs="Times New Roman" w:eastAsia="Times New Roman" w:hAnsi="Times New Roman"/>
          <w:sz w:val="14"/>
          <w:szCs w:val="14"/>
          <w:color w:val="auto"/>
        </w:rPr>
        <w:t>. This Agreement is drawn up in the English language. If this Agreement is translated into any language other than English, the English language text shall prevail.</w:t>
      </w:r>
    </w:p>
    <w:p>
      <w:pPr>
        <w:spacing w:after="0" w:line="179" w:lineRule="exact"/>
        <w:rPr>
          <w:sz w:val="20"/>
          <w:szCs w:val="20"/>
          <w:color w:val="auto"/>
        </w:rPr>
      </w:pPr>
    </w:p>
    <w:p>
      <w:pPr>
        <w:ind w:left="540" w:hanging="532"/>
        <w:spacing w:after="0"/>
        <w:tabs>
          <w:tab w:leader="none" w:pos="540" w:val="left"/>
        </w:tabs>
        <w:numPr>
          <w:ilvl w:val="0"/>
          <w:numId w:val="14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Grant of Rights; Non-Compete</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2.1</w:t>
      </w:r>
      <w:r>
        <w:rPr>
          <w:sz w:val="20"/>
          <w:szCs w:val="20"/>
          <w:color w:val="auto"/>
        </w:rPr>
        <w:tab/>
      </w:r>
      <w:r>
        <w:rPr>
          <w:rFonts w:ascii="Times New Roman" w:cs="Times New Roman" w:eastAsia="Times New Roman" w:hAnsi="Times New Roman"/>
          <w:sz w:val="14"/>
          <w:szCs w:val="14"/>
          <w:b w:val="1"/>
          <w:bCs w:val="1"/>
          <w:color w:val="auto"/>
        </w:rPr>
        <w:t>License Grants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060" w:hanging="526"/>
        <w:spacing w:after="0" w:line="251" w:lineRule="auto"/>
        <w:tabs>
          <w:tab w:leader="none" w:pos="1040" w:val="left"/>
        </w:tabs>
        <w:rPr>
          <w:sz w:val="20"/>
          <w:szCs w:val="20"/>
          <w:color w:val="auto"/>
        </w:rPr>
      </w:pPr>
      <w:r>
        <w:rPr>
          <w:rFonts w:ascii="Times New Roman" w:cs="Times New Roman" w:eastAsia="Times New Roman" w:hAnsi="Times New Roman"/>
          <w:sz w:val="15"/>
          <w:szCs w:val="15"/>
          <w:color w:val="auto"/>
        </w:rPr>
        <w:t>2.1.1</w:t>
      </w:r>
      <w:r>
        <w:rPr>
          <w:sz w:val="20"/>
          <w:szCs w:val="20"/>
          <w:color w:val="auto"/>
        </w:rPr>
        <w:tab/>
      </w:r>
      <w:r>
        <w:rPr>
          <w:rFonts w:ascii="Times New Roman" w:cs="Times New Roman" w:eastAsia="Times New Roman" w:hAnsi="Times New Roman"/>
          <w:sz w:val="15"/>
          <w:szCs w:val="15"/>
          <w:b w:val="1"/>
          <w:bCs w:val="1"/>
          <w:color w:val="auto"/>
        </w:rPr>
        <w:t>By XENCOR</w:t>
      </w:r>
      <w:r>
        <w:rPr>
          <w:rFonts w:ascii="Times New Roman" w:cs="Times New Roman" w:eastAsia="Times New Roman" w:hAnsi="Times New Roman"/>
          <w:sz w:val="15"/>
          <w:szCs w:val="15"/>
          <w:color w:val="auto"/>
        </w:rPr>
        <w:t>. Subject to the terms and conditions of this Agreement, XENCOR hereby grants to Licensee an exclusive (even as to XENCOR and its Affiliates, except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extent necessary for XENCOR and its Affiliates to perform its obligations hereunder and except as set forth in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 xml:space="preserve">), royalty-bearing, sublicenseable (through multiple tiers, subject to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xml:space="preserve">), and non-transferable (except as permitted under </w:t>
      </w:r>
      <w:r>
        <w:rPr>
          <w:rFonts w:ascii="Times New Roman" w:cs="Times New Roman" w:eastAsia="Times New Roman" w:hAnsi="Times New Roman"/>
          <w:sz w:val="15"/>
          <w:szCs w:val="15"/>
          <w:u w:val="single" w:color="auto"/>
          <w:color w:val="auto"/>
        </w:rPr>
        <w:t>Section 15.1</w:t>
      </w:r>
      <w:r>
        <w:rPr>
          <w:rFonts w:ascii="Times New Roman" w:cs="Times New Roman" w:eastAsia="Times New Roman" w:hAnsi="Times New Roman"/>
          <w:sz w:val="15"/>
          <w:szCs w:val="15"/>
          <w:color w:val="auto"/>
        </w:rPr>
        <w:t xml:space="preserve">) license under the XENCOR Patent Rights and XENCOR’s interests in Joint Patent Rights, and a non-exclusive payment bearing license under XENCOR Know-How, in each case, to Develop, Manufacture (subject to </w:t>
      </w:r>
      <w:r>
        <w:rPr>
          <w:rFonts w:ascii="Times New Roman" w:cs="Times New Roman" w:eastAsia="Times New Roman" w:hAnsi="Times New Roman"/>
          <w:sz w:val="15"/>
          <w:szCs w:val="15"/>
          <w:u w:val="single" w:color="auto"/>
          <w:color w:val="auto"/>
        </w:rPr>
        <w:t>Article 6</w:t>
      </w:r>
      <w:r>
        <w:rPr>
          <w:rFonts w:ascii="Times New Roman" w:cs="Times New Roman" w:eastAsia="Times New Roman" w:hAnsi="Times New Roman"/>
          <w:sz w:val="15"/>
          <w:szCs w:val="15"/>
          <w:color w:val="auto"/>
        </w:rPr>
        <w:t>), Commercialize, and otherwise use, sell, offer for sale, and import the Licensed Assets and Products in the Field in the Licensed Territory.</w:t>
      </w:r>
    </w:p>
    <w:p>
      <w:pPr>
        <w:spacing w:after="0" w:line="153" w:lineRule="exact"/>
        <w:rPr>
          <w:sz w:val="20"/>
          <w:szCs w:val="20"/>
          <w:color w:val="auto"/>
        </w:rPr>
      </w:pPr>
    </w:p>
    <w:p>
      <w:pPr>
        <w:jc w:val="both"/>
        <w:ind w:left="1060" w:hanging="526"/>
        <w:spacing w:after="0" w:line="251" w:lineRule="auto"/>
        <w:tabs>
          <w:tab w:leader="none" w:pos="1040" w:val="left"/>
        </w:tabs>
        <w:rPr>
          <w:sz w:val="20"/>
          <w:szCs w:val="20"/>
          <w:color w:val="auto"/>
        </w:rPr>
      </w:pPr>
      <w:r>
        <w:rPr>
          <w:rFonts w:ascii="Times New Roman" w:cs="Times New Roman" w:eastAsia="Times New Roman" w:hAnsi="Times New Roman"/>
          <w:sz w:val="15"/>
          <w:szCs w:val="15"/>
          <w:color w:val="auto"/>
        </w:rPr>
        <w:t>2.1.2</w:t>
      </w:r>
      <w:r>
        <w:rPr>
          <w:sz w:val="20"/>
          <w:szCs w:val="20"/>
          <w:color w:val="auto"/>
        </w:rPr>
        <w:tab/>
      </w:r>
      <w:r>
        <w:rPr>
          <w:rFonts w:ascii="Times New Roman" w:cs="Times New Roman" w:eastAsia="Times New Roman" w:hAnsi="Times New Roman"/>
          <w:sz w:val="15"/>
          <w:szCs w:val="15"/>
          <w:b w:val="1"/>
          <w:bCs w:val="1"/>
          <w:color w:val="auto"/>
        </w:rPr>
        <w:t>Negative Covenant</w:t>
      </w:r>
      <w:r>
        <w:rPr>
          <w:rFonts w:ascii="Times New Roman" w:cs="Times New Roman" w:eastAsia="Times New Roman" w:hAnsi="Times New Roman"/>
          <w:sz w:val="15"/>
          <w:szCs w:val="15"/>
          <w:color w:val="auto"/>
        </w:rPr>
        <w:t>. Licensee covenants that it will not use or practice any of XENCOR’s rights to and under the XENCOR Patent Rights, XENCOR Know-How or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Intellectual Property rights licensed (or sublicensed, as applicable) to it under this </w:t>
      </w:r>
      <w:r>
        <w:rPr>
          <w:rFonts w:ascii="Times New Roman" w:cs="Times New Roman" w:eastAsia="Times New Roman" w:hAnsi="Times New Roman"/>
          <w:sz w:val="15"/>
          <w:szCs w:val="15"/>
          <w:u w:val="single" w:color="auto"/>
          <w:color w:val="auto"/>
        </w:rPr>
        <w:t>Article 2</w:t>
      </w:r>
      <w:r>
        <w:rPr>
          <w:rFonts w:ascii="Times New Roman" w:cs="Times New Roman" w:eastAsia="Times New Roman" w:hAnsi="Times New Roman"/>
          <w:sz w:val="15"/>
          <w:szCs w:val="15"/>
          <w:color w:val="auto"/>
        </w:rPr>
        <w:t>, except for the purposes expressly permitted in the applicable license grant. Licensee covenants that it will not research or develop (including Develop) the Licensed Assets itself, including not developing any modification, variant (including Variants), fragment, progeny or derivatives of such Licensed Assets, in each case, in a way that would produce a molecule that is neither the Licensed Asset nor a molecule that falls within the definition of a Product.</w:t>
      </w:r>
    </w:p>
    <w:p>
      <w:pPr>
        <w:spacing w:after="0" w:line="15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2.2</w:t>
      </w:r>
      <w:r>
        <w:rPr>
          <w:sz w:val="20"/>
          <w:szCs w:val="20"/>
          <w:color w:val="auto"/>
        </w:rPr>
        <w:tab/>
      </w:r>
      <w:r>
        <w:rPr>
          <w:rFonts w:ascii="Times New Roman" w:cs="Times New Roman" w:eastAsia="Times New Roman" w:hAnsi="Times New Roman"/>
          <w:sz w:val="14"/>
          <w:szCs w:val="14"/>
          <w:b w:val="1"/>
          <w:bCs w:val="1"/>
          <w:color w:val="auto"/>
        </w:rPr>
        <w:t>Sublicensing by Licensee</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060" w:hanging="526"/>
        <w:spacing w:after="0" w:line="272" w:lineRule="auto"/>
        <w:tabs>
          <w:tab w:leader="none" w:pos="1040" w:val="left"/>
        </w:tabs>
        <w:rPr>
          <w:sz w:val="20"/>
          <w:szCs w:val="20"/>
          <w:color w:val="auto"/>
        </w:rPr>
      </w:pPr>
      <w:r>
        <w:rPr>
          <w:rFonts w:ascii="Times New Roman" w:cs="Times New Roman" w:eastAsia="Times New Roman" w:hAnsi="Times New Roman"/>
          <w:sz w:val="15"/>
          <w:szCs w:val="15"/>
          <w:color w:val="auto"/>
        </w:rPr>
        <w:t>2.2.1</w:t>
      </w:r>
      <w:r>
        <w:rPr>
          <w:sz w:val="20"/>
          <w:szCs w:val="20"/>
          <w:color w:val="auto"/>
        </w:rPr>
        <w:tab/>
      </w:r>
      <w:r>
        <w:rPr>
          <w:rFonts w:ascii="Times New Roman" w:cs="Times New Roman" w:eastAsia="Times New Roman" w:hAnsi="Times New Roman"/>
          <w:sz w:val="15"/>
          <w:szCs w:val="15"/>
          <w:b w:val="1"/>
          <w:bCs w:val="1"/>
          <w:color w:val="auto"/>
        </w:rPr>
        <w:t>Sublicensing</w:t>
      </w:r>
      <w:r>
        <w:rPr>
          <w:rFonts w:ascii="Times New Roman" w:cs="Times New Roman" w:eastAsia="Times New Roman" w:hAnsi="Times New Roman"/>
          <w:sz w:val="15"/>
          <w:szCs w:val="15"/>
          <w:color w:val="auto"/>
        </w:rPr>
        <w:t>. Licensee shall be permitted to sublicense (through multiple tiers) its rights under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relation to any Licensed Asset or Product, to its Affiliates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any Third Party, in each case, without XENCOR’s prior written consent, subject to </w:t>
      </w:r>
      <w:r>
        <w:rPr>
          <w:rFonts w:ascii="Times New Roman" w:cs="Times New Roman" w:eastAsia="Times New Roman" w:hAnsi="Times New Roman"/>
          <w:sz w:val="15"/>
          <w:szCs w:val="15"/>
          <w:u w:val="single" w:color="auto"/>
          <w:color w:val="auto"/>
        </w:rPr>
        <w:t>Section 2.2.2</w:t>
      </w:r>
      <w:r>
        <w:rPr>
          <w:rFonts w:ascii="Times New Roman" w:cs="Times New Roman" w:eastAsia="Times New Roman" w:hAnsi="Times New Roman"/>
          <w:sz w:val="15"/>
          <w:szCs w:val="15"/>
          <w:color w:val="auto"/>
        </w:rPr>
        <w:t>.</w:t>
      </w:r>
    </w:p>
    <w:p>
      <w:pPr>
        <w:spacing w:after="0" w:line="136" w:lineRule="exact"/>
        <w:rPr>
          <w:sz w:val="20"/>
          <w:szCs w:val="20"/>
          <w:color w:val="auto"/>
        </w:rPr>
      </w:pPr>
    </w:p>
    <w:p>
      <w:pPr>
        <w:jc w:val="both"/>
        <w:ind w:left="1060" w:hanging="526"/>
        <w:spacing w:after="0" w:line="270" w:lineRule="auto"/>
        <w:tabs>
          <w:tab w:leader="none" w:pos="1040" w:val="left"/>
        </w:tabs>
        <w:rPr>
          <w:sz w:val="20"/>
          <w:szCs w:val="20"/>
          <w:color w:val="auto"/>
        </w:rPr>
      </w:pPr>
      <w:r>
        <w:rPr>
          <w:rFonts w:ascii="Times New Roman" w:cs="Times New Roman" w:eastAsia="Times New Roman" w:hAnsi="Times New Roman"/>
          <w:sz w:val="15"/>
          <w:szCs w:val="15"/>
          <w:color w:val="auto"/>
        </w:rPr>
        <w:t>2.2.2</w:t>
      </w:r>
      <w:r>
        <w:rPr>
          <w:sz w:val="20"/>
          <w:szCs w:val="20"/>
          <w:color w:val="auto"/>
        </w:rPr>
        <w:tab/>
      </w:r>
      <w:r>
        <w:rPr>
          <w:rFonts w:ascii="Times New Roman" w:cs="Times New Roman" w:eastAsia="Times New Roman" w:hAnsi="Times New Roman"/>
          <w:sz w:val="14"/>
          <w:szCs w:val="14"/>
          <w:b w:val="1"/>
          <w:bCs w:val="1"/>
          <w:color w:val="auto"/>
        </w:rPr>
        <w:t>Sublicense Requirements</w:t>
      </w:r>
      <w:r>
        <w:rPr>
          <w:rFonts w:ascii="Times New Roman" w:cs="Times New Roman" w:eastAsia="Times New Roman" w:hAnsi="Times New Roman"/>
          <w:sz w:val="14"/>
          <w:szCs w:val="14"/>
          <w:color w:val="auto"/>
        </w:rPr>
        <w:t>. Each sublicense granted pursuant to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(each, a “</w:t>
      </w:r>
      <w:r>
        <w:rPr>
          <w:rFonts w:ascii="Times New Roman" w:cs="Times New Roman" w:eastAsia="Times New Roman" w:hAnsi="Times New Roman"/>
          <w:sz w:val="14"/>
          <w:szCs w:val="14"/>
          <w:u w:val="single" w:color="auto"/>
          <w:color w:val="auto"/>
        </w:rPr>
        <w:t>Sublicense</w:t>
      </w:r>
      <w:r>
        <w:rPr>
          <w:rFonts w:ascii="Times New Roman" w:cs="Times New Roman" w:eastAsia="Times New Roman" w:hAnsi="Times New Roman"/>
          <w:sz w:val="14"/>
          <w:szCs w:val="14"/>
          <w:color w:val="auto"/>
        </w:rPr>
        <w:t>”) shall: (a) be in writing; (b) be subject and subordinate to,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consistent with, the terms and conditions of this Agreement; (c) require its Affiliates, or the Third Party who is a party to such Sublicense (such party, the “</w:t>
      </w:r>
      <w:r>
        <w:rPr>
          <w:rFonts w:ascii="Times New Roman" w:cs="Times New Roman" w:eastAsia="Times New Roman" w:hAnsi="Times New Roman"/>
          <w:sz w:val="14"/>
          <w:szCs w:val="14"/>
          <w:u w:val="single" w:color="auto"/>
          <w:color w:val="auto"/>
        </w:rPr>
        <w:t>Sublicensee</w:t>
      </w:r>
      <w:r>
        <w:rPr>
          <w:rFonts w:ascii="Times New Roman" w:cs="Times New Roman" w:eastAsia="Times New Roman" w:hAnsi="Times New Roman"/>
          <w:sz w:val="14"/>
          <w:szCs w:val="14"/>
          <w:color w:val="auto"/>
        </w:rPr>
        <w:t xml:space="preserve">”) to assign Intellectual Property in accordance with </w:t>
      </w:r>
      <w:r>
        <w:rPr>
          <w:rFonts w:ascii="Times New Roman" w:cs="Times New Roman" w:eastAsia="Times New Roman" w:hAnsi="Times New Roman"/>
          <w:sz w:val="14"/>
          <w:szCs w:val="14"/>
          <w:u w:val="single" w:color="auto"/>
          <w:color w:val="auto"/>
        </w:rPr>
        <w:t>Section 11.2.2</w:t>
      </w:r>
      <w:r>
        <w:rPr>
          <w:rFonts w:ascii="Times New Roman" w:cs="Times New Roman" w:eastAsia="Times New Roman" w:hAnsi="Times New Roman"/>
          <w:sz w:val="14"/>
          <w:szCs w:val="14"/>
          <w:color w:val="auto"/>
        </w:rPr>
        <w:t>; (d) require the Sublicensee to comply with the Anti-Corruption Laws and the Anti-Corruption Policies; and</w:t>
      </w:r>
    </w:p>
    <w:p>
      <w:pPr>
        <w:spacing w:after="0" w:line="1" w:lineRule="exact"/>
        <w:rPr>
          <w:sz w:val="20"/>
          <w:szCs w:val="20"/>
          <w:color w:val="auto"/>
        </w:rPr>
      </w:pPr>
    </w:p>
    <w:p>
      <w:pPr>
        <w:jc w:val="both"/>
        <w:ind w:left="1060" w:firstLine="3"/>
        <w:spacing w:after="0" w:line="264" w:lineRule="auto"/>
        <w:tabs>
          <w:tab w:leader="none" w:pos="1261"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only be granted pursuant to an arm’s length transaction for fair market value consideration (except for Sublicenses granted (i) to Licensee’s Affiliates for (and only for) so long as such Affiliates remain Licensee’s Affiliates, or (ii) to Licensee’s subcontractors solely for purpose of performing Licensee’s obligations under this Agreement). Licensee will provide XENCOR with a written notice of any sublicense granted by Licensee pursuant to this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to any Affiliates or Third Party (not including subcontractors of Licensee) no later than [***] after the effective date thereof and will provide XENCOR with a true and complete copy of each Third Party sublicense agreement, except that Licensee may redact any confidential or proprietary information contained therein that is not necessary for XENCOR to determine compliance with this Agreement. Licensee shall remain liable for, and obligated to, perform all of its obligations under this Agreement and shall be liable for the performance of, and any acts, omissions or breaches by, each of its Sublicensees. Licensee shall ensure that each of its Sublicensees complies with all relevant provisions of this Agreement. For the avoidance of doubt, (i) Licensee will remain directly responsible for all amounts owed to XENCOR under this Agreement, and (ii) Licensee shall cause each Sublicensee (including each tier of Sublicensee) to be subject to the negative and restrictive covenants set forth in </w:t>
      </w:r>
      <w:r>
        <w:rPr>
          <w:rFonts w:ascii="Times New Roman" w:cs="Times New Roman" w:eastAsia="Times New Roman" w:hAnsi="Times New Roman"/>
          <w:sz w:val="14"/>
          <w:szCs w:val="14"/>
          <w:u w:val="single" w:color="auto"/>
          <w:color w:val="auto"/>
        </w:rPr>
        <w:t>Sections 2.1.2</w:t>
      </w:r>
      <w:r>
        <w:rPr>
          <w:rFonts w:ascii="Times New Roman" w:cs="Times New Roman" w:eastAsia="Times New Roman" w:hAnsi="Times New Roman"/>
          <w:sz w:val="14"/>
          <w:szCs w:val="14"/>
          <w:color w:val="auto"/>
        </w:rPr>
        <w:t>. Licensee hereby expressly waives any requirement that XENCOR exhaust any right, power or remedy, or proceed against a Sublicensee, for any obligation or performance hereunder prior to proceeding directly against Licensee.</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287" w:name="page288"/>
    <w:bookmarkEnd w:id="287"/>
    <w:p>
      <w:pPr>
        <w:spacing w:after="0"/>
        <w:tabs>
          <w:tab w:leader="none" w:pos="520" w:val="left"/>
        </w:tabs>
        <w:rPr>
          <w:sz w:val="20"/>
          <w:szCs w:val="20"/>
          <w:color w:val="auto"/>
        </w:rPr>
      </w:pPr>
      <w:r>
        <w:rPr>
          <w:rFonts w:ascii="Times New Roman" w:cs="Times New Roman" w:eastAsia="Times New Roman" w:hAnsi="Times New Roman"/>
          <w:sz w:val="15"/>
          <w:szCs w:val="15"/>
          <w:color w:val="auto"/>
        </w:rPr>
        <w:t>2.3</w:t>
      </w:r>
      <w:r>
        <w:rPr>
          <w:sz w:val="20"/>
          <w:szCs w:val="20"/>
          <w:color w:val="auto"/>
        </w:rPr>
        <w:tab/>
      </w:r>
      <w:r>
        <w:rPr>
          <w:rFonts w:ascii="Times New Roman" w:cs="Times New Roman" w:eastAsia="Times New Roman" w:hAnsi="Times New Roman"/>
          <w:sz w:val="14"/>
          <w:szCs w:val="14"/>
          <w:b w:val="1"/>
          <w:bCs w:val="1"/>
          <w:color w:val="auto"/>
        </w:rPr>
        <w:t>Retained Rights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left="1060" w:hanging="526"/>
        <w:spacing w:after="0" w:line="257" w:lineRule="auto"/>
        <w:tabs>
          <w:tab w:leader="none" w:pos="1040" w:val="left"/>
        </w:tabs>
        <w:rPr>
          <w:sz w:val="20"/>
          <w:szCs w:val="20"/>
          <w:color w:val="auto"/>
        </w:rPr>
      </w:pPr>
      <w:r>
        <w:rPr>
          <w:rFonts w:ascii="Times New Roman" w:cs="Times New Roman" w:eastAsia="Times New Roman" w:hAnsi="Times New Roman"/>
          <w:sz w:val="15"/>
          <w:szCs w:val="15"/>
          <w:color w:val="auto"/>
        </w:rPr>
        <w:t>2.3.1</w:t>
      </w:r>
      <w:r>
        <w:rPr>
          <w:sz w:val="20"/>
          <w:szCs w:val="20"/>
          <w:color w:val="auto"/>
        </w:rPr>
        <w:tab/>
      </w:r>
      <w:r>
        <w:rPr>
          <w:rFonts w:ascii="Times New Roman" w:cs="Times New Roman" w:eastAsia="Times New Roman" w:hAnsi="Times New Roman"/>
          <w:sz w:val="15"/>
          <w:szCs w:val="15"/>
          <w:color w:val="auto"/>
        </w:rPr>
        <w:t xml:space="preserve">Notwithstanding the exclusivity of the licenses under XENCOR Patent Rights and XENCOR’s interests in Joint Patent Rights granted by XENCOR to Licensee under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XENCOR hereby retains the right to practice XENCOR Patent Rights in the Field in the Licensed Territory solely as necessary to exercise its rights or perform its obligations under this Agreement.</w:t>
      </w:r>
    </w:p>
    <w:p>
      <w:pPr>
        <w:spacing w:after="0" w:line="149" w:lineRule="exact"/>
        <w:rPr>
          <w:sz w:val="20"/>
          <w:szCs w:val="20"/>
          <w:color w:val="auto"/>
        </w:rPr>
      </w:pPr>
    </w:p>
    <w:p>
      <w:pPr>
        <w:jc w:val="both"/>
        <w:ind w:left="106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2.3.2</w:t>
      </w:r>
      <w:r>
        <w:rPr>
          <w:sz w:val="20"/>
          <w:szCs w:val="20"/>
          <w:color w:val="auto"/>
        </w:rPr>
        <w:tab/>
      </w:r>
      <w:r>
        <w:rPr>
          <w:rFonts w:ascii="Times New Roman" w:cs="Times New Roman" w:eastAsia="Times New Roman" w:hAnsi="Times New Roman"/>
          <w:sz w:val="15"/>
          <w:szCs w:val="15"/>
          <w:color w:val="auto"/>
        </w:rPr>
        <w:t xml:space="preserve">For clarity, XENCOR retains the exclusive right to practice and license XENCOR Intellectual Property outside the scope of the licenses granted to Licensee under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jc w:val="both"/>
        <w:ind w:left="106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2.3.3</w:t>
      </w:r>
      <w:r>
        <w:rPr>
          <w:sz w:val="20"/>
          <w:szCs w:val="20"/>
          <w:color w:val="auto"/>
        </w:rPr>
        <w:tab/>
      </w:r>
      <w:r>
        <w:rPr>
          <w:rFonts w:ascii="Times New Roman" w:cs="Times New Roman" w:eastAsia="Times New Roman" w:hAnsi="Times New Roman"/>
          <w:sz w:val="15"/>
          <w:szCs w:val="15"/>
          <w:color w:val="auto"/>
        </w:rPr>
        <w:t xml:space="preserve">For clarity, Licensee retains the exclusive right under the Licensee Intellectual Property to Develop, Manufacture and Commercialize the Products in the Licensed Territory, subject to </w:t>
      </w:r>
      <w:r>
        <w:rPr>
          <w:rFonts w:ascii="Times New Roman" w:cs="Times New Roman" w:eastAsia="Times New Roman" w:hAnsi="Times New Roman"/>
          <w:sz w:val="15"/>
          <w:szCs w:val="15"/>
          <w:u w:val="single" w:color="auto"/>
          <w:color w:val="auto"/>
        </w:rPr>
        <w:t>Section 13.5</w:t>
      </w:r>
      <w:r>
        <w:rPr>
          <w:rFonts w:ascii="Times New Roman" w:cs="Times New Roman" w:eastAsia="Times New Roman" w:hAnsi="Times New Roman"/>
          <w:sz w:val="15"/>
          <w:szCs w:val="15"/>
          <w:color w:val="auto"/>
        </w:rPr>
        <w:t>.</w:t>
      </w:r>
    </w:p>
    <w:p>
      <w:pPr>
        <w:spacing w:after="0" w:line="139" w:lineRule="exact"/>
        <w:rPr>
          <w:sz w:val="20"/>
          <w:szCs w:val="20"/>
          <w:color w:val="auto"/>
        </w:rPr>
      </w:pPr>
    </w:p>
    <w:p>
      <w:pPr>
        <w:jc w:val="both"/>
        <w:ind w:left="540" w:hanging="526"/>
        <w:spacing w:after="0" w:line="253" w:lineRule="auto"/>
        <w:tabs>
          <w:tab w:leader="none" w:pos="520" w:val="left"/>
        </w:tabs>
        <w:rPr>
          <w:sz w:val="20"/>
          <w:szCs w:val="20"/>
          <w:color w:val="auto"/>
        </w:rPr>
      </w:pPr>
      <w:r>
        <w:rPr>
          <w:rFonts w:ascii="Times New Roman" w:cs="Times New Roman" w:eastAsia="Times New Roman" w:hAnsi="Times New Roman"/>
          <w:sz w:val="15"/>
          <w:szCs w:val="15"/>
          <w:color w:val="auto"/>
        </w:rPr>
        <w:t>2.4</w:t>
      </w:r>
      <w:r>
        <w:rPr>
          <w:sz w:val="20"/>
          <w:szCs w:val="20"/>
          <w:color w:val="auto"/>
        </w:rPr>
        <w:tab/>
      </w:r>
      <w:r>
        <w:rPr>
          <w:rFonts w:ascii="Times New Roman" w:cs="Times New Roman" w:eastAsia="Times New Roman" w:hAnsi="Times New Roman"/>
          <w:sz w:val="15"/>
          <w:szCs w:val="15"/>
          <w:b w:val="1"/>
          <w:bCs w:val="1"/>
          <w:color w:val="auto"/>
        </w:rPr>
        <w:t>Upstream Licenses</w:t>
      </w:r>
      <w:r>
        <w:rPr>
          <w:rFonts w:ascii="Times New Roman" w:cs="Times New Roman" w:eastAsia="Times New Roman" w:hAnsi="Times New Roman"/>
          <w:sz w:val="15"/>
          <w:szCs w:val="15"/>
          <w:color w:val="auto"/>
        </w:rPr>
        <w:t>. Licensee acknowledges and agrees that (a) XENCOR obtained the rights to certain XENCOR Intellectual Property under the Upstream Licenses; and (b)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licenses granted by XENCOR to Licensee under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with respect to such XENCOR Intellectual Property constitute sublicenses under the Upstream Licenses and are subject and subordinate to the terms and conditions of the Upstream Licenses. Licensee shall comply with all terms and conditions of the Upstream Licenses that are applicable to Licensee as a sublicensee (and, in the case of the [***] Agreement, a Business Partner (as such term is defined in the [***] Agreement)).</w:t>
      </w:r>
    </w:p>
    <w:p>
      <w:pPr>
        <w:spacing w:after="0" w:line="1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2.5</w:t>
      </w:r>
      <w:r>
        <w:rPr>
          <w:sz w:val="20"/>
          <w:szCs w:val="20"/>
          <w:color w:val="auto"/>
        </w:rPr>
        <w:tab/>
      </w:r>
      <w:r>
        <w:rPr>
          <w:rFonts w:ascii="Times New Roman" w:cs="Times New Roman" w:eastAsia="Times New Roman" w:hAnsi="Times New Roman"/>
          <w:sz w:val="14"/>
          <w:szCs w:val="14"/>
          <w:b w:val="1"/>
          <w:bCs w:val="1"/>
          <w:color w:val="auto"/>
        </w:rPr>
        <w:t>Non-Compete</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060" w:hanging="526"/>
        <w:spacing w:after="0" w:line="266" w:lineRule="auto"/>
        <w:tabs>
          <w:tab w:leader="none" w:pos="1040" w:val="left"/>
        </w:tabs>
        <w:rPr>
          <w:sz w:val="20"/>
          <w:szCs w:val="20"/>
          <w:color w:val="auto"/>
        </w:rPr>
      </w:pPr>
      <w:r>
        <w:rPr>
          <w:rFonts w:ascii="Times New Roman" w:cs="Times New Roman" w:eastAsia="Times New Roman" w:hAnsi="Times New Roman"/>
          <w:sz w:val="15"/>
          <w:szCs w:val="15"/>
          <w:color w:val="auto"/>
        </w:rPr>
        <w:t>2.5.1</w:t>
      </w:r>
      <w:r>
        <w:rPr>
          <w:sz w:val="20"/>
          <w:szCs w:val="20"/>
          <w:color w:val="auto"/>
        </w:rPr>
        <w:tab/>
      </w:r>
      <w:r>
        <w:rPr>
          <w:rFonts w:ascii="Times New Roman" w:cs="Times New Roman" w:eastAsia="Times New Roman" w:hAnsi="Times New Roman"/>
          <w:sz w:val="14"/>
          <w:szCs w:val="14"/>
          <w:b w:val="1"/>
          <w:bCs w:val="1"/>
          <w:color w:val="auto"/>
        </w:rPr>
        <w:t>Non-Compete Obligation of Licensee</w:t>
      </w:r>
      <w:r>
        <w:rPr>
          <w:rFonts w:ascii="Times New Roman" w:cs="Times New Roman" w:eastAsia="Times New Roman" w:hAnsi="Times New Roman"/>
          <w:sz w:val="14"/>
          <w:szCs w:val="14"/>
          <w:color w:val="auto"/>
        </w:rPr>
        <w:t>. On a Licensed Asset-by-Licensed Asset basis, during the License Term for such Licensed Asset and for two (2) years thereafter,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Licensee shall not, for itself or, with, through or for any Third Party, without the prior written consent of XENCOR, Develop, Manufacture, or Commercialize any Competing Products, except that Licensee may Develop (including in combination trials with other products or Active Ingredients that are not Licensed Assets hereunder), Manufacture, or Commercialize such Licensed Asset and the corresponding Products in the Licensed Territory as contemplated under this Agreement. Notwithstanding the foregoing, in the event that both: (a) Licensee terminates this Agreement pursuant to </w:t>
      </w:r>
      <w:r>
        <w:rPr>
          <w:rFonts w:ascii="Times New Roman" w:cs="Times New Roman" w:eastAsia="Times New Roman" w:hAnsi="Times New Roman"/>
          <w:sz w:val="14"/>
          <w:szCs w:val="14"/>
          <w:u w:val="single" w:color="auto"/>
          <w:color w:val="auto"/>
        </w:rPr>
        <w:t>Section 13.3</w:t>
      </w:r>
      <w:r>
        <w:rPr>
          <w:rFonts w:ascii="Times New Roman" w:cs="Times New Roman" w:eastAsia="Times New Roman" w:hAnsi="Times New Roman"/>
          <w:sz w:val="14"/>
          <w:szCs w:val="14"/>
          <w:color w:val="auto"/>
        </w:rPr>
        <w:t xml:space="preserve"> with respect to a Licensed Asset because (i) such Licensed Asset and its corresponding Products would not be clinically feasible to obtain Regulatory Approval in a Major Territory (as a result of, for example, safety concerns, severe adverse event, insufficient clinical activity level, lack of or insufficient efficacy, etc.), or (ii) it would not be technically or commercially feasible to Manufacture such Licensed Asset and its corresponding Products, then in either case (i) or (ii); and (b) at or prior to such termination, Licensee notifies XENCOR of the reason for such termination with reasonable supporting detail for its decision, then Licensee shall not be subject to the non-compete obligation under this </w:t>
      </w:r>
      <w:r>
        <w:rPr>
          <w:rFonts w:ascii="Times New Roman" w:cs="Times New Roman" w:eastAsia="Times New Roman" w:hAnsi="Times New Roman"/>
          <w:sz w:val="14"/>
          <w:szCs w:val="14"/>
          <w:u w:val="single" w:color="auto"/>
          <w:color w:val="auto"/>
        </w:rPr>
        <w:t>Section 2.5.1</w:t>
      </w:r>
      <w:r>
        <w:rPr>
          <w:rFonts w:ascii="Times New Roman" w:cs="Times New Roman" w:eastAsia="Times New Roman" w:hAnsi="Times New Roman"/>
          <w:sz w:val="14"/>
          <w:szCs w:val="14"/>
          <w:color w:val="auto"/>
        </w:rPr>
        <w:t xml:space="preserve"> with respect to such Licensed Asset starting from the effective date of such termination. For the purpose of this </w:t>
      </w:r>
      <w:r>
        <w:rPr>
          <w:rFonts w:ascii="Times New Roman" w:cs="Times New Roman" w:eastAsia="Times New Roman" w:hAnsi="Times New Roman"/>
          <w:sz w:val="14"/>
          <w:szCs w:val="14"/>
          <w:u w:val="single" w:color="auto"/>
          <w:color w:val="auto"/>
        </w:rPr>
        <w:t>Section 2.5.1</w:t>
      </w:r>
      <w:r>
        <w:rPr>
          <w:rFonts w:ascii="Times New Roman" w:cs="Times New Roman" w:eastAsia="Times New Roman" w:hAnsi="Times New Roman"/>
          <w:sz w:val="14"/>
          <w:szCs w:val="14"/>
          <w:color w:val="auto"/>
        </w:rPr>
        <w:t>, “not commercially feasible to Manufacture” means that Licensee has reasonably determined that it is not feasible to Manufacture such Licensed Asset and corresponding Product(s) at a marginal cost that, relative to its marginal price in each Major Territory, would support a reasonable gross profit margin within the range of what the biopharmaceutical industry generally considers as an acceptable margin for a therapeutic antibody.</w:t>
      </w: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88" w:name="page289"/>
    <w:bookmarkEnd w:id="288"/>
    <w:p>
      <w:pPr>
        <w:jc w:val="both"/>
        <w:ind w:left="1060" w:hanging="526"/>
        <w:spacing w:after="0" w:line="258" w:lineRule="auto"/>
        <w:tabs>
          <w:tab w:leader="none" w:pos="1040" w:val="left"/>
        </w:tabs>
        <w:rPr>
          <w:sz w:val="20"/>
          <w:szCs w:val="20"/>
          <w:color w:val="auto"/>
        </w:rPr>
      </w:pPr>
      <w:r>
        <w:rPr>
          <w:rFonts w:ascii="Times New Roman" w:cs="Times New Roman" w:eastAsia="Times New Roman" w:hAnsi="Times New Roman"/>
          <w:sz w:val="15"/>
          <w:szCs w:val="15"/>
          <w:color w:val="auto"/>
        </w:rPr>
        <w:t>2.5.2</w:t>
      </w:r>
      <w:r>
        <w:rPr>
          <w:sz w:val="20"/>
          <w:szCs w:val="20"/>
          <w:color w:val="auto"/>
        </w:rPr>
        <w:tab/>
      </w:r>
      <w:r>
        <w:rPr>
          <w:rFonts w:ascii="Times New Roman" w:cs="Times New Roman" w:eastAsia="Times New Roman" w:hAnsi="Times New Roman"/>
          <w:sz w:val="15"/>
          <w:szCs w:val="15"/>
          <w:b w:val="1"/>
          <w:bCs w:val="1"/>
          <w:color w:val="auto"/>
        </w:rPr>
        <w:t>Non-Compete Obligation of XENCOR</w:t>
      </w:r>
      <w:r>
        <w:rPr>
          <w:rFonts w:ascii="Times New Roman" w:cs="Times New Roman" w:eastAsia="Times New Roman" w:hAnsi="Times New Roman"/>
          <w:sz w:val="15"/>
          <w:szCs w:val="15"/>
          <w:color w:val="auto"/>
        </w:rPr>
        <w:t>. On a Licensed Asset-by-Licensed Asset basis, during the License Term for such Licensed Asset, XENCOR shall not, for itself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 through, or for any Third Party, without the prior written consent of Licensee, Develop, Manufacture, or Commercialize any Products or XENCOR Competing Product for such Licensed Asset</w:t>
      </w:r>
      <w:r>
        <w:rPr>
          <w:rFonts w:ascii="Times New Roman" w:cs="Times New Roman" w:eastAsia="Times New Roman" w:hAnsi="Times New Roman"/>
          <w:sz w:val="15"/>
          <w:szCs w:val="15"/>
          <w:i w:val="1"/>
          <w:iCs w:val="1"/>
          <w:color w:val="auto"/>
        </w:rPr>
        <w:t>.</w:t>
      </w:r>
    </w:p>
    <w:p>
      <w:pPr>
        <w:spacing w:after="0" w:line="147"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2.5.3</w:t>
      </w:r>
      <w:r>
        <w:rPr>
          <w:sz w:val="20"/>
          <w:szCs w:val="20"/>
          <w:color w:val="auto"/>
        </w:rPr>
        <w:tab/>
      </w:r>
      <w:r>
        <w:rPr>
          <w:rFonts w:ascii="Times New Roman" w:cs="Times New Roman" w:eastAsia="Times New Roman" w:hAnsi="Times New Roman"/>
          <w:sz w:val="14"/>
          <w:szCs w:val="14"/>
          <w:b w:val="1"/>
          <w:bCs w:val="1"/>
          <w:color w:val="auto"/>
        </w:rPr>
        <w:t>Change of Control of a Party</w:t>
      </w:r>
      <w:r>
        <w:rPr>
          <w:rFonts w:ascii="Times New Roman" w:cs="Times New Roman" w:eastAsia="Times New Roman" w:hAnsi="Times New Roman"/>
          <w:sz w:val="14"/>
          <w:szCs w:val="14"/>
          <w:color w:val="auto"/>
        </w:rPr>
        <w:t>. In the event that either Party or any of its Affiliates undergoes a Change of Control with a Third Party (an “</w:t>
      </w:r>
      <w:r>
        <w:rPr>
          <w:rFonts w:ascii="Times New Roman" w:cs="Times New Roman" w:eastAsia="Times New Roman" w:hAnsi="Times New Roman"/>
          <w:sz w:val="14"/>
          <w:szCs w:val="14"/>
          <w:u w:val="single" w:color="auto"/>
          <w:color w:val="auto"/>
        </w:rPr>
        <w:t>Acquirer</w:t>
      </w:r>
      <w:r>
        <w:rPr>
          <w:rFonts w:ascii="Times New Roman" w:cs="Times New Roman" w:eastAsia="Times New Roman" w:hAnsi="Times New Roman"/>
          <w:sz w:val="14"/>
          <w:szCs w:val="14"/>
          <w:color w:val="auto"/>
        </w:rPr>
        <w:t>”), [***].</w:t>
      </w:r>
    </w:p>
    <w:p>
      <w:pPr>
        <w:spacing w:after="0" w:line="179" w:lineRule="exact"/>
        <w:rPr>
          <w:sz w:val="20"/>
          <w:szCs w:val="20"/>
          <w:color w:val="auto"/>
        </w:rPr>
      </w:pPr>
    </w:p>
    <w:p>
      <w:pPr>
        <w:jc w:val="both"/>
        <w:ind w:left="1060" w:hanging="526"/>
        <w:spacing w:after="0" w:line="277" w:lineRule="auto"/>
        <w:tabs>
          <w:tab w:leader="none" w:pos="1040" w:val="left"/>
        </w:tabs>
        <w:rPr>
          <w:sz w:val="20"/>
          <w:szCs w:val="20"/>
          <w:color w:val="auto"/>
        </w:rPr>
      </w:pPr>
      <w:r>
        <w:rPr>
          <w:rFonts w:ascii="Times New Roman" w:cs="Times New Roman" w:eastAsia="Times New Roman" w:hAnsi="Times New Roman"/>
          <w:sz w:val="15"/>
          <w:szCs w:val="15"/>
          <w:color w:val="auto"/>
        </w:rPr>
        <w:t>2.5.4</w:t>
      </w:r>
      <w:r>
        <w:rPr>
          <w:sz w:val="20"/>
          <w:szCs w:val="20"/>
          <w:color w:val="auto"/>
        </w:rPr>
        <w:tab/>
      </w:r>
      <w:r>
        <w:rPr>
          <w:rFonts w:ascii="Times New Roman" w:cs="Times New Roman" w:eastAsia="Times New Roman" w:hAnsi="Times New Roman"/>
          <w:sz w:val="14"/>
          <w:szCs w:val="14"/>
          <w:b w:val="1"/>
          <w:bCs w:val="1"/>
          <w:color w:val="auto"/>
        </w:rPr>
        <w:t>Reasonable Covenants</w:t>
      </w:r>
      <w:r>
        <w:rPr>
          <w:rFonts w:ascii="Times New Roman" w:cs="Times New Roman" w:eastAsia="Times New Roman" w:hAnsi="Times New Roman"/>
          <w:sz w:val="14"/>
          <w:szCs w:val="14"/>
          <w:color w:val="auto"/>
        </w:rPr>
        <w:t>. The Parties agree that the duration and scope of the covenants set forth in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are reasonable. In the event that the arbitrator or any court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determines that the duration or scope of any such provision is unreasonable and that any such provision is to that extent unenforceable, the Parties agree that such provision shall remain in full force and effect for the greatest time period and to the greatest scope that would not render it unenforceable. The Parties intend that the provisions of this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shall be deemed to be a series of separate covenants, one for each and every product and jurisdiction where such provision is intended to be effective.</w:t>
      </w:r>
    </w:p>
    <w:p>
      <w:pPr>
        <w:spacing w:after="0" w:line="136" w:lineRule="exact"/>
        <w:rPr>
          <w:sz w:val="20"/>
          <w:szCs w:val="20"/>
          <w:color w:val="auto"/>
        </w:rPr>
      </w:pPr>
    </w:p>
    <w:p>
      <w:pPr>
        <w:ind w:left="54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2.6</w:t>
      </w:r>
      <w:r>
        <w:rPr>
          <w:sz w:val="20"/>
          <w:szCs w:val="20"/>
          <w:color w:val="auto"/>
        </w:rPr>
        <w:tab/>
      </w:r>
      <w:r>
        <w:rPr>
          <w:rFonts w:ascii="Times New Roman" w:cs="Times New Roman" w:eastAsia="Times New Roman" w:hAnsi="Times New Roman"/>
          <w:sz w:val="15"/>
          <w:szCs w:val="15"/>
          <w:b w:val="1"/>
          <w:bCs w:val="1"/>
          <w:color w:val="auto"/>
        </w:rPr>
        <w:t>No Other Rights</w:t>
      </w:r>
      <w:r>
        <w:rPr>
          <w:rFonts w:ascii="Times New Roman" w:cs="Times New Roman" w:eastAsia="Times New Roman" w:hAnsi="Times New Roman"/>
          <w:sz w:val="15"/>
          <w:szCs w:val="15"/>
          <w:color w:val="auto"/>
        </w:rPr>
        <w:t>. No rights, other than those expressly set forth in this Agreement, are granted to either Party hereunder, and no additional rights shall be deemed granted to either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Party by implication, estoppel or otherwise. All rights not expressly granted by either Party to the other hereunder are reserved.</w:t>
      </w:r>
    </w:p>
    <w:p>
      <w:pPr>
        <w:spacing w:after="0" w:line="136" w:lineRule="exact"/>
        <w:rPr>
          <w:sz w:val="20"/>
          <w:szCs w:val="20"/>
          <w:color w:val="auto"/>
        </w:rPr>
      </w:pPr>
    </w:p>
    <w:p>
      <w:pPr>
        <w:ind w:left="54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2.7</w:t>
      </w:r>
      <w:r>
        <w:rPr>
          <w:sz w:val="20"/>
          <w:szCs w:val="20"/>
          <w:color w:val="auto"/>
        </w:rPr>
        <w:tab/>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xml:space="preserve">. Licensee agrees to be bound (for [***] benefit) to [***] Agreement </w:t>
      </w:r>
      <w:r>
        <w:rPr>
          <w:rFonts w:ascii="Times New Roman" w:cs="Times New Roman" w:eastAsia="Times New Roman" w:hAnsi="Times New Roman"/>
          <w:sz w:val="15"/>
          <w:szCs w:val="15"/>
          <w:i w:val="1"/>
          <w:iCs w:val="1"/>
          <w:color w:val="auto"/>
        </w:rPr>
        <w:t>mutatis mutandis</w:t>
      </w:r>
      <w:r>
        <w:rPr>
          <w:rFonts w:ascii="Times New Roman" w:cs="Times New Roman" w:eastAsia="Times New Roman" w:hAnsi="Times New Roman"/>
          <w:sz w:val="15"/>
          <w:szCs w:val="15"/>
          <w:color w:val="auto"/>
        </w:rPr>
        <w:t xml:space="preserve"> as XENCOR is bound to such Section unless and until Licensee pays the Technology Access Fee (as such term is defined in the [***] Agreement) to [***] on XENCOR’s behalf.</w:t>
      </w:r>
    </w:p>
    <w:p>
      <w:pPr>
        <w:spacing w:after="0" w:line="136" w:lineRule="exact"/>
        <w:rPr>
          <w:sz w:val="20"/>
          <w:szCs w:val="20"/>
          <w:color w:val="auto"/>
        </w:rPr>
      </w:pPr>
    </w:p>
    <w:p>
      <w:pPr>
        <w:ind w:left="540" w:hanging="532"/>
        <w:spacing w:after="0"/>
        <w:tabs>
          <w:tab w:leader="none" w:pos="540" w:val="left"/>
        </w:tabs>
        <w:numPr>
          <w:ilvl w:val="0"/>
          <w:numId w:val="1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Communications Related to Licensed Assets and Products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3.1</w:t>
      </w:r>
      <w:r>
        <w:rPr>
          <w:sz w:val="20"/>
          <w:szCs w:val="20"/>
          <w:color w:val="auto"/>
        </w:rPr>
        <w:tab/>
      </w:r>
      <w:r>
        <w:rPr>
          <w:rFonts w:ascii="Times New Roman" w:cs="Times New Roman" w:eastAsia="Times New Roman" w:hAnsi="Times New Roman"/>
          <w:sz w:val="15"/>
          <w:szCs w:val="15"/>
          <w:color w:val="auto"/>
        </w:rPr>
        <w:t>With respect to Licensed Assets and Products, Licensee shall on a [***] (or more frequently if necessary) hold a meeting with XENCOR to disclose or discuss information outlined below (each such meeting, an “</w:t>
      </w:r>
      <w:r>
        <w:rPr>
          <w:rFonts w:ascii="Times New Roman" w:cs="Times New Roman" w:eastAsia="Times New Roman" w:hAnsi="Times New Roman"/>
          <w:sz w:val="15"/>
          <w:szCs w:val="15"/>
          <w:u w:val="single" w:color="auto"/>
          <w:color w:val="auto"/>
        </w:rPr>
        <w:t>Update Meeting</w:t>
      </w:r>
      <w:r>
        <w:rPr>
          <w:rFonts w:ascii="Times New Roman" w:cs="Times New Roman" w:eastAsia="Times New Roman" w:hAnsi="Times New Roman"/>
          <w:sz w:val="15"/>
          <w:szCs w:val="15"/>
          <w:color w:val="auto"/>
        </w:rPr>
        <w:t>”). Such Update Meeting may be held by audio, video or other electronic means as mutually agreed upon by the Parties:</w:t>
      </w: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289" w:name="page290"/>
    <w:bookmarkEnd w:id="289"/>
    <w:p>
      <w:pPr>
        <w:ind w:left="1600" w:hanging="537"/>
        <w:spacing w:after="0"/>
        <w:tabs>
          <w:tab w:leader="none" w:pos="160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3.2</w:t>
      </w:r>
      <w:r>
        <w:rPr>
          <w:sz w:val="20"/>
          <w:szCs w:val="20"/>
          <w:color w:val="auto"/>
        </w:rPr>
        <w:tab/>
      </w:r>
      <w:r>
        <w:rPr>
          <w:rFonts w:ascii="Times New Roman" w:cs="Times New Roman" w:eastAsia="Times New Roman" w:hAnsi="Times New Roman"/>
          <w:sz w:val="15"/>
          <w:szCs w:val="15"/>
          <w:color w:val="auto"/>
        </w:rPr>
        <w:t>Licensee shall consider in good faith any comments provided by XENCOR in relation to the Development, Manufacturing, or Commercialization of Licensed Assets and Products in the Licensed Territory.</w:t>
      </w:r>
    </w:p>
    <w:p>
      <w:pPr>
        <w:spacing w:after="0" w:line="139" w:lineRule="exact"/>
        <w:rPr>
          <w:sz w:val="20"/>
          <w:szCs w:val="20"/>
          <w:color w:val="auto"/>
        </w:rPr>
      </w:pPr>
    </w:p>
    <w:p>
      <w:pPr>
        <w:ind w:left="540" w:hanging="532"/>
        <w:spacing w:after="0"/>
        <w:tabs>
          <w:tab w:leader="none" w:pos="540" w:val="left"/>
        </w:tabs>
        <w:numPr>
          <w:ilvl w:val="0"/>
          <w:numId w:val="1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Development</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left="54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4.1</w:t>
      </w:r>
      <w:r>
        <w:rPr>
          <w:sz w:val="20"/>
          <w:szCs w:val="20"/>
          <w:color w:val="auto"/>
        </w:rPr>
        <w:tab/>
      </w:r>
      <w:r>
        <w:rPr>
          <w:rFonts w:ascii="Times New Roman" w:cs="Times New Roman" w:eastAsia="Times New Roman" w:hAnsi="Times New Roman"/>
          <w:sz w:val="15"/>
          <w:szCs w:val="15"/>
          <w:b w:val="1"/>
          <w:bCs w:val="1"/>
          <w:color w:val="auto"/>
        </w:rPr>
        <w:t>General</w:t>
      </w:r>
      <w:r>
        <w:rPr>
          <w:rFonts w:ascii="Times New Roman" w:cs="Times New Roman" w:eastAsia="Times New Roman" w:hAnsi="Times New Roman"/>
          <w:sz w:val="15"/>
          <w:szCs w:val="15"/>
          <w:color w:val="auto"/>
        </w:rPr>
        <w:t>. Licensee shall have sole control and decision-making authority for all aspects of the Development of Licensed Assets and Products in the Licensed Territory at its sole cost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expense. Licensee shall be solely responsible for, and use Commercially Reasonable Efforts to (a) Develop the Licensed Assets and Products in the Field in the Licensed Territory, and (b) obtain Regulatory Approval for the Licensed Assets and Products in the [***].</w:t>
      </w:r>
    </w:p>
    <w:p>
      <w:pPr>
        <w:spacing w:after="0" w:line="147" w:lineRule="exact"/>
        <w:rPr>
          <w:sz w:val="20"/>
          <w:szCs w:val="20"/>
          <w:color w:val="auto"/>
        </w:rPr>
      </w:pPr>
    </w:p>
    <w:p>
      <w:pPr>
        <w:jc w:val="both"/>
        <w:ind w:left="540" w:hanging="526"/>
        <w:spacing w:after="0" w:line="248" w:lineRule="auto"/>
        <w:tabs>
          <w:tab w:leader="none" w:pos="520" w:val="left"/>
        </w:tabs>
        <w:rPr>
          <w:sz w:val="20"/>
          <w:szCs w:val="20"/>
          <w:color w:val="auto"/>
        </w:rPr>
      </w:pPr>
      <w:r>
        <w:rPr>
          <w:rFonts w:ascii="Times New Roman" w:cs="Times New Roman" w:eastAsia="Times New Roman" w:hAnsi="Times New Roman"/>
          <w:sz w:val="15"/>
          <w:szCs w:val="15"/>
          <w:color w:val="auto"/>
        </w:rPr>
        <w:t>4.2</w:t>
      </w:r>
      <w:r>
        <w:rPr>
          <w:sz w:val="20"/>
          <w:szCs w:val="20"/>
          <w:color w:val="auto"/>
        </w:rPr>
        <w:tab/>
      </w:r>
      <w:r>
        <w:rPr>
          <w:rFonts w:ascii="Times New Roman" w:cs="Times New Roman" w:eastAsia="Times New Roman" w:hAnsi="Times New Roman"/>
          <w:sz w:val="15"/>
          <w:szCs w:val="15"/>
          <w:b w:val="1"/>
          <w:bCs w:val="1"/>
          <w:color w:val="auto"/>
        </w:rPr>
        <w:t>Development Plans</w:t>
      </w:r>
      <w:r>
        <w:rPr>
          <w:rFonts w:ascii="Times New Roman" w:cs="Times New Roman" w:eastAsia="Times New Roman" w:hAnsi="Times New Roman"/>
          <w:sz w:val="15"/>
          <w:szCs w:val="15"/>
          <w:color w:val="auto"/>
        </w:rPr>
        <w:t>. Licensee shall Develop each Licensed Asset and its corresponding Products in the Field in the Licensed Territory under this Agreement in accordance with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comprehensive written development plan (with respect to each Licensed Asset and its corresponding Products, a “</w:t>
      </w:r>
      <w:r>
        <w:rPr>
          <w:rFonts w:ascii="Times New Roman" w:cs="Times New Roman" w:eastAsia="Times New Roman" w:hAnsi="Times New Roman"/>
          <w:sz w:val="15"/>
          <w:szCs w:val="15"/>
          <w:u w:val="single" w:color="auto"/>
          <w:color w:val="auto"/>
        </w:rPr>
        <w:t>Development Plan</w:t>
      </w:r>
      <w:r>
        <w:rPr>
          <w:rFonts w:ascii="Times New Roman" w:cs="Times New Roman" w:eastAsia="Times New Roman" w:hAnsi="Times New Roman"/>
          <w:sz w:val="15"/>
          <w:szCs w:val="15"/>
          <w:color w:val="auto"/>
        </w:rPr>
        <w:t xml:space="preserve">”). Licensee shall prepare each Development Plan, which may be updated and revised from time to time by Licensee and discussed with XENCOR pursuant to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and shall provide a copy of the initial Development Plans and any material updates thereto promptly to XENCOR. The Development Plans shall set forth the timeline and details of all major Development activities (including any drug product Manufacturing activities and clinical trials) to be conducted by or on behalf of Licensee for the Products in the Field in the Licensed Territory, as well as the plans and timeline for preparing and filing the necessary Regulatory Submissions and for obtaining Regulatory Approval of the Products in the Licensed Territory. Licensee shall consider any comments provided by XENCOR in good faith. If the terms of a Development Plan contradict, or create inconsistencies or ambiguities with, the terms of this Agreement, then the terms of this Agreement shall govern.</w:t>
      </w:r>
    </w:p>
    <w:p>
      <w:pPr>
        <w:spacing w:after="0" w:line="3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290" w:name="page291"/>
    <w:bookmarkEnd w:id="290"/>
    <w:p>
      <w:pPr>
        <w:spacing w:after="0"/>
        <w:tabs>
          <w:tab w:leader="none" w:pos="520" w:val="left"/>
        </w:tabs>
        <w:rPr>
          <w:sz w:val="20"/>
          <w:szCs w:val="20"/>
          <w:color w:val="auto"/>
        </w:rPr>
      </w:pPr>
      <w:r>
        <w:rPr>
          <w:rFonts w:ascii="Times New Roman" w:cs="Times New Roman" w:eastAsia="Times New Roman" w:hAnsi="Times New Roman"/>
          <w:sz w:val="15"/>
          <w:szCs w:val="15"/>
          <w:color w:val="auto"/>
        </w:rPr>
        <w:t>4.3</w:t>
      </w:r>
      <w:r>
        <w:rPr>
          <w:sz w:val="20"/>
          <w:szCs w:val="20"/>
          <w:color w:val="auto"/>
        </w:rPr>
        <w:tab/>
      </w:r>
      <w:r>
        <w:rPr>
          <w:rFonts w:ascii="Times New Roman" w:cs="Times New Roman" w:eastAsia="Times New Roman" w:hAnsi="Times New Roman"/>
          <w:sz w:val="14"/>
          <w:szCs w:val="14"/>
          <w:b w:val="1"/>
          <w:bCs w:val="1"/>
          <w:color w:val="auto"/>
        </w:rPr>
        <w:t>Development Activities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060" w:hanging="526"/>
        <w:spacing w:after="0" w:line="258" w:lineRule="auto"/>
        <w:tabs>
          <w:tab w:leader="none" w:pos="1040" w:val="left"/>
        </w:tabs>
        <w:rPr>
          <w:sz w:val="20"/>
          <w:szCs w:val="20"/>
          <w:color w:val="auto"/>
        </w:rPr>
      </w:pPr>
      <w:r>
        <w:rPr>
          <w:rFonts w:ascii="Times New Roman" w:cs="Times New Roman" w:eastAsia="Times New Roman" w:hAnsi="Times New Roman"/>
          <w:sz w:val="15"/>
          <w:szCs w:val="15"/>
          <w:color w:val="auto"/>
        </w:rPr>
        <w:t>4.3.1</w:t>
      </w:r>
      <w:r>
        <w:rPr>
          <w:sz w:val="20"/>
          <w:szCs w:val="20"/>
          <w:color w:val="auto"/>
        </w:rPr>
        <w:tab/>
      </w:r>
      <w:r>
        <w:rPr>
          <w:rFonts w:ascii="Times New Roman" w:cs="Times New Roman" w:eastAsia="Times New Roman" w:hAnsi="Times New Roman"/>
          <w:sz w:val="15"/>
          <w:szCs w:val="15"/>
          <w:b w:val="1"/>
          <w:bCs w:val="1"/>
          <w:color w:val="auto"/>
        </w:rPr>
        <w:t>Licensee Performance</w:t>
      </w:r>
      <w:r>
        <w:rPr>
          <w:rFonts w:ascii="Times New Roman" w:cs="Times New Roman" w:eastAsia="Times New Roman" w:hAnsi="Times New Roman"/>
          <w:sz w:val="15"/>
          <w:szCs w:val="15"/>
          <w:color w:val="auto"/>
        </w:rPr>
        <w:t>. Licensee shall use Commercially Reasonable Efforts to implement, conduct and complete the Development activities set forth in the Development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Plan in accordance with the timelines and budget set forth therein. Licensee shall undertake its Development activities related to the Licensed Assets and Products in the Field in the Licensed Territory in accordance with Applicable Laws, GCP, GLP and GMP, in all material respects.</w:t>
      </w:r>
    </w:p>
    <w:p>
      <w:pPr>
        <w:spacing w:after="0" w:line="147" w:lineRule="exact"/>
        <w:rPr>
          <w:sz w:val="20"/>
          <w:szCs w:val="20"/>
          <w:color w:val="auto"/>
        </w:rPr>
      </w:pPr>
    </w:p>
    <w:p>
      <w:pPr>
        <w:jc w:val="both"/>
        <w:ind w:left="1060" w:hanging="526"/>
        <w:spacing w:after="0" w:line="250" w:lineRule="auto"/>
        <w:tabs>
          <w:tab w:leader="none" w:pos="1040" w:val="left"/>
        </w:tabs>
        <w:rPr>
          <w:sz w:val="20"/>
          <w:szCs w:val="20"/>
          <w:color w:val="auto"/>
        </w:rPr>
      </w:pPr>
      <w:r>
        <w:rPr>
          <w:rFonts w:ascii="Times New Roman" w:cs="Times New Roman" w:eastAsia="Times New Roman" w:hAnsi="Times New Roman"/>
          <w:sz w:val="15"/>
          <w:szCs w:val="15"/>
          <w:color w:val="auto"/>
        </w:rPr>
        <w:t>4.3.2</w:t>
      </w:r>
      <w:r>
        <w:rPr>
          <w:sz w:val="20"/>
          <w:szCs w:val="20"/>
          <w:color w:val="auto"/>
        </w:rPr>
        <w:tab/>
      </w:r>
      <w:r>
        <w:rPr>
          <w:rFonts w:ascii="Times New Roman" w:cs="Times New Roman" w:eastAsia="Times New Roman" w:hAnsi="Times New Roman"/>
          <w:sz w:val="15"/>
          <w:szCs w:val="15"/>
          <w:b w:val="1"/>
          <w:bCs w:val="1"/>
          <w:color w:val="auto"/>
        </w:rPr>
        <w:t>Clinical Trials</w:t>
      </w:r>
      <w:r>
        <w:rPr>
          <w:rFonts w:ascii="Times New Roman" w:cs="Times New Roman" w:eastAsia="Times New Roman" w:hAnsi="Times New Roman"/>
          <w:sz w:val="15"/>
          <w:szCs w:val="15"/>
          <w:color w:val="auto"/>
        </w:rPr>
        <w:t>. All clinical trials of the Licensed Assets or Products performed by Licensee pursuant to this Agreement shall be performed in accordance with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Development Plan, Applicable Laws, and GCP, and shall only involve investigators of recognized competence and having required qualifications under Applicable Law. All data generated during clinical trials shall be the sole and exclusive property of Licensee. Any subcontractor engaged by Licensee to undertake any such clinical trial (or any portion thereof) shall be qualified in the Licensed Territory and shall be capable of producing, storing and maintaining data that is acceptable to the applicable Regulatory Authority, including NMPA, US FDA and EMA. If required by any Regulatory Authority, XENCOR shall have the right to audit any clinical trial sites in the Licensed Territory, and Licensee shall have the right to be present at and participate in any such audit to the extent permitted by such Regulatory Authority.</w:t>
      </w:r>
    </w:p>
    <w:p>
      <w:pPr>
        <w:spacing w:after="0" w:line="152" w:lineRule="exact"/>
        <w:rPr>
          <w:sz w:val="20"/>
          <w:szCs w:val="20"/>
          <w:color w:val="auto"/>
        </w:rPr>
      </w:pPr>
    </w:p>
    <w:p>
      <w:pPr>
        <w:jc w:val="both"/>
        <w:ind w:left="106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4.3.3</w:t>
      </w:r>
      <w:r>
        <w:rPr>
          <w:sz w:val="20"/>
          <w:szCs w:val="20"/>
          <w:color w:val="auto"/>
        </w:rPr>
        <w:tab/>
      </w:r>
      <w:r>
        <w:rPr>
          <w:rFonts w:ascii="Times New Roman" w:cs="Times New Roman" w:eastAsia="Times New Roman" w:hAnsi="Times New Roman"/>
          <w:sz w:val="14"/>
          <w:szCs w:val="14"/>
          <w:b w:val="1"/>
          <w:bCs w:val="1"/>
          <w:color w:val="auto"/>
        </w:rPr>
        <w:t>Development Records</w:t>
      </w:r>
      <w:r>
        <w:rPr>
          <w:rFonts w:ascii="Times New Roman" w:cs="Times New Roman" w:eastAsia="Times New Roman" w:hAnsi="Times New Roman"/>
          <w:sz w:val="14"/>
          <w:szCs w:val="14"/>
          <w:color w:val="auto"/>
        </w:rPr>
        <w:t>. Licensee shall, and shall cause each of its Affiliates and Sublicensees to, maintain current and accurate records of all Development activities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conducted by it and all data and other information resulting from such work (which records shall include, as applicable, books, records, reports, research notes, charts, graphs, comments, computations, analyses, recordings, photographs, computer programs and documentation thereof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samples of materials and other graphic or written data generated in connection with the Development activities)). Such records shall properly reflect all material work done and material results achieved in the performance of the Development activities in sufficient detail and in good scientific manner appropriate for regulatory and patent prosecution or maintenance purposes. Licensee shall document all preclinical studies and clinical trials to be conducted in formal written study reports according to applicable national and international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ICH, GCP and GLP) guidelines. XENCOR shall have the right to review all records under the Development Plan maintained by Licensee at reasonable times, upon written request.</w:t>
      </w:r>
    </w:p>
    <w:p>
      <w:pPr>
        <w:spacing w:after="0" w:line="143" w:lineRule="exact"/>
        <w:rPr>
          <w:sz w:val="20"/>
          <w:szCs w:val="20"/>
          <w:color w:val="auto"/>
        </w:rPr>
      </w:pPr>
    </w:p>
    <w:p>
      <w:pPr>
        <w:jc w:val="both"/>
        <w:ind w:left="540" w:hanging="526"/>
        <w:spacing w:after="0" w:line="285" w:lineRule="auto"/>
        <w:tabs>
          <w:tab w:leader="none" w:pos="520" w:val="left"/>
        </w:tabs>
        <w:rPr>
          <w:sz w:val="20"/>
          <w:szCs w:val="20"/>
          <w:color w:val="auto"/>
        </w:rPr>
      </w:pPr>
      <w:r>
        <w:rPr>
          <w:rFonts w:ascii="Times New Roman" w:cs="Times New Roman" w:eastAsia="Times New Roman" w:hAnsi="Times New Roman"/>
          <w:sz w:val="15"/>
          <w:szCs w:val="15"/>
          <w:color w:val="auto"/>
        </w:rPr>
        <w:t>4.4</w:t>
      </w:r>
      <w:r>
        <w:rPr>
          <w:sz w:val="20"/>
          <w:szCs w:val="20"/>
          <w:color w:val="auto"/>
        </w:rPr>
        <w:tab/>
      </w:r>
      <w:r>
        <w:rPr>
          <w:rFonts w:ascii="Times New Roman" w:cs="Times New Roman" w:eastAsia="Times New Roman" w:hAnsi="Times New Roman"/>
          <w:sz w:val="14"/>
          <w:szCs w:val="14"/>
          <w:b w:val="1"/>
          <w:bCs w:val="1"/>
          <w:color w:val="auto"/>
        </w:rPr>
        <w:t>Right to Subcontract Development Activities</w:t>
      </w:r>
      <w:r>
        <w:rPr>
          <w:rFonts w:ascii="Times New Roman" w:cs="Times New Roman" w:eastAsia="Times New Roman" w:hAnsi="Times New Roman"/>
          <w:sz w:val="14"/>
          <w:szCs w:val="14"/>
          <w:color w:val="auto"/>
        </w:rPr>
        <w:t>. Licensee shall have the right to subcontract the performance of any of the Development activities of Licensed Assets and Products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under this Agreement in accordance with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Without limiting the foregoing, Licensee shall not enter into a subcontract with any Person that has been debarred, or is subject to debarment, pursuant to Section 306 of the FD&amp;C Act (or any analogous Applicable Laws in the Licensed Territory), or that is the subject of a conviction described in such section.</w:t>
      </w:r>
    </w:p>
    <w:p>
      <w:pPr>
        <w:spacing w:after="0" w:line="130" w:lineRule="exact"/>
        <w:rPr>
          <w:sz w:val="20"/>
          <w:szCs w:val="20"/>
          <w:color w:val="auto"/>
        </w:rPr>
      </w:pPr>
    </w:p>
    <w:p>
      <w:pPr>
        <w:jc w:val="both"/>
        <w:ind w:left="54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4.5</w:t>
      </w:r>
      <w:r>
        <w:rPr>
          <w:sz w:val="20"/>
          <w:szCs w:val="20"/>
          <w:color w:val="auto"/>
        </w:rPr>
        <w:tab/>
      </w:r>
      <w:r>
        <w:rPr>
          <w:rFonts w:ascii="Times New Roman" w:cs="Times New Roman" w:eastAsia="Times New Roman" w:hAnsi="Times New Roman"/>
          <w:sz w:val="15"/>
          <w:szCs w:val="15"/>
          <w:b w:val="1"/>
          <w:bCs w:val="1"/>
          <w:color w:val="auto"/>
        </w:rPr>
        <w:t>Reports of Development Activities</w:t>
      </w:r>
      <w:r>
        <w:rPr>
          <w:rFonts w:ascii="Times New Roman" w:cs="Times New Roman" w:eastAsia="Times New Roman" w:hAnsi="Times New Roman"/>
          <w:sz w:val="15"/>
          <w:szCs w:val="15"/>
          <w:color w:val="auto"/>
        </w:rPr>
        <w:t>. Licensee shall report to XENCOR on the progress of the Development of Licensed Assets and Products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In addition,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Licensee shall, during the fourth Calendar Quarter of each Calendar Year, provide XENCOR a reasonably detailed report regarding its significant Development activities involving Product during the preceding four (4) Calendar Quarters.</w:t>
      </w:r>
    </w:p>
    <w:p>
      <w:pPr>
        <w:spacing w:after="0" w:line="147" w:lineRule="exact"/>
        <w:rPr>
          <w:sz w:val="20"/>
          <w:szCs w:val="20"/>
          <w:color w:val="auto"/>
        </w:rPr>
      </w:pPr>
    </w:p>
    <w:p>
      <w:pPr>
        <w:jc w:val="both"/>
        <w:ind w:left="540" w:hanging="526"/>
        <w:spacing w:after="0" w:line="247" w:lineRule="auto"/>
        <w:tabs>
          <w:tab w:leader="none" w:pos="520" w:val="left"/>
        </w:tabs>
        <w:rPr>
          <w:sz w:val="20"/>
          <w:szCs w:val="20"/>
          <w:color w:val="auto"/>
        </w:rPr>
      </w:pPr>
      <w:r>
        <w:rPr>
          <w:rFonts w:ascii="Times New Roman" w:cs="Times New Roman" w:eastAsia="Times New Roman" w:hAnsi="Times New Roman"/>
          <w:sz w:val="15"/>
          <w:szCs w:val="15"/>
          <w:color w:val="auto"/>
        </w:rPr>
        <w:t>4.6</w:t>
      </w:r>
      <w:r>
        <w:rPr>
          <w:sz w:val="20"/>
          <w:szCs w:val="20"/>
          <w:color w:val="auto"/>
        </w:rPr>
        <w:tab/>
      </w:r>
      <w:r>
        <w:rPr>
          <w:rFonts w:ascii="Times New Roman" w:cs="Times New Roman" w:eastAsia="Times New Roman" w:hAnsi="Times New Roman"/>
          <w:sz w:val="15"/>
          <w:szCs w:val="15"/>
          <w:b w:val="1"/>
          <w:bCs w:val="1"/>
          <w:color w:val="auto"/>
        </w:rPr>
        <w:t>Information Transfer</w:t>
      </w:r>
      <w:r>
        <w:rPr>
          <w:rFonts w:ascii="Times New Roman" w:cs="Times New Roman" w:eastAsia="Times New Roman" w:hAnsi="Times New Roman"/>
          <w:sz w:val="15"/>
          <w:szCs w:val="15"/>
          <w:color w:val="auto"/>
        </w:rPr>
        <w:t>. Within a reasonable period of time after the Effective Date, but no later than [***] after the Effective Date, XENCOR shall make available to Licensee, in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mutually agreed upon format, all XENCOR Know-How, Materials, and other information regarding the XENCOR Intellectual Property as identified on </w:t>
      </w:r>
      <w:r>
        <w:rPr>
          <w:rFonts w:ascii="Times New Roman" w:cs="Times New Roman" w:eastAsia="Times New Roman" w:hAnsi="Times New Roman"/>
          <w:sz w:val="15"/>
          <w:szCs w:val="15"/>
          <w:u w:val="single" w:color="auto"/>
          <w:color w:val="auto"/>
        </w:rPr>
        <w:t>Schedule 4.6</w:t>
      </w:r>
      <w:r>
        <w:rPr>
          <w:rFonts w:ascii="Times New Roman" w:cs="Times New Roman" w:eastAsia="Times New Roman" w:hAnsi="Times New Roman"/>
          <w:sz w:val="15"/>
          <w:szCs w:val="15"/>
          <w:color w:val="auto"/>
        </w:rPr>
        <w:t xml:space="preserve"> to enable Licensee to conduct the Development or Manufacture of the Licensed Assets and Products in the Field in the Licensed Territory in accordance with this Agreement. If within [***] after the Effective Date, XENCOR or Licensee identifies particular documents, data or information that are within the XENCOR Know-How and within XENCOR’s Control and are necessary for the Development or Manufacture of the Licensed Assets or Products, but were not previously delivered to Licensee, XENCOR shall use reasonable efforts to provide such documents, data or information to Licensee. Licensee acknowledges and agrees that any Materials delivered pursuant to this Agreement are provided “as-is” without representations or warranties of any kind. Licensee shall not use any Materials delivered by XENCOR to Licensee in any clinical trials;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foregoing sentence does not restrict Licensee’s right to use Products Manufactured from such Materials in clinical trials. Upon reasonable request from Licensee, XENCOR will make available certain of its employees for consultation regarding the Development or regulatory activities for a Licensed Asset and its corresponding Products in connection with the technology transfer activities under this Agreement (including, the transitioning of Manufacturing responsibility to Licensee);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XENCOR’s obligations under this </w:t>
      </w:r>
      <w:r>
        <w:rPr>
          <w:rFonts w:ascii="Times New Roman" w:cs="Times New Roman" w:eastAsia="Times New Roman" w:hAnsi="Times New Roman"/>
          <w:sz w:val="15"/>
          <w:szCs w:val="15"/>
          <w:u w:val="single" w:color="auto"/>
          <w:color w:val="auto"/>
        </w:rPr>
        <w:t>Section 4.6</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6.1</w:t>
      </w:r>
      <w:r>
        <w:rPr>
          <w:rFonts w:ascii="Times New Roman" w:cs="Times New Roman" w:eastAsia="Times New Roman" w:hAnsi="Times New Roman"/>
          <w:sz w:val="15"/>
          <w:szCs w:val="15"/>
          <w:color w:val="auto"/>
        </w:rPr>
        <w:t xml:space="preserve"> shall not exceed an aggregate of [***] full-time equivalent hours. Licensee shall be responsible for any Development or Manufacturing related out-of-pocket costs associated with such technology transfer, including lab runs, pilot scale testing and demo batches.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291" w:name="page292"/>
    <w:bookmarkEnd w:id="291"/>
    <w:p>
      <w:pPr>
        <w:ind w:left="54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4.7</w:t>
      </w:r>
      <w:r>
        <w:rPr>
          <w:sz w:val="20"/>
          <w:szCs w:val="20"/>
          <w:color w:val="auto"/>
        </w:rPr>
        <w:tab/>
      </w:r>
      <w:r>
        <w:rPr>
          <w:rFonts w:ascii="Times New Roman" w:cs="Times New Roman" w:eastAsia="Times New Roman" w:hAnsi="Times New Roman"/>
          <w:sz w:val="15"/>
          <w:szCs w:val="15"/>
          <w:b w:val="1"/>
          <w:bCs w:val="1"/>
          <w:color w:val="auto"/>
        </w:rPr>
        <w:t>Development Costs</w:t>
      </w:r>
      <w:r>
        <w:rPr>
          <w:rFonts w:ascii="Times New Roman" w:cs="Times New Roman" w:eastAsia="Times New Roman" w:hAnsi="Times New Roman"/>
          <w:sz w:val="15"/>
          <w:szCs w:val="15"/>
          <w:color w:val="auto"/>
        </w:rPr>
        <w:t>. Licensee shall be solely responsible for all costs and expenses associated with its performance of the Development activities related to the Licensed Assets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Products.</w:t>
      </w:r>
    </w:p>
    <w:p>
      <w:pPr>
        <w:spacing w:after="0" w:line="136" w:lineRule="exact"/>
        <w:rPr>
          <w:sz w:val="20"/>
          <w:szCs w:val="20"/>
          <w:color w:val="auto"/>
        </w:rPr>
      </w:pPr>
    </w:p>
    <w:p>
      <w:pPr>
        <w:ind w:left="540" w:hanging="532"/>
        <w:spacing w:after="0"/>
        <w:tabs>
          <w:tab w:leader="none" w:pos="540" w:val="left"/>
        </w:tabs>
        <w:numPr>
          <w:ilvl w:val="0"/>
          <w:numId w:val="1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Regulatory Matters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54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5.1</w:t>
      </w:r>
      <w:r>
        <w:rPr>
          <w:sz w:val="20"/>
          <w:szCs w:val="20"/>
          <w:color w:val="auto"/>
        </w:rPr>
        <w:tab/>
      </w:r>
      <w:r>
        <w:rPr>
          <w:rFonts w:ascii="Times New Roman" w:cs="Times New Roman" w:eastAsia="Times New Roman" w:hAnsi="Times New Roman"/>
          <w:sz w:val="15"/>
          <w:szCs w:val="15"/>
          <w:b w:val="1"/>
          <w:bCs w:val="1"/>
          <w:color w:val="auto"/>
        </w:rPr>
        <w:t>Regulatory Strategy and Diligence</w:t>
      </w:r>
      <w:r>
        <w:rPr>
          <w:rFonts w:ascii="Times New Roman" w:cs="Times New Roman" w:eastAsia="Times New Roman" w:hAnsi="Times New Roman"/>
          <w:sz w:val="15"/>
          <w:szCs w:val="15"/>
          <w:color w:val="auto"/>
        </w:rPr>
        <w:t>. The Licensee shall be responsible for formulating regulatory strategy for obtaining and maintaining Regulatory Approvals for Products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Field in the Licensed Territory. Licensee shall use Commercially Reasonable Efforts to obtain Regulatory Approval for Products in the Field in the Licensed Territory.</w:t>
      </w:r>
    </w:p>
    <w:p>
      <w:pPr>
        <w:spacing w:after="0" w:line="13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5.2</w:t>
      </w:r>
      <w:r>
        <w:rPr>
          <w:sz w:val="20"/>
          <w:szCs w:val="20"/>
          <w:color w:val="auto"/>
        </w:rPr>
        <w:tab/>
      </w:r>
      <w:r>
        <w:rPr>
          <w:rFonts w:ascii="Times New Roman" w:cs="Times New Roman" w:eastAsia="Times New Roman" w:hAnsi="Times New Roman"/>
          <w:sz w:val="14"/>
          <w:szCs w:val="14"/>
          <w:b w:val="1"/>
          <w:bCs w:val="1"/>
          <w:color w:val="auto"/>
        </w:rPr>
        <w:t>Regulatory Approvals in the Licensed Territory</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060" w:hanging="526"/>
        <w:spacing w:after="0" w:line="271" w:lineRule="auto"/>
        <w:tabs>
          <w:tab w:leader="none" w:pos="1040" w:val="left"/>
        </w:tabs>
        <w:rPr>
          <w:sz w:val="20"/>
          <w:szCs w:val="20"/>
          <w:color w:val="auto"/>
        </w:rPr>
      </w:pPr>
      <w:r>
        <w:rPr>
          <w:rFonts w:ascii="Times New Roman" w:cs="Times New Roman" w:eastAsia="Times New Roman" w:hAnsi="Times New Roman"/>
          <w:sz w:val="15"/>
          <w:szCs w:val="15"/>
          <w:color w:val="auto"/>
        </w:rPr>
        <w:t>5.2.1</w:t>
      </w:r>
      <w:r>
        <w:rPr>
          <w:sz w:val="20"/>
          <w:szCs w:val="20"/>
          <w:color w:val="auto"/>
        </w:rPr>
        <w:tab/>
      </w:r>
      <w:r>
        <w:rPr>
          <w:rFonts w:ascii="Times New Roman" w:cs="Times New Roman" w:eastAsia="Times New Roman" w:hAnsi="Times New Roman"/>
          <w:sz w:val="14"/>
          <w:szCs w:val="14"/>
          <w:b w:val="1"/>
          <w:bCs w:val="1"/>
          <w:color w:val="auto"/>
        </w:rPr>
        <w:t>Responsibility</w:t>
      </w:r>
      <w:r>
        <w:rPr>
          <w:rFonts w:ascii="Times New Roman" w:cs="Times New Roman" w:eastAsia="Times New Roman" w:hAnsi="Times New Roman"/>
          <w:sz w:val="14"/>
          <w:szCs w:val="14"/>
          <w:color w:val="auto"/>
        </w:rPr>
        <w:t>. Licensee shall be solely responsible for: (a) preparing and filing all Regulatory Submissions necessary or desirable for obtaining and maintaining Regulatory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Approvals for Products in the Field in the Licensed Territory (each a “</w:t>
      </w:r>
      <w:r>
        <w:rPr>
          <w:rFonts w:ascii="Times New Roman" w:cs="Times New Roman" w:eastAsia="Times New Roman" w:hAnsi="Times New Roman"/>
          <w:sz w:val="14"/>
          <w:szCs w:val="14"/>
          <w:u w:val="single" w:color="auto"/>
          <w:color w:val="auto"/>
        </w:rPr>
        <w:t>Licensee Regulatory Submission</w:t>
      </w:r>
      <w:r>
        <w:rPr>
          <w:rFonts w:ascii="Times New Roman" w:cs="Times New Roman" w:eastAsia="Times New Roman" w:hAnsi="Times New Roman"/>
          <w:sz w:val="14"/>
          <w:szCs w:val="14"/>
          <w:color w:val="auto"/>
        </w:rPr>
        <w:t>”), including in connection with package inserts, labeling and packaging for the Products in the Field in the Licensed Territory; (b) communicating with the NMPA, US FDA, EMA, and other Regulatory Authorities in the Licensed Territory about the Licensed Assets and Products; (c) preparing and submitting supplements, communications, license amendments, renewals, annual reports, Adverse Event reports, manufacturing changes, supplier designations and other related Regulatory Submissions (including with respect to any required post-marketing studies) for the Products in the Field in the Licensed Territory; (d) handling all medical questions or inquiries in each country; and (e) all costs and expenses associated with the foregoing.</w:t>
      </w:r>
    </w:p>
    <w:p>
      <w:pPr>
        <w:spacing w:after="0" w:line="140" w:lineRule="exact"/>
        <w:rPr>
          <w:sz w:val="20"/>
          <w:szCs w:val="20"/>
          <w:color w:val="auto"/>
        </w:rPr>
      </w:pPr>
    </w:p>
    <w:p>
      <w:pPr>
        <w:jc w:val="both"/>
        <w:ind w:left="1060" w:hanging="526"/>
        <w:spacing w:after="0" w:line="251" w:lineRule="auto"/>
        <w:tabs>
          <w:tab w:leader="none" w:pos="1040" w:val="left"/>
        </w:tabs>
        <w:rPr>
          <w:sz w:val="20"/>
          <w:szCs w:val="20"/>
          <w:color w:val="auto"/>
        </w:rPr>
      </w:pPr>
      <w:r>
        <w:rPr>
          <w:rFonts w:ascii="Times New Roman" w:cs="Times New Roman" w:eastAsia="Times New Roman" w:hAnsi="Times New Roman"/>
          <w:sz w:val="15"/>
          <w:szCs w:val="15"/>
          <w:color w:val="auto"/>
        </w:rPr>
        <w:t>5.2.2</w:t>
      </w:r>
      <w:r>
        <w:rPr>
          <w:sz w:val="20"/>
          <w:szCs w:val="20"/>
          <w:color w:val="auto"/>
        </w:rPr>
        <w:tab/>
      </w:r>
      <w:r>
        <w:rPr>
          <w:rFonts w:ascii="Times New Roman" w:cs="Times New Roman" w:eastAsia="Times New Roman" w:hAnsi="Times New Roman"/>
          <w:sz w:val="15"/>
          <w:szCs w:val="15"/>
          <w:b w:val="1"/>
          <w:bCs w:val="1"/>
          <w:color w:val="auto"/>
        </w:rPr>
        <w:t>Ownership of Regulatory Submissions and Regulatory Approvals</w:t>
      </w:r>
      <w:r>
        <w:rPr>
          <w:rFonts w:ascii="Times New Roman" w:cs="Times New Roman" w:eastAsia="Times New Roman" w:hAnsi="Times New Roman"/>
          <w:sz w:val="15"/>
          <w:szCs w:val="15"/>
          <w:color w:val="auto"/>
        </w:rPr>
        <w:t>. Licensee or its Affiliate shall be the applicant and legal and beneficial owner of all Regulatory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Submissions and Regulatory Approvals for Licensed Assets or Products in the Licensed Territory;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Parties shall use good faith efforts to cooperate to effectuate this </w:t>
      </w:r>
      <w:r>
        <w:rPr>
          <w:rFonts w:ascii="Times New Roman" w:cs="Times New Roman" w:eastAsia="Times New Roman" w:hAnsi="Times New Roman"/>
          <w:sz w:val="15"/>
          <w:szCs w:val="15"/>
          <w:u w:val="single" w:color="auto"/>
          <w:color w:val="auto"/>
        </w:rPr>
        <w:t>Section 5.2.2</w:t>
      </w:r>
      <w:r>
        <w:rPr>
          <w:rFonts w:ascii="Times New Roman" w:cs="Times New Roman" w:eastAsia="Times New Roman" w:hAnsi="Times New Roman"/>
          <w:sz w:val="15"/>
          <w:szCs w:val="15"/>
          <w:color w:val="auto"/>
        </w:rPr>
        <w:t>. Notwithstanding the foregoing, to the extent any Licensee Regulatory Submissions contain XENCOR Intellectual Property or XENCOR’s Confidential Information, XENCOR shall retain ownership to such XENCOR Intellectual Property and XENCOR’s Confidential Information, which shall remain subject to the terms and conditions of this Agreement.</w:t>
      </w: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292" w:name="page293"/>
    <w:bookmarkEnd w:id="292"/>
    <w:p>
      <w:pPr>
        <w:ind w:left="1060" w:hanging="526"/>
        <w:spacing w:after="0" w:line="272" w:lineRule="auto"/>
        <w:tabs>
          <w:tab w:leader="none" w:pos="1040" w:val="left"/>
        </w:tabs>
        <w:rPr>
          <w:sz w:val="20"/>
          <w:szCs w:val="20"/>
          <w:color w:val="auto"/>
        </w:rPr>
      </w:pPr>
      <w:r>
        <w:rPr>
          <w:rFonts w:ascii="Times New Roman" w:cs="Times New Roman" w:eastAsia="Times New Roman" w:hAnsi="Times New Roman"/>
          <w:sz w:val="15"/>
          <w:szCs w:val="15"/>
          <w:color w:val="auto"/>
        </w:rPr>
        <w:t>5.2.3</w:t>
      </w:r>
      <w:r>
        <w:rPr>
          <w:sz w:val="20"/>
          <w:szCs w:val="20"/>
          <w:color w:val="auto"/>
        </w:rPr>
        <w:tab/>
      </w:r>
      <w:r>
        <w:rPr>
          <w:rFonts w:ascii="Times New Roman" w:cs="Times New Roman" w:eastAsia="Times New Roman" w:hAnsi="Times New Roman"/>
          <w:sz w:val="15"/>
          <w:szCs w:val="15"/>
          <w:b w:val="1"/>
          <w:bCs w:val="1"/>
          <w:color w:val="auto"/>
        </w:rPr>
        <w:t>Reporting and Review</w:t>
      </w:r>
      <w:r>
        <w:rPr>
          <w:rFonts w:ascii="Times New Roman" w:cs="Times New Roman" w:eastAsia="Times New Roman" w:hAnsi="Times New Roman"/>
          <w:sz w:val="15"/>
          <w:szCs w:val="15"/>
          <w:color w:val="auto"/>
        </w:rPr>
        <w:t>. Licensee shall keep XENCOR reasonably and regularly informed in connection with the preparation of all Regulatory Submissions, Regulatory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Authority review of Regulatory Submissions, and Regulatory Approvals, in each case with respect to the Products.</w:t>
      </w:r>
    </w:p>
    <w:p>
      <w:pPr>
        <w:spacing w:after="0" w:line="136" w:lineRule="exact"/>
        <w:rPr>
          <w:sz w:val="20"/>
          <w:szCs w:val="20"/>
          <w:color w:val="auto"/>
        </w:rPr>
      </w:pPr>
    </w:p>
    <w:p>
      <w:pPr>
        <w:ind w:left="1060" w:hanging="526"/>
        <w:spacing w:after="0" w:line="272" w:lineRule="auto"/>
        <w:tabs>
          <w:tab w:leader="none" w:pos="1040" w:val="left"/>
        </w:tabs>
        <w:rPr>
          <w:sz w:val="20"/>
          <w:szCs w:val="20"/>
          <w:color w:val="auto"/>
        </w:rPr>
      </w:pPr>
      <w:r>
        <w:rPr>
          <w:rFonts w:ascii="Times New Roman" w:cs="Times New Roman" w:eastAsia="Times New Roman" w:hAnsi="Times New Roman"/>
          <w:sz w:val="15"/>
          <w:szCs w:val="15"/>
          <w:color w:val="auto"/>
        </w:rPr>
        <w:t>5.2.4</w:t>
      </w:r>
      <w:r>
        <w:rPr>
          <w:sz w:val="20"/>
          <w:szCs w:val="20"/>
          <w:color w:val="auto"/>
        </w:rPr>
        <w:tab/>
      </w:r>
      <w:r>
        <w:rPr>
          <w:rFonts w:ascii="Times New Roman" w:cs="Times New Roman" w:eastAsia="Times New Roman" w:hAnsi="Times New Roman"/>
          <w:sz w:val="15"/>
          <w:szCs w:val="15"/>
          <w:b w:val="1"/>
          <w:bCs w:val="1"/>
          <w:color w:val="auto"/>
        </w:rPr>
        <w:t>No Other Regulatory Filings</w:t>
      </w:r>
      <w:r>
        <w:rPr>
          <w:rFonts w:ascii="Times New Roman" w:cs="Times New Roman" w:eastAsia="Times New Roman" w:hAnsi="Times New Roman"/>
          <w:sz w:val="15"/>
          <w:szCs w:val="15"/>
          <w:color w:val="auto"/>
        </w:rPr>
        <w:t>. Except as otherwise expressly set forth in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Article 5</w:t>
      </w:r>
      <w:r>
        <w:rPr>
          <w:rFonts w:ascii="Times New Roman" w:cs="Times New Roman" w:eastAsia="Times New Roman" w:hAnsi="Times New Roman"/>
          <w:sz w:val="15"/>
          <w:szCs w:val="15"/>
          <w:color w:val="auto"/>
        </w:rPr>
        <w:t>, Licensee, its Affiliates and Sublicensees shall not file any Regulatory Submissions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seek any Regulatory Approvals that are based on any XENCOR Intellectual Property.</w:t>
      </w:r>
    </w:p>
    <w:p>
      <w:pPr>
        <w:spacing w:after="0" w:line="136" w:lineRule="exact"/>
        <w:rPr>
          <w:sz w:val="20"/>
          <w:szCs w:val="20"/>
          <w:color w:val="auto"/>
        </w:rPr>
      </w:pPr>
    </w:p>
    <w:p>
      <w:pPr>
        <w:jc w:val="both"/>
        <w:ind w:left="540" w:hanging="526"/>
        <w:spacing w:after="0" w:line="253" w:lineRule="auto"/>
        <w:tabs>
          <w:tab w:leader="none" w:pos="520" w:val="left"/>
        </w:tabs>
        <w:rPr>
          <w:sz w:val="20"/>
          <w:szCs w:val="20"/>
          <w:color w:val="auto"/>
        </w:rPr>
      </w:pPr>
      <w:r>
        <w:rPr>
          <w:rFonts w:ascii="Times New Roman" w:cs="Times New Roman" w:eastAsia="Times New Roman" w:hAnsi="Times New Roman"/>
          <w:sz w:val="15"/>
          <w:szCs w:val="15"/>
          <w:color w:val="auto"/>
        </w:rPr>
        <w:t>5.3</w:t>
      </w:r>
      <w:r>
        <w:rPr>
          <w:sz w:val="20"/>
          <w:szCs w:val="20"/>
          <w:color w:val="auto"/>
        </w:rPr>
        <w:tab/>
      </w:r>
      <w:r>
        <w:rPr>
          <w:rFonts w:ascii="Times New Roman" w:cs="Times New Roman" w:eastAsia="Times New Roman" w:hAnsi="Times New Roman"/>
          <w:sz w:val="15"/>
          <w:szCs w:val="15"/>
          <w:b w:val="1"/>
          <w:bCs w:val="1"/>
          <w:color w:val="auto"/>
        </w:rPr>
        <w:t>Regulatory Authority Communications</w:t>
      </w:r>
      <w:r>
        <w:rPr>
          <w:rFonts w:ascii="Times New Roman" w:cs="Times New Roman" w:eastAsia="Times New Roman" w:hAnsi="Times New Roman"/>
          <w:sz w:val="15"/>
          <w:szCs w:val="15"/>
          <w:color w:val="auto"/>
        </w:rPr>
        <w:t>. In addition to its obligations under this Agreement, Licensee shall disclose to XENCOR (and XENCOR shall have the right to subsequently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disclose to its designees) all material information pertaining to notices from, or actions taken by, Regulatory Authorities in connection with the Products or Licensed Assets, including any audit notice, notice of initiation by Regulatory Authorities of investigations, inspections, detentions, seizures or injunctions concerning the Products or Licensed Assets, notice of violation letter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an untitled letter), warning letter, service of process or other inquiry.</w:t>
      </w:r>
    </w:p>
    <w:p>
      <w:pPr>
        <w:spacing w:after="0" w:line="152" w:lineRule="exact"/>
        <w:rPr>
          <w:sz w:val="20"/>
          <w:szCs w:val="20"/>
          <w:color w:val="auto"/>
        </w:rPr>
      </w:pPr>
    </w:p>
    <w:p>
      <w:pPr>
        <w:jc w:val="both"/>
        <w:ind w:left="540" w:hanging="526"/>
        <w:spacing w:after="0" w:line="248" w:lineRule="auto"/>
        <w:tabs>
          <w:tab w:leader="none" w:pos="520" w:val="left"/>
        </w:tabs>
        <w:rPr>
          <w:sz w:val="20"/>
          <w:szCs w:val="20"/>
          <w:color w:val="auto"/>
        </w:rPr>
      </w:pPr>
      <w:r>
        <w:rPr>
          <w:rFonts w:ascii="Times New Roman" w:cs="Times New Roman" w:eastAsia="Times New Roman" w:hAnsi="Times New Roman"/>
          <w:sz w:val="15"/>
          <w:szCs w:val="15"/>
          <w:color w:val="auto"/>
        </w:rPr>
        <w:t>5.4</w:t>
      </w:r>
      <w:r>
        <w:rPr>
          <w:sz w:val="20"/>
          <w:szCs w:val="20"/>
          <w:color w:val="auto"/>
        </w:rPr>
        <w:tab/>
      </w:r>
      <w:r>
        <w:rPr>
          <w:rFonts w:ascii="Times New Roman" w:cs="Times New Roman" w:eastAsia="Times New Roman" w:hAnsi="Times New Roman"/>
          <w:sz w:val="15"/>
          <w:szCs w:val="15"/>
          <w:b w:val="1"/>
          <w:bCs w:val="1"/>
          <w:color w:val="auto"/>
        </w:rPr>
        <w:t>Recall, Withdrawal, or Market Notification of Product</w:t>
      </w:r>
      <w:r>
        <w:rPr>
          <w:rFonts w:ascii="Times New Roman" w:cs="Times New Roman" w:eastAsia="Times New Roman" w:hAnsi="Times New Roman"/>
          <w:sz w:val="15"/>
          <w:szCs w:val="15"/>
          <w:color w:val="auto"/>
        </w:rPr>
        <w:t>. In the event that any governmental authority threatens or initiates any action to remove any Product from the market,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Licensee shall notify XENCOR of such communication promptly, but in no event later than [***], after receipt thereof. Licensee shall determine whether to initiate any recall, withdrawal or market notification of such Product. Without limiting the foregoing, XENCOR shall have the right to propose that a Product recall, withdrawal or market should be initiated by Licensee, but Licensee shall make the final decision as to whether or not the recall, withdrawal or market notification will be initiated;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in the event Licensee does not agree to initiate such recall, withdrawal or market notification, then Licensee shall indemnify XENCOR under </w:t>
      </w:r>
      <w:r>
        <w:rPr>
          <w:rFonts w:ascii="Times New Roman" w:cs="Times New Roman" w:eastAsia="Times New Roman" w:hAnsi="Times New Roman"/>
          <w:sz w:val="15"/>
          <w:szCs w:val="15"/>
          <w:u w:val="single" w:color="auto"/>
          <w:color w:val="auto"/>
        </w:rPr>
        <w:t>Section 14.2</w:t>
      </w:r>
      <w:r>
        <w:rPr>
          <w:rFonts w:ascii="Times New Roman" w:cs="Times New Roman" w:eastAsia="Times New Roman" w:hAnsi="Times New Roman"/>
          <w:sz w:val="15"/>
          <w:szCs w:val="15"/>
          <w:color w:val="auto"/>
        </w:rPr>
        <w:t xml:space="preserve"> with respect thereto. Licensee shall at all times utilize a batch tracing system which will enable the Parties to identify, on a prompt basis, customers who have been supplied with Product of any particular batch, and to recall such Product from such customers as required pursuant to this </w:t>
      </w:r>
      <w:r>
        <w:rPr>
          <w:rFonts w:ascii="Times New Roman" w:cs="Times New Roman" w:eastAsia="Times New Roman" w:hAnsi="Times New Roman"/>
          <w:sz w:val="15"/>
          <w:szCs w:val="15"/>
          <w:u w:val="single" w:color="auto"/>
          <w:color w:val="auto"/>
        </w:rPr>
        <w:t>Section 5.4</w:t>
      </w:r>
      <w:r>
        <w:rPr>
          <w:rFonts w:ascii="Times New Roman" w:cs="Times New Roman" w:eastAsia="Times New Roman" w:hAnsi="Times New Roman"/>
          <w:sz w:val="15"/>
          <w:szCs w:val="15"/>
          <w:color w:val="auto"/>
        </w:rPr>
        <w:t>. All costs and expenses associated with implementing a recall, withdrawal or market notification with respect to the Products shall be borne by Licensee.</w:t>
      </w:r>
    </w:p>
    <w:p>
      <w:pPr>
        <w:spacing w:after="0" w:line="156" w:lineRule="exact"/>
        <w:rPr>
          <w:sz w:val="20"/>
          <w:szCs w:val="20"/>
          <w:color w:val="auto"/>
        </w:rPr>
      </w:pPr>
    </w:p>
    <w:p>
      <w:pPr>
        <w:ind w:left="540" w:hanging="532"/>
        <w:spacing w:after="0"/>
        <w:tabs>
          <w:tab w:leader="none" w:pos="540" w:val="left"/>
        </w:tabs>
        <w:numPr>
          <w:ilvl w:val="0"/>
          <w:numId w:val="1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Manufacture and Supply</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left="540" w:hanging="526"/>
        <w:spacing w:after="0" w:line="270" w:lineRule="auto"/>
        <w:tabs>
          <w:tab w:leader="none" w:pos="520" w:val="left"/>
        </w:tabs>
        <w:rPr>
          <w:sz w:val="20"/>
          <w:szCs w:val="20"/>
          <w:color w:val="auto"/>
        </w:rPr>
      </w:pPr>
      <w:r>
        <w:rPr>
          <w:rFonts w:ascii="Times New Roman" w:cs="Times New Roman" w:eastAsia="Times New Roman" w:hAnsi="Times New Roman"/>
          <w:sz w:val="15"/>
          <w:szCs w:val="15"/>
          <w:color w:val="auto"/>
        </w:rPr>
        <w:t>6.1</w:t>
      </w:r>
      <w:r>
        <w:rPr>
          <w:sz w:val="20"/>
          <w:szCs w:val="20"/>
          <w:color w:val="auto"/>
        </w:rPr>
        <w:tab/>
      </w:r>
      <w:r>
        <w:rPr>
          <w:rFonts w:ascii="Times New Roman" w:cs="Times New Roman" w:eastAsia="Times New Roman" w:hAnsi="Times New Roman"/>
          <w:sz w:val="14"/>
          <w:szCs w:val="14"/>
          <w:b w:val="1"/>
          <w:bCs w:val="1"/>
          <w:color w:val="auto"/>
        </w:rPr>
        <w:t>In General</w:t>
      </w:r>
      <w:r>
        <w:rPr>
          <w:rFonts w:ascii="Times New Roman" w:cs="Times New Roman" w:eastAsia="Times New Roman" w:hAnsi="Times New Roman"/>
          <w:sz w:val="14"/>
          <w:szCs w:val="14"/>
          <w:color w:val="auto"/>
        </w:rPr>
        <w:t>.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Licensee shall have the right to Manufacture the Licensed Assets and Products for the Development or Commercialization of the Licensed Assets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and Products in the Field in the Licensed Territory. Subject to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Licensee may either itself Manufacture and supply, or enter into one or more definitive Manufacturing and supply agreements with appropriate Third Parties, subject to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to Manufacture and supply clinical and commercial supplies of Licensed Assets and Products. For clarity:</w:t>
      </w:r>
    </w:p>
    <w:p>
      <w:pPr>
        <w:spacing w:after="0" w:line="1" w:lineRule="exact"/>
        <w:rPr>
          <w:sz w:val="20"/>
          <w:szCs w:val="20"/>
          <w:color w:val="auto"/>
        </w:rPr>
      </w:pPr>
    </w:p>
    <w:p>
      <w:pPr>
        <w:jc w:val="both"/>
        <w:ind w:left="540" w:hanging="5"/>
        <w:spacing w:after="0" w:line="246" w:lineRule="auto"/>
        <w:tabs>
          <w:tab w:leader="none" w:pos="763"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after the payment by Licensee of the Technology Access Fee under Section 5.2.2 of the [***] Agreement, Licensee will be a sublicensee under the license granted under Section 5.2.5 of the [***] Agreement and the direct and, as between the Parties, the sole recipient of the information and technology transfer from [***] in relation to the Process pursuant to the terms of the [***] Agreement (“[***] </w:t>
      </w:r>
      <w:r>
        <w:rPr>
          <w:rFonts w:ascii="Times New Roman" w:cs="Times New Roman" w:eastAsia="Times New Roman" w:hAnsi="Times New Roman"/>
          <w:sz w:val="15"/>
          <w:szCs w:val="15"/>
          <w:u w:val="single" w:color="auto"/>
          <w:color w:val="auto"/>
        </w:rPr>
        <w:t>Technology</w:t>
      </w:r>
      <w:r>
        <w:rPr>
          <w:rFonts w:ascii="Times New Roman" w:cs="Times New Roman" w:eastAsia="Times New Roman" w:hAnsi="Times New Roman"/>
          <w:sz w:val="15"/>
          <w:szCs w:val="15"/>
          <w:color w:val="auto"/>
        </w:rPr>
        <w:t xml:space="preserve">”); and (b) all [***] Technology transferred from [***] to Licensee in connection with the payment of the Technology Access Fee shall, to the extent not already possessed by XENCOR, be deemed Licensee Know-How for all purposes of </w:t>
      </w:r>
      <w:r>
        <w:rPr>
          <w:rFonts w:ascii="Times New Roman" w:cs="Times New Roman" w:eastAsia="Times New Roman" w:hAnsi="Times New Roman"/>
          <w:sz w:val="15"/>
          <w:szCs w:val="15"/>
          <w:u w:val="single" w:color="auto"/>
          <w:color w:val="auto"/>
        </w:rPr>
        <w:t>Section 13.5.9</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13.5.11</w:t>
      </w:r>
      <w:r>
        <w:rPr>
          <w:rFonts w:ascii="Times New Roman" w:cs="Times New Roman" w:eastAsia="Times New Roman" w:hAnsi="Times New Roman"/>
          <w:sz w:val="15"/>
          <w:szCs w:val="15"/>
          <w:color w:val="auto"/>
        </w:rPr>
        <w:t>.</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93" w:name="page294"/>
    <w:bookmarkEnd w:id="293"/>
    <w:p>
      <w:pPr>
        <w:ind w:left="540" w:hanging="532"/>
        <w:spacing w:after="0"/>
        <w:tabs>
          <w:tab w:leader="none" w:pos="540" w:val="left"/>
        </w:tabs>
        <w:numPr>
          <w:ilvl w:val="0"/>
          <w:numId w:val="15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Commercialization</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left="540" w:hanging="526"/>
        <w:spacing w:after="0" w:line="251" w:lineRule="auto"/>
        <w:tabs>
          <w:tab w:leader="none" w:pos="520" w:val="left"/>
        </w:tabs>
        <w:rPr>
          <w:sz w:val="20"/>
          <w:szCs w:val="20"/>
          <w:color w:val="auto"/>
        </w:rPr>
      </w:pPr>
      <w:r>
        <w:rPr>
          <w:rFonts w:ascii="Times New Roman" w:cs="Times New Roman" w:eastAsia="Times New Roman" w:hAnsi="Times New Roman"/>
          <w:sz w:val="15"/>
          <w:szCs w:val="15"/>
          <w:color w:val="auto"/>
        </w:rPr>
        <w:t>7.1</w:t>
      </w:r>
      <w:r>
        <w:rPr>
          <w:sz w:val="20"/>
          <w:szCs w:val="20"/>
          <w:color w:val="auto"/>
        </w:rPr>
        <w:tab/>
      </w:r>
      <w:r>
        <w:rPr>
          <w:rFonts w:ascii="Times New Roman" w:cs="Times New Roman" w:eastAsia="Times New Roman" w:hAnsi="Times New Roman"/>
          <w:sz w:val="15"/>
          <w:szCs w:val="15"/>
          <w:b w:val="1"/>
          <w:bCs w:val="1"/>
          <w:color w:val="auto"/>
        </w:rPr>
        <w:t>Commercialization Activities</w:t>
      </w:r>
      <w:r>
        <w:rPr>
          <w:rFonts w:ascii="Times New Roman" w:cs="Times New Roman" w:eastAsia="Times New Roman" w:hAnsi="Times New Roman"/>
          <w:sz w:val="15"/>
          <w:szCs w:val="15"/>
          <w:color w:val="auto"/>
        </w:rPr>
        <w:t>. Licensee shall have sole and exclusive responsibility, as well as sole control and decision-making authority, for all aspects of Commercialization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Products in the Field in the Licensed Territory, including all costs and expenses associated therewith, which Commercialization shall, in any event, be in accordance with this Agreement. Licensee shall use Commercially Reasonable Efforts to Commercialize Products in the Field throughout the Major Territories after obtaining the applicable Regulatory Approvals. Licensee shall undertake Commercialization activities with respect to each Licensed Asset and Product in the Field in the [***] in accordance with all Applicable Laws and applicable industry professional standards. Without limiting the generality of the foregoing, Licensee shall [***].</w:t>
      </w:r>
    </w:p>
    <w:p>
      <w:pPr>
        <w:spacing w:after="0" w:line="153" w:lineRule="exact"/>
        <w:rPr>
          <w:sz w:val="20"/>
          <w:szCs w:val="20"/>
          <w:color w:val="auto"/>
        </w:rPr>
      </w:pPr>
    </w:p>
    <w:p>
      <w:pPr>
        <w:jc w:val="both"/>
        <w:ind w:left="540" w:hanging="526"/>
        <w:spacing w:after="0" w:line="250" w:lineRule="auto"/>
        <w:tabs>
          <w:tab w:leader="none" w:pos="520" w:val="left"/>
        </w:tabs>
        <w:rPr>
          <w:sz w:val="20"/>
          <w:szCs w:val="20"/>
          <w:color w:val="auto"/>
        </w:rPr>
      </w:pPr>
      <w:r>
        <w:rPr>
          <w:rFonts w:ascii="Times New Roman" w:cs="Times New Roman" w:eastAsia="Times New Roman" w:hAnsi="Times New Roman"/>
          <w:sz w:val="15"/>
          <w:szCs w:val="15"/>
          <w:color w:val="auto"/>
        </w:rPr>
        <w:t>7.2</w:t>
      </w:r>
      <w:r>
        <w:rPr>
          <w:sz w:val="20"/>
          <w:szCs w:val="20"/>
          <w:color w:val="auto"/>
        </w:rPr>
        <w:tab/>
      </w:r>
      <w:r>
        <w:rPr>
          <w:rFonts w:ascii="Times New Roman" w:cs="Times New Roman" w:eastAsia="Times New Roman" w:hAnsi="Times New Roman"/>
          <w:sz w:val="15"/>
          <w:szCs w:val="15"/>
          <w:b w:val="1"/>
          <w:bCs w:val="1"/>
          <w:color w:val="auto"/>
        </w:rPr>
        <w:t>Commercialization Plans</w:t>
      </w:r>
      <w:r>
        <w:rPr>
          <w:rFonts w:ascii="Times New Roman" w:cs="Times New Roman" w:eastAsia="Times New Roman" w:hAnsi="Times New Roman"/>
          <w:sz w:val="15"/>
          <w:szCs w:val="15"/>
          <w:color w:val="auto"/>
        </w:rPr>
        <w:t>. For each Licensed Asset and its corresponding Products, Licensee shall develop a reasonably detailed summary of its Commercialization plan for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Products in the Field in the Licensed Territory and the associated budget, which will contain in reasonable detail the major Commercialization activities and the planned timelines for achieving such activities (with respect to the Products related to each Licensed Asset, a “</w:t>
      </w:r>
      <w:r>
        <w:rPr>
          <w:rFonts w:ascii="Times New Roman" w:cs="Times New Roman" w:eastAsia="Times New Roman" w:hAnsi="Times New Roman"/>
          <w:sz w:val="15"/>
          <w:szCs w:val="15"/>
          <w:u w:val="single" w:color="auto"/>
          <w:color w:val="auto"/>
        </w:rPr>
        <w:t>Commercialization Plan</w:t>
      </w:r>
      <w:r>
        <w:rPr>
          <w:rFonts w:ascii="Times New Roman" w:cs="Times New Roman" w:eastAsia="Times New Roman" w:hAnsi="Times New Roman"/>
          <w:sz w:val="15"/>
          <w:szCs w:val="15"/>
          <w:color w:val="auto"/>
        </w:rPr>
        <w:t xml:space="preserve">”). Licensee shall prepare each Commercialization Plan, which may be updated and revised from time to time by Licensee and discussed with XENCOR pursuant to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and shall provide a copy of the initial Commercialization Plans and any material updates thereto promptly to XENCOR. Licensee shall consider any comments provided by XENCOR in good faith. If the terms of the Commercialization Plan contradict, or create inconsistencies or ambiguities with, the terms of this Agreement, then the terms of this Agreement shall govern.</w:t>
      </w:r>
    </w:p>
    <w:p>
      <w:pPr>
        <w:spacing w:after="0" w:line="152" w:lineRule="exact"/>
        <w:rPr>
          <w:sz w:val="20"/>
          <w:szCs w:val="20"/>
          <w:color w:val="auto"/>
        </w:rPr>
      </w:pPr>
    </w:p>
    <w:p>
      <w:pPr>
        <w:jc w:val="both"/>
        <w:ind w:left="54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7.3</w:t>
      </w:r>
      <w:r>
        <w:rPr>
          <w:sz w:val="20"/>
          <w:szCs w:val="20"/>
          <w:color w:val="auto"/>
        </w:rPr>
        <w:tab/>
      </w:r>
      <w:r>
        <w:rPr>
          <w:rFonts w:ascii="Times New Roman" w:cs="Times New Roman" w:eastAsia="Times New Roman" w:hAnsi="Times New Roman"/>
          <w:sz w:val="15"/>
          <w:szCs w:val="15"/>
          <w:b w:val="1"/>
          <w:bCs w:val="1"/>
          <w:color w:val="auto"/>
        </w:rPr>
        <w:t>Commercialization Reports</w:t>
      </w:r>
      <w:r>
        <w:rPr>
          <w:rFonts w:ascii="Times New Roman" w:cs="Times New Roman" w:eastAsia="Times New Roman" w:hAnsi="Times New Roman"/>
          <w:sz w:val="15"/>
          <w:szCs w:val="15"/>
          <w:color w:val="auto"/>
        </w:rPr>
        <w:t>. Licensee shall report to XENCOR on the progress of the Commercialization of Licensed Assets and Products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addition,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Licensee shall, during each of the [***] after First Commercial Sale of a Product, provide XENCOR a reasonably detailed report regarding its significant Commercialization activities involving Product during the preceding [***].</w:t>
      </w:r>
    </w:p>
    <w:p>
      <w:pPr>
        <w:spacing w:after="0" w:line="147" w:lineRule="exact"/>
        <w:rPr>
          <w:sz w:val="20"/>
          <w:szCs w:val="20"/>
          <w:color w:val="auto"/>
        </w:rPr>
      </w:pPr>
    </w:p>
    <w:p>
      <w:pPr>
        <w:ind w:left="540" w:hanging="532"/>
        <w:spacing w:after="0"/>
        <w:tabs>
          <w:tab w:leader="none" w:pos="540" w:val="left"/>
        </w:tabs>
        <w:numPr>
          <w:ilvl w:val="0"/>
          <w:numId w:val="15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Consideration</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left="540" w:hanging="526"/>
        <w:spacing w:after="0" w:line="250" w:lineRule="auto"/>
        <w:tabs>
          <w:tab w:leader="none" w:pos="520" w:val="left"/>
        </w:tabs>
        <w:rPr>
          <w:sz w:val="20"/>
          <w:szCs w:val="20"/>
          <w:color w:val="auto"/>
        </w:rPr>
      </w:pPr>
      <w:r>
        <w:rPr>
          <w:rFonts w:ascii="Times New Roman" w:cs="Times New Roman" w:eastAsia="Times New Roman" w:hAnsi="Times New Roman"/>
          <w:sz w:val="15"/>
          <w:szCs w:val="15"/>
          <w:color w:val="auto"/>
        </w:rPr>
        <w:t>8.1</w:t>
      </w:r>
      <w:r>
        <w:rPr>
          <w:sz w:val="20"/>
          <w:szCs w:val="20"/>
          <w:color w:val="auto"/>
        </w:rPr>
        <w:tab/>
      </w:r>
      <w:r>
        <w:rPr>
          <w:rFonts w:ascii="Times New Roman" w:cs="Times New Roman" w:eastAsia="Times New Roman" w:hAnsi="Times New Roman"/>
          <w:sz w:val="15"/>
          <w:szCs w:val="15"/>
          <w:b w:val="1"/>
          <w:bCs w:val="1"/>
          <w:color w:val="auto"/>
        </w:rPr>
        <w:t>Equity Consideration</w:t>
      </w:r>
      <w:r>
        <w:rPr>
          <w:rFonts w:ascii="Times New Roman" w:cs="Times New Roman" w:eastAsia="Times New Roman" w:hAnsi="Times New Roman"/>
          <w:sz w:val="15"/>
          <w:szCs w:val="15"/>
          <w:color w:val="auto"/>
        </w:rPr>
        <w:t>. Licensee shall pay XENCOR the Equity Consideration as partial consideration for the licenses and rights granted by XENCOR to Licensee under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Agreement (in addition to the royalties payable to XENCOR pursuant to </w:t>
      </w:r>
      <w:r>
        <w:rPr>
          <w:rFonts w:ascii="Times New Roman" w:cs="Times New Roman" w:eastAsia="Times New Roman" w:hAnsi="Times New Roman"/>
          <w:sz w:val="15"/>
          <w:szCs w:val="15"/>
          <w:u w:val="single" w:color="auto"/>
          <w:color w:val="auto"/>
        </w:rPr>
        <w:t>Section 8.2</w:t>
      </w:r>
      <w:r>
        <w:rPr>
          <w:rFonts w:ascii="Times New Roman" w:cs="Times New Roman" w:eastAsia="Times New Roman" w:hAnsi="Times New Roman"/>
          <w:sz w:val="15"/>
          <w:szCs w:val="15"/>
          <w:color w:val="auto"/>
        </w:rPr>
        <w:t xml:space="preserve">), with the understanding that (a) such Equity Consideration will be issued to XENCOR promptly following the Financing Closing and the execution and delivery by XENCOR of the same financing documents as entered into by the Investors in connection with the Financing Closing after arms-length negotiation; (b) the rights and obligations of XENCOR under such financing documents shall be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xml:space="preserve"> with the lead Investors in the Financing; (c) the Equity Consideration will be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xml:space="preserve"> with the Financing Securities issued to the Investors (as each term is defined below); and (d) XENCOR shall have the opportunity to review such financing documents and provide reasonable and customary comments.</w:t>
      </w: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294" w:name="page295"/>
    <w:bookmarkEnd w:id="294"/>
    <w:p>
      <w:pPr>
        <w:spacing w:after="0"/>
        <w:tabs>
          <w:tab w:leader="none" w:pos="520" w:val="left"/>
        </w:tabs>
        <w:rPr>
          <w:sz w:val="20"/>
          <w:szCs w:val="20"/>
          <w:color w:val="auto"/>
        </w:rPr>
      </w:pPr>
      <w:r>
        <w:rPr>
          <w:rFonts w:ascii="Times New Roman" w:cs="Times New Roman" w:eastAsia="Times New Roman" w:hAnsi="Times New Roman"/>
          <w:sz w:val="15"/>
          <w:szCs w:val="15"/>
          <w:color w:val="auto"/>
        </w:rPr>
        <w:t>8.2</w:t>
      </w:r>
      <w:r>
        <w:rPr>
          <w:sz w:val="20"/>
          <w:szCs w:val="20"/>
          <w:color w:val="auto"/>
        </w:rPr>
        <w:tab/>
      </w:r>
      <w:r>
        <w:rPr>
          <w:rFonts w:ascii="Times New Roman" w:cs="Times New Roman" w:eastAsia="Times New Roman" w:hAnsi="Times New Roman"/>
          <w:sz w:val="14"/>
          <w:szCs w:val="14"/>
          <w:b w:val="1"/>
          <w:bCs w:val="1"/>
          <w:color w:val="auto"/>
        </w:rPr>
        <w:t>Royalty</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8.2.1</w:t>
      </w:r>
      <w:r>
        <w:rPr>
          <w:sz w:val="20"/>
          <w:szCs w:val="20"/>
          <w:color w:val="auto"/>
        </w:rPr>
        <w:tab/>
      </w:r>
      <w:r>
        <w:rPr>
          <w:rFonts w:ascii="Times New Roman" w:cs="Times New Roman" w:eastAsia="Times New Roman" w:hAnsi="Times New Roman"/>
          <w:sz w:val="14"/>
          <w:szCs w:val="14"/>
          <w:b w:val="1"/>
          <w:bCs w:val="1"/>
          <w:color w:val="auto"/>
        </w:rPr>
        <w:t>Generally</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left="1600" w:hanging="537"/>
        <w:spacing w:after="0" w:line="247" w:lineRule="auto"/>
        <w:tabs>
          <w:tab w:leader="none" w:pos="160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the remainder of this </w:t>
      </w:r>
      <w:r>
        <w:rPr>
          <w:rFonts w:ascii="Times New Roman" w:cs="Times New Roman" w:eastAsia="Times New Roman" w:hAnsi="Times New Roman"/>
          <w:sz w:val="15"/>
          <w:szCs w:val="15"/>
          <w:u w:val="single" w:color="auto"/>
          <w:color w:val="auto"/>
        </w:rPr>
        <w:t>Section 8.2</w:t>
      </w:r>
      <w:r>
        <w:rPr>
          <w:rFonts w:ascii="Times New Roman" w:cs="Times New Roman" w:eastAsia="Times New Roman" w:hAnsi="Times New Roman"/>
          <w:sz w:val="15"/>
          <w:szCs w:val="15"/>
          <w:color w:val="auto"/>
        </w:rPr>
        <w:t xml:space="preserve">, on a Product-by-Product, Region-by-Region basis, Licensee shall pay to XENCOR a running royalty on aggregated Net Sales of all Products sold by Licensee, its Affiliates or its Sublicensees in the Field in a Region in the Licensed Territory, calculated by multiplying the applicable royalty rate set forth in </w:t>
      </w:r>
      <w:r>
        <w:rPr>
          <w:rFonts w:ascii="Times New Roman" w:cs="Times New Roman" w:eastAsia="Times New Roman" w:hAnsi="Times New Roman"/>
          <w:sz w:val="15"/>
          <w:szCs w:val="15"/>
          <w:u w:val="single" w:color="auto"/>
          <w:color w:val="auto"/>
        </w:rPr>
        <w:t>Table 8.2.1</w:t>
      </w:r>
      <w:r>
        <w:rPr>
          <w:rFonts w:ascii="Times New Roman" w:cs="Times New Roman" w:eastAsia="Times New Roman" w:hAnsi="Times New Roman"/>
          <w:sz w:val="15"/>
          <w:szCs w:val="15"/>
          <w:color w:val="auto"/>
        </w:rPr>
        <w:t xml:space="preserve"> (Royalty Rates) below by the corresponding amount of incremental, aggregated annual Net Sales of all Products sold by Licensee, its Affiliates or its Sublicensees in the Field in the respective Region in the applicable Calendar Year. For each Calendar Year, the below tiered royalties shall be calculated such that the higher tiered royalty rates are only used after Net Sales in the entire Licensed Territory in each Calendar Year exceed the top threshold of the previous tier of Net Sales, and such higher tiered royalty rate shall only apply to the portion of Net Sales in the entire Licensed Territory that falls within that tier. For example, if Net Sales in the entire Licensed Territory exceed [***] on November 1 of the fourth Calendar Quarter in a given Calendar Year, then the next higher royalty rate of [***] of Net Sales in the [***], [***] of Net Sales in [***], and [***] of Net Sales in the [***] will apply, respectively, to Net Sales in the [***], [***], and the [***] occurring after November 1 until the end of the Calendar Year (so long as the top threshold of the then-current tier of Net Sales is not exceeded)</w:t>
      </w:r>
      <w:r>
        <w:rPr>
          <w:rFonts w:ascii="Times New Roman" w:cs="Times New Roman" w:eastAsia="Times New Roman" w:hAnsi="Times New Roman"/>
          <w:sz w:val="15"/>
          <w:szCs w:val="15"/>
          <w:i w:val="1"/>
          <w:iCs w:val="1"/>
          <w:color w:val="auto"/>
        </w:rPr>
        <w:t>.</w:t>
      </w:r>
    </w:p>
    <w:p>
      <w:pPr>
        <w:spacing w:after="0" w:line="158"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Table 8.2.1 (Royalty Rates):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520" w:type="dxa"/>
            <w:vAlign w:val="bottom"/>
            <w:tcBorders>
              <w:top w:val="single" w:sz="8" w:color="auto"/>
              <w:left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spacing w:after="0"/>
              <w:rPr>
                <w:sz w:val="16"/>
                <w:szCs w:val="16"/>
                <w:color w:val="auto"/>
              </w:rPr>
            </w:pPr>
          </w:p>
        </w:tc>
        <w:tc>
          <w:tcPr>
            <w:tcW w:w="4940" w:type="dxa"/>
            <w:vAlign w:val="bottom"/>
            <w:tcBorders>
              <w:top w:val="single" w:sz="8" w:color="auto"/>
              <w:bottom w:val="single" w:sz="8" w:color="auto"/>
            </w:tcBorders>
            <w:gridSpan w:val="2"/>
          </w:tcPr>
          <w:p>
            <w:pPr>
              <w:jc w:val="right"/>
              <w:ind w:right="2307"/>
              <w:spacing w:after="0"/>
              <w:rPr>
                <w:sz w:val="20"/>
                <w:szCs w:val="20"/>
                <w:color w:val="auto"/>
              </w:rPr>
            </w:pPr>
            <w:r>
              <w:rPr>
                <w:rFonts w:ascii="Times New Roman" w:cs="Times New Roman" w:eastAsia="Times New Roman" w:hAnsi="Times New Roman"/>
                <w:sz w:val="15"/>
                <w:szCs w:val="15"/>
                <w:b w:val="1"/>
                <w:bCs w:val="1"/>
                <w:color w:val="auto"/>
              </w:rPr>
              <w:t>Table 8.2.1 Royalty Rates</w:t>
            </w:r>
          </w:p>
        </w:tc>
        <w:tc>
          <w:tcPr>
            <w:tcW w:w="2460" w:type="dxa"/>
            <w:vAlign w:val="bottom"/>
            <w:tcBorders>
              <w:top w:val="single" w:sz="8" w:color="auto"/>
              <w:bottom w:val="single" w:sz="8" w:color="auto"/>
              <w:right w:val="single" w:sz="8" w:color="auto"/>
            </w:tcBorders>
          </w:tcPr>
          <w:p>
            <w:pPr>
              <w:spacing w:after="0"/>
              <w:rPr>
                <w:sz w:val="16"/>
                <w:szCs w:val="16"/>
                <w:color w:val="auto"/>
              </w:rPr>
            </w:pPr>
          </w:p>
        </w:tc>
      </w:tr>
      <w:tr>
        <w:trPr>
          <w:trHeight w:val="152"/>
        </w:trPr>
        <w:tc>
          <w:tcPr>
            <w:tcW w:w="2520" w:type="dxa"/>
            <w:vAlign w:val="bottom"/>
            <w:tcBorders>
              <w:left w:val="single" w:sz="8" w:color="auto"/>
              <w:right w:val="single" w:sz="8" w:color="auto"/>
            </w:tcBorders>
          </w:tcPr>
          <w:p>
            <w:pPr>
              <w:ind w:left="100"/>
              <w:spacing w:after="0" w:line="152" w:lineRule="exact"/>
              <w:rPr>
                <w:sz w:val="20"/>
                <w:szCs w:val="20"/>
                <w:color w:val="auto"/>
              </w:rPr>
            </w:pPr>
            <w:r>
              <w:rPr>
                <w:rFonts w:ascii="Times New Roman" w:cs="Times New Roman" w:eastAsia="Times New Roman" w:hAnsi="Times New Roman"/>
                <w:sz w:val="15"/>
                <w:szCs w:val="15"/>
                <w:color w:val="auto"/>
              </w:rPr>
              <w:t>Total Calendar Year Aggregate Net</w:t>
            </w:r>
          </w:p>
        </w:tc>
        <w:tc>
          <w:tcPr>
            <w:tcW w:w="1360" w:type="dxa"/>
            <w:vAlign w:val="bottom"/>
          </w:tcPr>
          <w:p>
            <w:pPr>
              <w:jc w:val="right"/>
              <w:ind w:right="907"/>
              <w:spacing w:after="0" w:line="152" w:lineRule="exact"/>
              <w:rPr>
                <w:sz w:val="20"/>
                <w:szCs w:val="20"/>
                <w:color w:val="auto"/>
              </w:rPr>
            </w:pPr>
            <w:r>
              <w:rPr>
                <w:rFonts w:ascii="Times New Roman" w:cs="Times New Roman" w:eastAsia="Times New Roman" w:hAnsi="Times New Roman"/>
                <w:sz w:val="15"/>
                <w:szCs w:val="15"/>
                <w:color w:val="auto"/>
              </w:rPr>
              <w:t>[***]</w:t>
            </w:r>
          </w:p>
        </w:tc>
        <w:tc>
          <w:tcPr>
            <w:tcW w:w="1780" w:type="dxa"/>
            <w:vAlign w:val="bottom"/>
            <w:tcBorders>
              <w:right w:val="single" w:sz="8" w:color="auto"/>
            </w:tcBorders>
          </w:tcPr>
          <w:p>
            <w:pPr>
              <w:spacing w:after="0"/>
              <w:rPr>
                <w:sz w:val="13"/>
                <w:szCs w:val="13"/>
                <w:color w:val="auto"/>
              </w:rPr>
            </w:pPr>
          </w:p>
        </w:tc>
        <w:tc>
          <w:tcPr>
            <w:tcW w:w="3160" w:type="dxa"/>
            <w:vAlign w:val="bottom"/>
            <w:tcBorders>
              <w:right w:val="single" w:sz="8" w:color="auto"/>
            </w:tcBorders>
          </w:tcPr>
          <w:p>
            <w:pPr>
              <w:jc w:val="right"/>
              <w:ind w:right="2687"/>
              <w:spacing w:after="0" w:line="152" w:lineRule="exact"/>
              <w:rPr>
                <w:sz w:val="20"/>
                <w:szCs w:val="20"/>
                <w:color w:val="auto"/>
              </w:rPr>
            </w:pPr>
            <w:r>
              <w:rPr>
                <w:rFonts w:ascii="Times New Roman" w:cs="Times New Roman" w:eastAsia="Times New Roman" w:hAnsi="Times New Roman"/>
                <w:sz w:val="15"/>
                <w:szCs w:val="15"/>
                <w:color w:val="auto"/>
              </w:rPr>
              <w:t>[***]</w:t>
            </w:r>
          </w:p>
        </w:tc>
        <w:tc>
          <w:tcPr>
            <w:tcW w:w="2460" w:type="dxa"/>
            <w:vAlign w:val="bottom"/>
            <w:tcBorders>
              <w:right w:val="single" w:sz="8" w:color="auto"/>
            </w:tcBorders>
          </w:tcPr>
          <w:p>
            <w:pPr>
              <w:jc w:val="right"/>
              <w:ind w:right="2007"/>
              <w:spacing w:after="0" w:line="152" w:lineRule="exact"/>
              <w:rPr>
                <w:sz w:val="20"/>
                <w:szCs w:val="20"/>
                <w:color w:val="auto"/>
              </w:rPr>
            </w:pPr>
            <w:r>
              <w:rPr>
                <w:rFonts w:ascii="Times New Roman" w:cs="Times New Roman" w:eastAsia="Times New Roman" w:hAnsi="Times New Roman"/>
                <w:sz w:val="15"/>
                <w:szCs w:val="15"/>
                <w:color w:val="auto"/>
              </w:rPr>
              <w:t>[***]</w:t>
            </w:r>
          </w:p>
        </w:tc>
      </w:tr>
      <w:tr>
        <w:trPr>
          <w:trHeight w:val="190"/>
        </w:trPr>
        <w:tc>
          <w:tcPr>
            <w:tcW w:w="25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Sales in the Licensed Territory</w:t>
            </w:r>
          </w:p>
        </w:tc>
        <w:tc>
          <w:tcPr>
            <w:tcW w:w="1360" w:type="dxa"/>
            <w:vAlign w:val="bottom"/>
            <w:tcBorders>
              <w:bottom w:val="single" w:sz="8" w:color="auto"/>
            </w:tcBorders>
          </w:tcPr>
          <w:p>
            <w:pPr>
              <w:spacing w:after="0"/>
              <w:rPr>
                <w:sz w:val="16"/>
                <w:szCs w:val="16"/>
                <w:color w:val="auto"/>
              </w:rPr>
            </w:pPr>
          </w:p>
        </w:tc>
        <w:tc>
          <w:tcPr>
            <w:tcW w:w="1780" w:type="dxa"/>
            <w:vAlign w:val="bottom"/>
            <w:tcBorders>
              <w:bottom w:val="single" w:sz="8" w:color="auto"/>
              <w:right w:val="single" w:sz="8" w:color="auto"/>
            </w:tcBorders>
          </w:tcPr>
          <w:p>
            <w:pPr>
              <w:spacing w:after="0"/>
              <w:rPr>
                <w:sz w:val="16"/>
                <w:szCs w:val="16"/>
                <w:color w:val="auto"/>
              </w:rPr>
            </w:pPr>
          </w:p>
        </w:tc>
        <w:tc>
          <w:tcPr>
            <w:tcW w:w="3160" w:type="dxa"/>
            <w:vAlign w:val="bottom"/>
            <w:tcBorders>
              <w:bottom w:val="single" w:sz="8" w:color="auto"/>
              <w:right w:val="single" w:sz="8" w:color="auto"/>
            </w:tcBorders>
          </w:tcPr>
          <w:p>
            <w:pPr>
              <w:spacing w:after="0"/>
              <w:rPr>
                <w:sz w:val="16"/>
                <w:szCs w:val="16"/>
                <w:color w:val="auto"/>
              </w:rPr>
            </w:pPr>
          </w:p>
        </w:tc>
        <w:tc>
          <w:tcPr>
            <w:tcW w:w="2460" w:type="dxa"/>
            <w:vAlign w:val="bottom"/>
            <w:tcBorders>
              <w:bottom w:val="single" w:sz="8" w:color="auto"/>
              <w:right w:val="single" w:sz="8" w:color="auto"/>
            </w:tcBorders>
          </w:tcPr>
          <w:p>
            <w:pPr>
              <w:spacing w:after="0"/>
              <w:rPr>
                <w:sz w:val="16"/>
                <w:szCs w:val="16"/>
                <w:color w:val="auto"/>
              </w:rPr>
            </w:pPr>
          </w:p>
        </w:tc>
      </w:tr>
      <w:tr>
        <w:trPr>
          <w:trHeight w:val="167"/>
        </w:trPr>
        <w:tc>
          <w:tcPr>
            <w:tcW w:w="252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tcPr>
          <w:p>
            <w:pPr>
              <w:jc w:val="right"/>
              <w:ind w:right="90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780" w:type="dxa"/>
            <w:vAlign w:val="bottom"/>
            <w:tcBorders>
              <w:bottom w:val="single" w:sz="8" w:color="auto"/>
              <w:right w:val="single" w:sz="8" w:color="auto"/>
            </w:tcBorders>
          </w:tcPr>
          <w:p>
            <w:pPr>
              <w:spacing w:after="0"/>
              <w:rPr>
                <w:sz w:val="14"/>
                <w:szCs w:val="14"/>
                <w:color w:val="auto"/>
              </w:rPr>
            </w:pPr>
          </w:p>
        </w:tc>
        <w:tc>
          <w:tcPr>
            <w:tcW w:w="3160" w:type="dxa"/>
            <w:vAlign w:val="bottom"/>
            <w:tcBorders>
              <w:bottom w:val="single" w:sz="8" w:color="auto"/>
              <w:right w:val="single" w:sz="8" w:color="auto"/>
            </w:tcBorders>
          </w:tcPr>
          <w:p>
            <w:pPr>
              <w:jc w:val="right"/>
              <w:ind w:right="268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460" w:type="dxa"/>
            <w:vAlign w:val="bottom"/>
            <w:tcBorders>
              <w:bottom w:val="single" w:sz="8" w:color="auto"/>
              <w:right w:val="single" w:sz="8" w:color="auto"/>
            </w:tcBorders>
          </w:tcPr>
          <w:p>
            <w:pPr>
              <w:jc w:val="right"/>
              <w:ind w:right="2007"/>
              <w:spacing w:after="0" w:line="167" w:lineRule="exact"/>
              <w:rPr>
                <w:sz w:val="20"/>
                <w:szCs w:val="20"/>
                <w:color w:val="auto"/>
              </w:rPr>
            </w:pPr>
            <w:r>
              <w:rPr>
                <w:rFonts w:ascii="Times New Roman" w:cs="Times New Roman" w:eastAsia="Times New Roman" w:hAnsi="Times New Roman"/>
                <w:sz w:val="15"/>
                <w:szCs w:val="15"/>
                <w:color w:val="auto"/>
              </w:rPr>
              <w:t>[***]</w:t>
            </w:r>
          </w:p>
        </w:tc>
      </w:tr>
      <w:tr>
        <w:trPr>
          <w:trHeight w:val="167"/>
        </w:trPr>
        <w:tc>
          <w:tcPr>
            <w:tcW w:w="252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tcPr>
          <w:p>
            <w:pPr>
              <w:jc w:val="right"/>
              <w:ind w:right="90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780" w:type="dxa"/>
            <w:vAlign w:val="bottom"/>
            <w:tcBorders>
              <w:bottom w:val="single" w:sz="8" w:color="auto"/>
              <w:right w:val="single" w:sz="8" w:color="auto"/>
            </w:tcBorders>
          </w:tcPr>
          <w:p>
            <w:pPr>
              <w:spacing w:after="0"/>
              <w:rPr>
                <w:sz w:val="14"/>
                <w:szCs w:val="14"/>
                <w:color w:val="auto"/>
              </w:rPr>
            </w:pPr>
          </w:p>
        </w:tc>
        <w:tc>
          <w:tcPr>
            <w:tcW w:w="3160" w:type="dxa"/>
            <w:vAlign w:val="bottom"/>
            <w:tcBorders>
              <w:bottom w:val="single" w:sz="8" w:color="auto"/>
              <w:right w:val="single" w:sz="8" w:color="auto"/>
            </w:tcBorders>
          </w:tcPr>
          <w:p>
            <w:pPr>
              <w:jc w:val="right"/>
              <w:ind w:right="268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460" w:type="dxa"/>
            <w:vAlign w:val="bottom"/>
            <w:tcBorders>
              <w:bottom w:val="single" w:sz="8" w:color="auto"/>
              <w:right w:val="single" w:sz="8" w:color="auto"/>
            </w:tcBorders>
          </w:tcPr>
          <w:p>
            <w:pPr>
              <w:jc w:val="right"/>
              <w:ind w:right="2007"/>
              <w:spacing w:after="0" w:line="167" w:lineRule="exact"/>
              <w:rPr>
                <w:sz w:val="20"/>
                <w:szCs w:val="20"/>
                <w:color w:val="auto"/>
              </w:rPr>
            </w:pPr>
            <w:r>
              <w:rPr>
                <w:rFonts w:ascii="Times New Roman" w:cs="Times New Roman" w:eastAsia="Times New Roman" w:hAnsi="Times New Roman"/>
                <w:sz w:val="15"/>
                <w:szCs w:val="15"/>
                <w:color w:val="auto"/>
              </w:rPr>
              <w:t>[***]</w:t>
            </w:r>
          </w:p>
        </w:tc>
      </w:tr>
      <w:tr>
        <w:trPr>
          <w:trHeight w:val="167"/>
        </w:trPr>
        <w:tc>
          <w:tcPr>
            <w:tcW w:w="252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tcPr>
          <w:p>
            <w:pPr>
              <w:jc w:val="right"/>
              <w:ind w:right="90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780" w:type="dxa"/>
            <w:vAlign w:val="bottom"/>
            <w:tcBorders>
              <w:bottom w:val="single" w:sz="8" w:color="auto"/>
              <w:right w:val="single" w:sz="8" w:color="auto"/>
            </w:tcBorders>
          </w:tcPr>
          <w:p>
            <w:pPr>
              <w:spacing w:after="0"/>
              <w:rPr>
                <w:sz w:val="14"/>
                <w:szCs w:val="14"/>
                <w:color w:val="auto"/>
              </w:rPr>
            </w:pPr>
          </w:p>
        </w:tc>
        <w:tc>
          <w:tcPr>
            <w:tcW w:w="3160" w:type="dxa"/>
            <w:vAlign w:val="bottom"/>
            <w:tcBorders>
              <w:bottom w:val="single" w:sz="8" w:color="auto"/>
              <w:right w:val="single" w:sz="8" w:color="auto"/>
            </w:tcBorders>
          </w:tcPr>
          <w:p>
            <w:pPr>
              <w:jc w:val="right"/>
              <w:ind w:right="268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460" w:type="dxa"/>
            <w:vAlign w:val="bottom"/>
            <w:tcBorders>
              <w:bottom w:val="single" w:sz="8" w:color="auto"/>
              <w:right w:val="single" w:sz="8" w:color="auto"/>
            </w:tcBorders>
          </w:tcPr>
          <w:p>
            <w:pPr>
              <w:jc w:val="right"/>
              <w:ind w:right="2007"/>
              <w:spacing w:after="0" w:line="167" w:lineRule="exact"/>
              <w:rPr>
                <w:sz w:val="20"/>
                <w:szCs w:val="20"/>
                <w:color w:val="auto"/>
              </w:rPr>
            </w:pPr>
            <w:r>
              <w:rPr>
                <w:rFonts w:ascii="Times New Roman" w:cs="Times New Roman" w:eastAsia="Times New Roman" w:hAnsi="Times New Roman"/>
                <w:sz w:val="15"/>
                <w:szCs w:val="15"/>
                <w:color w:val="auto"/>
              </w:rPr>
              <w:t>[***]</w:t>
            </w:r>
          </w:p>
        </w:tc>
      </w:tr>
    </w:tbl>
    <w:p>
      <w:pPr>
        <w:spacing w:after="0" w:line="159" w:lineRule="exact"/>
        <w:rPr>
          <w:sz w:val="20"/>
          <w:szCs w:val="20"/>
          <w:color w:val="auto"/>
        </w:rPr>
      </w:pPr>
    </w:p>
    <w:p>
      <w:pPr>
        <w:jc w:val="both"/>
        <w:ind w:left="1060" w:hanging="526"/>
        <w:spacing w:after="0" w:line="253" w:lineRule="auto"/>
        <w:tabs>
          <w:tab w:leader="none" w:pos="1040" w:val="left"/>
        </w:tabs>
        <w:rPr>
          <w:sz w:val="20"/>
          <w:szCs w:val="20"/>
          <w:color w:val="auto"/>
        </w:rPr>
      </w:pPr>
      <w:r>
        <w:rPr>
          <w:rFonts w:ascii="Times New Roman" w:cs="Times New Roman" w:eastAsia="Times New Roman" w:hAnsi="Times New Roman"/>
          <w:sz w:val="15"/>
          <w:szCs w:val="15"/>
          <w:color w:val="auto"/>
        </w:rPr>
        <w:t>8.2.2</w:t>
      </w:r>
      <w:r>
        <w:rPr>
          <w:sz w:val="20"/>
          <w:szCs w:val="20"/>
          <w:color w:val="auto"/>
        </w:rPr>
        <w:tab/>
      </w:r>
      <w:r>
        <w:rPr>
          <w:rFonts w:ascii="Times New Roman" w:cs="Times New Roman" w:eastAsia="Times New Roman" w:hAnsi="Times New Roman"/>
          <w:sz w:val="15"/>
          <w:szCs w:val="15"/>
          <w:b w:val="1"/>
          <w:bCs w:val="1"/>
          <w:color w:val="auto"/>
        </w:rPr>
        <w:t>Royalty Term</w:t>
      </w:r>
      <w:r>
        <w:rPr>
          <w:rFonts w:ascii="Times New Roman" w:cs="Times New Roman" w:eastAsia="Times New Roman" w:hAnsi="Times New Roman"/>
          <w:sz w:val="15"/>
          <w:szCs w:val="15"/>
          <w:color w:val="auto"/>
        </w:rPr>
        <w:t>. Royalties will be payable on a Region-by-Region and Product-by-Product basis from the First Commercial Sale of a Product in the Licensed Territory until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later of: (a) the expiration of the last Valid Claim of a XENCOR Patent Right that Covers the applicable Licensed Asset or Product in the applicable Region in the Licensed Territory; (b) the last to expire Regulatory Exclusivity period for such Product in such Region; or (c) twelve (12) years from the First Commercial Sale of such Product in such Region (the “</w:t>
      </w:r>
      <w:r>
        <w:rPr>
          <w:rFonts w:ascii="Times New Roman" w:cs="Times New Roman" w:eastAsia="Times New Roman" w:hAnsi="Times New Roman"/>
          <w:sz w:val="15"/>
          <w:szCs w:val="15"/>
          <w:u w:val="single" w:color="auto"/>
          <w:color w:val="auto"/>
        </w:rPr>
        <w:t>Royalty Term</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jc w:val="both"/>
        <w:ind w:left="1060" w:hanging="526"/>
        <w:spacing w:after="0" w:line="277" w:lineRule="auto"/>
        <w:tabs>
          <w:tab w:leader="none" w:pos="1040" w:val="left"/>
        </w:tabs>
        <w:rPr>
          <w:sz w:val="20"/>
          <w:szCs w:val="20"/>
          <w:color w:val="auto"/>
        </w:rPr>
      </w:pPr>
      <w:r>
        <w:rPr>
          <w:rFonts w:ascii="Times New Roman" w:cs="Times New Roman" w:eastAsia="Times New Roman" w:hAnsi="Times New Roman"/>
          <w:sz w:val="15"/>
          <w:szCs w:val="15"/>
          <w:color w:val="auto"/>
        </w:rPr>
        <w:t>8.2.3</w:t>
      </w:r>
      <w:r>
        <w:rPr>
          <w:sz w:val="20"/>
          <w:szCs w:val="20"/>
          <w:color w:val="auto"/>
        </w:rPr>
        <w:tab/>
      </w:r>
      <w:r>
        <w:rPr>
          <w:rFonts w:ascii="Times New Roman" w:cs="Times New Roman" w:eastAsia="Times New Roman" w:hAnsi="Times New Roman"/>
          <w:sz w:val="14"/>
          <w:szCs w:val="14"/>
          <w:b w:val="1"/>
          <w:bCs w:val="1"/>
          <w:color w:val="auto"/>
        </w:rPr>
        <w:t>Royalty Reports and Payments</w:t>
      </w:r>
      <w:r>
        <w:rPr>
          <w:rFonts w:ascii="Times New Roman" w:cs="Times New Roman" w:eastAsia="Times New Roman" w:hAnsi="Times New Roman"/>
          <w:sz w:val="14"/>
          <w:szCs w:val="14"/>
          <w:color w:val="auto"/>
        </w:rPr>
        <w:t>. Within forty-five (45) days after each Calendar Quarter, commencing with the Calendar Quarter during which the First Commercial Sale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Product is made anywhere in the Licensed Territory, Licensee shall provide XENCOR with a report that contains the following information for the applicable Calendar Quarter, on a Product-by-Product and Region-by-Region basis: [***]. Concurrent with the delivery of the applicable Calendar Quarter report, Licensee shall pay to XENCOR in U.S. dollars all royalties due under this Agreement with respect to Net Sales by Licensee, its Affiliates and their respective Sublicensees for such Calendar Quarter.</w:t>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295" w:name="page296"/>
    <w:bookmarkEnd w:id="295"/>
    <w:p>
      <w:pPr>
        <w:ind w:left="1060" w:hanging="526"/>
        <w:spacing w:after="0" w:line="272" w:lineRule="auto"/>
        <w:tabs>
          <w:tab w:leader="none" w:pos="1040" w:val="left"/>
        </w:tabs>
        <w:rPr>
          <w:sz w:val="20"/>
          <w:szCs w:val="20"/>
          <w:color w:val="auto"/>
        </w:rPr>
      </w:pPr>
      <w:r>
        <w:rPr>
          <w:rFonts w:ascii="Times New Roman" w:cs="Times New Roman" w:eastAsia="Times New Roman" w:hAnsi="Times New Roman"/>
          <w:sz w:val="15"/>
          <w:szCs w:val="15"/>
          <w:color w:val="auto"/>
        </w:rPr>
        <w:t>8.2.4</w:t>
      </w:r>
      <w:r>
        <w:rPr>
          <w:sz w:val="20"/>
          <w:szCs w:val="20"/>
          <w:color w:val="auto"/>
        </w:rPr>
        <w:tab/>
      </w:r>
      <w:r>
        <w:rPr>
          <w:rFonts w:ascii="Times New Roman" w:cs="Times New Roman" w:eastAsia="Times New Roman" w:hAnsi="Times New Roman"/>
          <w:sz w:val="15"/>
          <w:szCs w:val="15"/>
          <w:b w:val="1"/>
          <w:bCs w:val="1"/>
          <w:color w:val="auto"/>
        </w:rPr>
        <w:t>Royalty Reduction</w:t>
      </w:r>
      <w:r>
        <w:rPr>
          <w:rFonts w:ascii="Times New Roman" w:cs="Times New Roman" w:eastAsia="Times New Roman" w:hAnsi="Times New Roman"/>
          <w:sz w:val="15"/>
          <w:szCs w:val="15"/>
          <w:color w:val="auto"/>
        </w:rPr>
        <w:t>. The royalty payment due and payable to XENCOR for Net Sales of a Product in a Region in the Licensed Territory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8.2</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will be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reduced, on a Product-by-Product and Region-by-Region basis, as follows:</w:t>
      </w:r>
    </w:p>
    <w:p>
      <w:pPr>
        <w:spacing w:after="0" w:line="136" w:lineRule="exact"/>
        <w:rPr>
          <w:sz w:val="20"/>
          <w:szCs w:val="20"/>
          <w:color w:val="auto"/>
        </w:rPr>
      </w:pPr>
    </w:p>
    <w:p>
      <w:pPr>
        <w:ind w:left="1600" w:hanging="537"/>
        <w:spacing w:after="0" w:line="272" w:lineRule="auto"/>
        <w:tabs>
          <w:tab w:leader="none" w:pos="160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Expiration of Valid Claims</w:t>
      </w:r>
      <w:r>
        <w:rPr>
          <w:rFonts w:ascii="Times New Roman" w:cs="Times New Roman" w:eastAsia="Times New Roman" w:hAnsi="Times New Roman"/>
          <w:sz w:val="15"/>
          <w:szCs w:val="15"/>
          <w:color w:val="auto"/>
        </w:rPr>
        <w:t>. If at any time during the Royalty Term there is no Valid Claim of a XENCOR Patent Rights in a Region in the Licensed Territory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Covering such Product, then the applicable royalties in effect with respect to such Product sold in such Region shall be reduced by [***].</w:t>
      </w:r>
    </w:p>
    <w:p>
      <w:pPr>
        <w:spacing w:after="0" w:line="136" w:lineRule="exact"/>
        <w:rPr>
          <w:rFonts w:ascii="Times New Roman" w:cs="Times New Roman" w:eastAsia="Times New Roman" w:hAnsi="Times New Roman"/>
          <w:sz w:val="15"/>
          <w:szCs w:val="15"/>
          <w:color w:val="auto"/>
        </w:rPr>
      </w:pPr>
    </w:p>
    <w:p>
      <w:pPr>
        <w:jc w:val="both"/>
        <w:ind w:left="1600" w:hanging="537"/>
        <w:spacing w:after="0" w:line="253" w:lineRule="auto"/>
        <w:tabs>
          <w:tab w:leader="none" w:pos="160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Entry of Biosimilar Products</w:t>
      </w:r>
      <w:r>
        <w:rPr>
          <w:rFonts w:ascii="Times New Roman" w:cs="Times New Roman" w:eastAsia="Times New Roman" w:hAnsi="Times New Roman"/>
          <w:sz w:val="15"/>
          <w:szCs w:val="15"/>
          <w:color w:val="auto"/>
        </w:rPr>
        <w:t>. If, in any Region in the Licensed Territory during the Royalty Term for a Product, one or more Biosimilar Products to such Product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are sold by any Third Party in such Region for [***], and sales of such Biosimilar Product(s) during each such [***] represent at least [***] of the total sales in such Region on a unit basis (as measured against the total sales of such Product and Biosimilar Products in such Region), then the then-applicable royalty rates for such [***] for such Product in such Region will be reduced by [***].</w:t>
      </w:r>
    </w:p>
    <w:p>
      <w:pPr>
        <w:spacing w:after="0" w:line="151" w:lineRule="exact"/>
        <w:rPr>
          <w:rFonts w:ascii="Times New Roman" w:cs="Times New Roman" w:eastAsia="Times New Roman" w:hAnsi="Times New Roman"/>
          <w:sz w:val="15"/>
          <w:szCs w:val="15"/>
          <w:color w:val="auto"/>
        </w:rPr>
      </w:pPr>
    </w:p>
    <w:p>
      <w:pPr>
        <w:jc w:val="both"/>
        <w:ind w:left="1600" w:hanging="537"/>
        <w:spacing w:after="0" w:line="251" w:lineRule="auto"/>
        <w:tabs>
          <w:tab w:leader="none" w:pos="160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Third Party Payments</w:t>
      </w:r>
      <w:r>
        <w:rPr>
          <w:rFonts w:ascii="Times New Roman" w:cs="Times New Roman" w:eastAsia="Times New Roman" w:hAnsi="Times New Roman"/>
          <w:sz w:val="15"/>
          <w:szCs w:val="15"/>
          <w:color w:val="auto"/>
        </w:rPr>
        <w:t>. In the event Licensee obtains a Third Party license to any Third Party Patent Rights that is necessary to avoid infringement of such Third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Party Patent Rights through the practice of XENCOR Know-How and XENCOR Patent Rights licensed under </w:t>
      </w:r>
      <w:r>
        <w:rPr>
          <w:rFonts w:ascii="Times New Roman" w:cs="Times New Roman" w:eastAsia="Times New Roman" w:hAnsi="Times New Roman"/>
          <w:sz w:val="15"/>
          <w:szCs w:val="15"/>
          <w:u w:val="single" w:color="auto"/>
          <w:color w:val="auto"/>
        </w:rPr>
        <w:t>Section 2.1.1</w:t>
      </w:r>
      <w:r>
        <w:rPr>
          <w:rFonts w:ascii="Times New Roman" w:cs="Times New Roman" w:eastAsia="Times New Roman" w:hAnsi="Times New Roman"/>
          <w:sz w:val="15"/>
          <w:szCs w:val="15"/>
          <w:color w:val="auto"/>
        </w:rPr>
        <w:t xml:space="preserve"> for the Development, Manufacture, or Commercialization of a Licensed Asset or Product in one or more Regions, then Licensee shall have the right to deduct from the royalty payment that would otherwise have been due with respect to such Product in such Region(s) in a [***] under </w:t>
      </w:r>
      <w:r>
        <w:rPr>
          <w:rFonts w:ascii="Times New Roman" w:cs="Times New Roman" w:eastAsia="Times New Roman" w:hAnsi="Times New Roman"/>
          <w:sz w:val="15"/>
          <w:szCs w:val="15"/>
          <w:u w:val="single" w:color="auto"/>
          <w:color w:val="auto"/>
        </w:rPr>
        <w:t>Section 8.2.1</w:t>
      </w:r>
      <w:r>
        <w:rPr>
          <w:rFonts w:ascii="Times New Roman" w:cs="Times New Roman" w:eastAsia="Times New Roman" w:hAnsi="Times New Roman"/>
          <w:sz w:val="15"/>
          <w:szCs w:val="15"/>
          <w:color w:val="auto"/>
        </w:rPr>
        <w:t xml:space="preserve"> an amount equal to [***] of the royalties paid to such Third Party during such [***].</w:t>
      </w:r>
    </w:p>
    <w:p>
      <w:pPr>
        <w:spacing w:after="0" w:line="152"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Reduction Floor</w:t>
      </w:r>
      <w:r>
        <w:rPr>
          <w:rFonts w:ascii="Times New Roman" w:cs="Times New Roman" w:eastAsia="Times New Roman" w:hAnsi="Times New Roman"/>
          <w:sz w:val="15"/>
          <w:szCs w:val="15"/>
          <w:color w:val="auto"/>
        </w:rPr>
        <w:t>. In no circumstances will the royalties payable to XENCOR under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8.2.1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any [***] be reduced to, as a result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8.2.4 (a)–</w:t>
      </w:r>
    </w:p>
    <w:p>
      <w:pPr>
        <w:spacing w:after="0" w:line="19" w:lineRule="exact"/>
        <w:rPr>
          <w:rFonts w:ascii="Times New Roman" w:cs="Times New Roman" w:eastAsia="Times New Roman" w:hAnsi="Times New Roman"/>
          <w:sz w:val="15"/>
          <w:szCs w:val="15"/>
          <w:color w:val="auto"/>
        </w:rPr>
      </w:pPr>
    </w:p>
    <w:p>
      <w:pPr>
        <w:ind w:left="1600"/>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xml:space="preserve"> below [***] of the royalties otherwise payable under </w:t>
      </w:r>
      <w:r>
        <w:rPr>
          <w:rFonts w:ascii="Times New Roman" w:cs="Times New Roman" w:eastAsia="Times New Roman" w:hAnsi="Times New Roman"/>
          <w:sz w:val="15"/>
          <w:szCs w:val="15"/>
          <w:u w:val="single" w:color="auto"/>
          <w:color w:val="auto"/>
        </w:rPr>
        <w:t>Section 8.2.1</w:t>
      </w:r>
      <w:r>
        <w:rPr>
          <w:rFonts w:ascii="Times New Roman" w:cs="Times New Roman" w:eastAsia="Times New Roman" w:hAnsi="Times New Roman"/>
          <w:sz w:val="15"/>
          <w:szCs w:val="15"/>
          <w:color w:val="auto"/>
        </w:rPr>
        <w:t xml:space="preserve"> with respect to Net Sales of any Product in any Region. Licensee may not carry forward to subsequent [***] any deductions that it was not able to deduct as a result of the foregoing proviso.</w:t>
      </w:r>
    </w:p>
    <w:p>
      <w:pPr>
        <w:spacing w:after="0" w:line="15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8.3</w:t>
      </w:r>
      <w:r>
        <w:rPr>
          <w:sz w:val="20"/>
          <w:szCs w:val="20"/>
          <w:color w:val="auto"/>
        </w:rPr>
        <w:tab/>
      </w:r>
      <w:r>
        <w:rPr>
          <w:rFonts w:ascii="Times New Roman" w:cs="Times New Roman" w:eastAsia="Times New Roman" w:hAnsi="Times New Roman"/>
          <w:sz w:val="14"/>
          <w:szCs w:val="14"/>
          <w:b w:val="1"/>
          <w:bCs w:val="1"/>
          <w:color w:val="auto"/>
        </w:rPr>
        <w:t>Taxes and Withholding</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left="1060" w:hanging="526"/>
        <w:spacing w:after="0" w:line="257" w:lineRule="auto"/>
        <w:tabs>
          <w:tab w:leader="none" w:pos="1040" w:val="left"/>
        </w:tabs>
        <w:rPr>
          <w:sz w:val="20"/>
          <w:szCs w:val="20"/>
          <w:color w:val="auto"/>
        </w:rPr>
      </w:pPr>
      <w:r>
        <w:rPr>
          <w:rFonts w:ascii="Times New Roman" w:cs="Times New Roman" w:eastAsia="Times New Roman" w:hAnsi="Times New Roman"/>
          <w:sz w:val="15"/>
          <w:szCs w:val="15"/>
          <w:color w:val="auto"/>
        </w:rPr>
        <w:t>8.3.1</w:t>
      </w:r>
      <w:r>
        <w:rPr>
          <w:sz w:val="20"/>
          <w:szCs w:val="20"/>
          <w:color w:val="auto"/>
        </w:rPr>
        <w:tab/>
      </w:r>
      <w:r>
        <w:rPr>
          <w:rFonts w:ascii="Times New Roman" w:cs="Times New Roman" w:eastAsia="Times New Roman" w:hAnsi="Times New Roman"/>
          <w:sz w:val="15"/>
          <w:szCs w:val="15"/>
          <w:color w:val="auto"/>
        </w:rPr>
        <w:t>It is the Parties’ mutual objective and intent to minimize, to the extent feasible, taxes payable with respect to their collaborative efforts under this Agreement to cooperate and coordinate with each other to achieve such objective. For the avoidance of doubt, as between the Parties, Licensee shall be responsible for any Branded Prescription Drug Fees that may be levied under section 9008 of the Affordable Care Act with respect to any Product sold.</w:t>
      </w:r>
    </w:p>
    <w:p>
      <w:pPr>
        <w:spacing w:after="0" w:line="149" w:lineRule="exact"/>
        <w:rPr>
          <w:sz w:val="20"/>
          <w:szCs w:val="20"/>
          <w:color w:val="auto"/>
        </w:rPr>
      </w:pPr>
    </w:p>
    <w:p>
      <w:pPr>
        <w:jc w:val="both"/>
        <w:ind w:left="1060" w:hanging="526"/>
        <w:spacing w:after="0" w:line="248" w:lineRule="auto"/>
        <w:tabs>
          <w:tab w:leader="none" w:pos="1040" w:val="left"/>
        </w:tabs>
        <w:rPr>
          <w:sz w:val="20"/>
          <w:szCs w:val="20"/>
          <w:color w:val="auto"/>
        </w:rPr>
      </w:pPr>
      <w:r>
        <w:rPr>
          <w:rFonts w:ascii="Times New Roman" w:cs="Times New Roman" w:eastAsia="Times New Roman" w:hAnsi="Times New Roman"/>
          <w:sz w:val="15"/>
          <w:szCs w:val="15"/>
          <w:color w:val="auto"/>
        </w:rPr>
        <w:t>8.3.2</w:t>
      </w:r>
      <w:r>
        <w:rPr>
          <w:sz w:val="20"/>
          <w:szCs w:val="20"/>
          <w:color w:val="auto"/>
        </w:rPr>
        <w:tab/>
      </w:r>
      <w:r>
        <w:rPr>
          <w:rFonts w:ascii="Times New Roman" w:cs="Times New Roman" w:eastAsia="Times New Roman" w:hAnsi="Times New Roman"/>
          <w:sz w:val="15"/>
          <w:szCs w:val="15"/>
          <w:color w:val="auto"/>
        </w:rPr>
        <w:t xml:space="preserve">Each Party shall each bear any and all taxes levied against such Party on account of any payment received by such Party under this Agreement. In the event that the Licensee is required, under Applicable Laws, to withhold any deduction or tax from any payment due to XENCOR under this Agreement, such amount shall be deducted from the payment to be made by Licensee and paid to the proper taxing authority;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Licensee shall take reasonable and lawful actions to avoid or minimize such withholding and promptly notify XENCOR (including by sending proof of such payment), as applicable, so that XENCOR may take lawful actions to avoid or minimize such withholding. Licensee shall promptly furnish XENCOR, as applicable, with copies of any tax certificate or other documentation evidencing such withholding as necessary to satisfy the requirements of the relevant Government Authority related to any application by XENCOR for foreign tax credit for such payment, and cooperate with XENCOR as reasonably required by XENCOR to obtain available reductions, credits or refunds of such taxes. Each Party agrees to cooperate with the other Party in claiming exemptions from such deductions or withholdings under any agreement or treaty from time to time in effect.</w:t>
      </w: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296" w:name="page297"/>
    <w:bookmarkEnd w:id="296"/>
    <w:p>
      <w:pPr>
        <w:jc w:val="both"/>
        <w:ind w:left="1060" w:hanging="526"/>
        <w:spacing w:after="0" w:line="249" w:lineRule="auto"/>
        <w:tabs>
          <w:tab w:leader="none" w:pos="1040" w:val="left"/>
        </w:tabs>
        <w:rPr>
          <w:sz w:val="20"/>
          <w:szCs w:val="20"/>
          <w:color w:val="auto"/>
        </w:rPr>
      </w:pPr>
      <w:r>
        <w:rPr>
          <w:rFonts w:ascii="Times New Roman" w:cs="Times New Roman" w:eastAsia="Times New Roman" w:hAnsi="Times New Roman"/>
          <w:sz w:val="15"/>
          <w:szCs w:val="15"/>
          <w:color w:val="auto"/>
        </w:rPr>
        <w:t>8.3.3</w:t>
      </w:r>
      <w:r>
        <w:rPr>
          <w:sz w:val="20"/>
          <w:szCs w:val="20"/>
          <w:color w:val="auto"/>
        </w:rPr>
        <w:tab/>
      </w:r>
      <w:r>
        <w:rPr>
          <w:rFonts w:ascii="Times New Roman" w:cs="Times New Roman" w:eastAsia="Times New Roman" w:hAnsi="Times New Roman"/>
          <w:sz w:val="15"/>
          <w:szCs w:val="15"/>
          <w:color w:val="auto"/>
        </w:rPr>
        <w:t>Notwithstanding the foregoing, if (a) Licensee assigns its rights or obligations or delegates its rights under this Agreement, (b) as a result of such assignment or delegation, Licensee (or its assignee) is required by Applicable Law to withhold taxes from or in respect of any amount payable under this Agreement, and (c) such withholding taxes exceed the amount of withholding taxes that would have been applicable but for such assignment or delegation, then any such amount payable shall be increased to take into account such withholding taxes as may be necessary so that, after making all required withholdings (including withholdings on the additional amounts payable), the payee receives an amount equal to the sum it would have received had no such increased withholding been made. Each Party shall cooperate with the other Party in any way reasonably requested by the other Party to minimize the withholding tax implications of any such assignment or delegation.</w:t>
      </w:r>
    </w:p>
    <w:p>
      <w:pPr>
        <w:spacing w:after="0" w:line="157" w:lineRule="exact"/>
        <w:rPr>
          <w:sz w:val="20"/>
          <w:szCs w:val="20"/>
          <w:color w:val="auto"/>
        </w:rPr>
      </w:pPr>
    </w:p>
    <w:p>
      <w:pPr>
        <w:jc w:val="both"/>
        <w:ind w:left="1060" w:hanging="526"/>
        <w:spacing w:after="0" w:line="257" w:lineRule="auto"/>
        <w:tabs>
          <w:tab w:leader="none" w:pos="1040" w:val="left"/>
        </w:tabs>
        <w:rPr>
          <w:sz w:val="20"/>
          <w:szCs w:val="20"/>
          <w:color w:val="auto"/>
        </w:rPr>
      </w:pPr>
      <w:r>
        <w:rPr>
          <w:rFonts w:ascii="Times New Roman" w:cs="Times New Roman" w:eastAsia="Times New Roman" w:hAnsi="Times New Roman"/>
          <w:sz w:val="15"/>
          <w:szCs w:val="15"/>
          <w:color w:val="auto"/>
        </w:rPr>
        <w:t>8.3.4</w:t>
      </w:r>
      <w:r>
        <w:rPr>
          <w:sz w:val="20"/>
          <w:szCs w:val="20"/>
          <w:color w:val="auto"/>
        </w:rPr>
        <w:tab/>
      </w:r>
      <w:r>
        <w:rPr>
          <w:rFonts w:ascii="Times New Roman" w:cs="Times New Roman" w:eastAsia="Times New Roman" w:hAnsi="Times New Roman"/>
          <w:sz w:val="15"/>
          <w:szCs w:val="15"/>
          <w:color w:val="auto"/>
        </w:rPr>
        <w:t>All remuneration amounts payable by Licensee to XENCOR are net amounts. Licensee shall be responsible for all Value Added Taxes (“</w:t>
      </w:r>
      <w:r>
        <w:rPr>
          <w:rFonts w:ascii="Times New Roman" w:cs="Times New Roman" w:eastAsia="Times New Roman" w:hAnsi="Times New Roman"/>
          <w:sz w:val="15"/>
          <w:szCs w:val="15"/>
          <w:u w:val="single" w:color="auto"/>
          <w:color w:val="auto"/>
        </w:rPr>
        <w:t>VAT</w:t>
      </w:r>
      <w:r>
        <w:rPr>
          <w:rFonts w:ascii="Times New Roman" w:cs="Times New Roman" w:eastAsia="Times New Roman" w:hAnsi="Times New Roman"/>
          <w:sz w:val="15"/>
          <w:szCs w:val="15"/>
          <w:color w:val="auto"/>
        </w:rPr>
        <w:t>”), if any, attributable to transactions contemplated by this Agreement without any offset or reimbursement from XENCOR. XENCOR shall cooperate with Licensee as reasonably requested by Licensee to obtain available reductions, credits or refunds of any VAT amounts attributable to transactions contemplated by this Agreement.</w:t>
      </w:r>
    </w:p>
    <w:p>
      <w:pPr>
        <w:spacing w:after="0" w:line="147" w:lineRule="exact"/>
        <w:rPr>
          <w:sz w:val="20"/>
          <w:szCs w:val="20"/>
          <w:color w:val="auto"/>
        </w:rPr>
      </w:pPr>
    </w:p>
    <w:p>
      <w:pPr>
        <w:jc w:val="both"/>
        <w:ind w:left="54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8.4</w:t>
      </w:r>
      <w:r>
        <w:rPr>
          <w:sz w:val="20"/>
          <w:szCs w:val="20"/>
          <w:color w:val="auto"/>
        </w:rPr>
        <w:tab/>
      </w:r>
      <w:r>
        <w:rPr>
          <w:rFonts w:ascii="Times New Roman" w:cs="Times New Roman" w:eastAsia="Times New Roman" w:hAnsi="Times New Roman"/>
          <w:sz w:val="15"/>
          <w:szCs w:val="15"/>
          <w:b w:val="1"/>
          <w:bCs w:val="1"/>
          <w:color w:val="auto"/>
        </w:rPr>
        <w:t>Currency; Exchange Rate</w:t>
      </w:r>
      <w:r>
        <w:rPr>
          <w:rFonts w:ascii="Times New Roman" w:cs="Times New Roman" w:eastAsia="Times New Roman" w:hAnsi="Times New Roman"/>
          <w:sz w:val="15"/>
          <w:szCs w:val="15"/>
          <w:color w:val="auto"/>
        </w:rPr>
        <w:t>. All amounts payable and calculations hereunder shall be in U.S. dollars. Conversion of Net Sales recorded in local currencies will be converted to Dollars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at the exchange rate set forth in </w:t>
      </w:r>
      <w:r>
        <w:rPr>
          <w:rFonts w:ascii="Times New Roman" w:cs="Times New Roman" w:eastAsia="Times New Roman" w:hAnsi="Times New Roman"/>
          <w:sz w:val="15"/>
          <w:szCs w:val="15"/>
          <w:i w:val="1"/>
          <w:iCs w:val="1"/>
          <w:color w:val="auto"/>
        </w:rPr>
        <w:t>The Wall Street Journal</w:t>
      </w:r>
      <w:r>
        <w:rPr>
          <w:rFonts w:ascii="Times New Roman" w:cs="Times New Roman" w:eastAsia="Times New Roman" w:hAnsi="Times New Roman"/>
          <w:sz w:val="15"/>
          <w:szCs w:val="15"/>
          <w:color w:val="auto"/>
        </w:rPr>
        <w:t>, Western U.S. Edition, or any successor thereto for the last Business Day of the Calendar Quarter in which the applicable payment obligation became due and payable.</w:t>
      </w:r>
    </w:p>
    <w:p>
      <w:pPr>
        <w:spacing w:after="0" w:line="147" w:lineRule="exact"/>
        <w:rPr>
          <w:sz w:val="20"/>
          <w:szCs w:val="20"/>
          <w:color w:val="auto"/>
        </w:rPr>
      </w:pPr>
    </w:p>
    <w:p>
      <w:pPr>
        <w:jc w:val="both"/>
        <w:ind w:left="540" w:right="2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8.5</w:t>
      </w:r>
      <w:r>
        <w:rPr>
          <w:sz w:val="20"/>
          <w:szCs w:val="20"/>
          <w:color w:val="auto"/>
        </w:rPr>
        <w:tab/>
      </w:r>
      <w:r>
        <w:rPr>
          <w:rFonts w:ascii="Times New Roman" w:cs="Times New Roman" w:eastAsia="Times New Roman" w:hAnsi="Times New Roman"/>
          <w:sz w:val="15"/>
          <w:szCs w:val="15"/>
          <w:b w:val="1"/>
          <w:bCs w:val="1"/>
          <w:color w:val="auto"/>
        </w:rPr>
        <w:t>Method of Payment</w:t>
      </w:r>
      <w:r>
        <w:rPr>
          <w:rFonts w:ascii="Times New Roman" w:cs="Times New Roman" w:eastAsia="Times New Roman" w:hAnsi="Times New Roman"/>
          <w:sz w:val="15"/>
          <w:szCs w:val="15"/>
          <w:color w:val="auto"/>
        </w:rPr>
        <w:t>. Payments due to XENCOR under this Agreement shall be made by wire transfer in immediately available funds to an account designated by XENCOR, unless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otherwise specified in writing by XENCOR.</w:t>
      </w:r>
    </w:p>
    <w:p>
      <w:pPr>
        <w:spacing w:after="0" w:line="136" w:lineRule="exact"/>
        <w:rPr>
          <w:sz w:val="20"/>
          <w:szCs w:val="20"/>
          <w:color w:val="auto"/>
        </w:rPr>
      </w:pPr>
    </w:p>
    <w:p>
      <w:pPr>
        <w:jc w:val="both"/>
        <w:ind w:left="54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8.6</w:t>
      </w:r>
      <w:r>
        <w:rPr>
          <w:sz w:val="20"/>
          <w:szCs w:val="20"/>
          <w:color w:val="auto"/>
        </w:rPr>
        <w:tab/>
      </w:r>
      <w:r>
        <w:rPr>
          <w:rFonts w:ascii="Times New Roman" w:cs="Times New Roman" w:eastAsia="Times New Roman" w:hAnsi="Times New Roman"/>
          <w:sz w:val="15"/>
          <w:szCs w:val="15"/>
          <w:b w:val="1"/>
          <w:bCs w:val="1"/>
          <w:color w:val="auto"/>
        </w:rPr>
        <w:t>Record Keeping</w:t>
      </w:r>
      <w:r>
        <w:rPr>
          <w:rFonts w:ascii="Times New Roman" w:cs="Times New Roman" w:eastAsia="Times New Roman" w:hAnsi="Times New Roman"/>
          <w:sz w:val="15"/>
          <w:szCs w:val="15"/>
          <w:color w:val="auto"/>
        </w:rPr>
        <w:t>. Licensee shall keep and maintain, and shall cause its Affiliates and Sublicensees to keep and maintain, complete and accurate books and records sufficient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support and confirm the calculation of gross invoiced sales, Net Sales, exchange rates and royalty payments under </w:t>
      </w:r>
      <w:r>
        <w:rPr>
          <w:rFonts w:ascii="Times New Roman" w:cs="Times New Roman" w:eastAsia="Times New Roman" w:hAnsi="Times New Roman"/>
          <w:sz w:val="15"/>
          <w:szCs w:val="15"/>
          <w:u w:val="single" w:color="auto"/>
          <w:color w:val="auto"/>
        </w:rPr>
        <w:t>Section 8.2</w:t>
      </w:r>
      <w:r>
        <w:rPr>
          <w:rFonts w:ascii="Times New Roman" w:cs="Times New Roman" w:eastAsia="Times New Roman" w:hAnsi="Times New Roman"/>
          <w:sz w:val="15"/>
          <w:szCs w:val="15"/>
          <w:color w:val="auto"/>
        </w:rPr>
        <w:t xml:space="preserve"> in accordance with Accounting Standard and shall retain such books and records for a period of [***] after the end of the Calendar Quarter in which they are generated.</w:t>
      </w:r>
    </w:p>
    <w:p>
      <w:pPr>
        <w:spacing w:after="0" w:line="147" w:lineRule="exact"/>
        <w:rPr>
          <w:sz w:val="20"/>
          <w:szCs w:val="20"/>
          <w:color w:val="auto"/>
        </w:rPr>
      </w:pPr>
    </w:p>
    <w:p>
      <w:pPr>
        <w:jc w:val="both"/>
        <w:ind w:left="540" w:hanging="526"/>
        <w:spacing w:after="0" w:line="267" w:lineRule="auto"/>
        <w:tabs>
          <w:tab w:leader="none" w:pos="520" w:val="left"/>
        </w:tabs>
        <w:rPr>
          <w:sz w:val="20"/>
          <w:szCs w:val="20"/>
          <w:color w:val="auto"/>
        </w:rPr>
      </w:pPr>
      <w:r>
        <w:rPr>
          <w:rFonts w:ascii="Times New Roman" w:cs="Times New Roman" w:eastAsia="Times New Roman" w:hAnsi="Times New Roman"/>
          <w:sz w:val="15"/>
          <w:szCs w:val="15"/>
          <w:color w:val="auto"/>
        </w:rPr>
        <w:t>8.7</w:t>
      </w:r>
      <w:r>
        <w:rPr>
          <w:sz w:val="20"/>
          <w:szCs w:val="20"/>
          <w:color w:val="auto"/>
        </w:rPr>
        <w:tab/>
      </w:r>
      <w:r>
        <w:rPr>
          <w:rFonts w:ascii="Times New Roman" w:cs="Times New Roman" w:eastAsia="Times New Roman" w:hAnsi="Times New Roman"/>
          <w:sz w:val="14"/>
          <w:szCs w:val="14"/>
          <w:b w:val="1"/>
          <w:bCs w:val="1"/>
          <w:color w:val="auto"/>
        </w:rPr>
        <w:t>Audits</w:t>
      </w:r>
      <w:r>
        <w:rPr>
          <w:rFonts w:ascii="Times New Roman" w:cs="Times New Roman" w:eastAsia="Times New Roman" w:hAnsi="Times New Roman"/>
          <w:sz w:val="14"/>
          <w:szCs w:val="14"/>
          <w:color w:val="auto"/>
        </w:rPr>
        <w:t>. Upon [***] prior written notice from XENCOR, Licensee shall permit an independent certified public accounting firm of nationally recognized standing selected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XENCOR and reasonably acceptable to Licensee, to examine, at XENCOR’s sole expense (subject to </w:t>
      </w:r>
      <w:r>
        <w:rPr>
          <w:rFonts w:ascii="Times New Roman" w:cs="Times New Roman" w:eastAsia="Times New Roman" w:hAnsi="Times New Roman"/>
          <w:sz w:val="14"/>
          <w:szCs w:val="14"/>
          <w:u w:val="single" w:color="auto"/>
          <w:color w:val="auto"/>
        </w:rPr>
        <w:t>Section 8.8</w:t>
      </w:r>
      <w:r>
        <w:rPr>
          <w:rFonts w:ascii="Times New Roman" w:cs="Times New Roman" w:eastAsia="Times New Roman" w:hAnsi="Times New Roman"/>
          <w:sz w:val="14"/>
          <w:szCs w:val="14"/>
          <w:color w:val="auto"/>
        </w:rPr>
        <w:t xml:space="preserve">), the relevant financial records of Licensee, its Affiliates or Sublicensees as may be reasonably necessary to verify the accuracy of the royalties and sales milestone payments made by Licensee in accordance with this </w:t>
      </w:r>
      <w:r>
        <w:rPr>
          <w:rFonts w:ascii="Times New Roman" w:cs="Times New Roman" w:eastAsia="Times New Roman" w:hAnsi="Times New Roman"/>
          <w:sz w:val="14"/>
          <w:szCs w:val="14"/>
          <w:u w:val="single" w:color="auto"/>
          <w:color w:val="auto"/>
        </w:rPr>
        <w:t>Article 8</w:t>
      </w:r>
      <w:r>
        <w:rPr>
          <w:rFonts w:ascii="Times New Roman" w:cs="Times New Roman" w:eastAsia="Times New Roman" w:hAnsi="Times New Roman"/>
          <w:sz w:val="14"/>
          <w:szCs w:val="14"/>
          <w:color w:val="auto"/>
        </w:rPr>
        <w:t xml:space="preserve">. XENCOR shall be entitled to conduct an audit in accordance with this </w:t>
      </w:r>
      <w:r>
        <w:rPr>
          <w:rFonts w:ascii="Times New Roman" w:cs="Times New Roman" w:eastAsia="Times New Roman" w:hAnsi="Times New Roman"/>
          <w:sz w:val="14"/>
          <w:szCs w:val="14"/>
          <w:u w:val="single" w:color="auto"/>
          <w:color w:val="auto"/>
        </w:rPr>
        <w:t>Section 8.7</w:t>
      </w:r>
      <w:r>
        <w:rPr>
          <w:rFonts w:ascii="Times New Roman" w:cs="Times New Roman" w:eastAsia="Times New Roman" w:hAnsi="Times New Roman"/>
          <w:sz w:val="14"/>
          <w:szCs w:val="14"/>
          <w:color w:val="auto"/>
        </w:rPr>
        <w:t xml:space="preserve"> [***], except in the case of any subsequent “for cause” audits, and such audit shall be limited to the pertinent financial records from any Calendar Year ending not more than [***]. The notice must identify the period of time subject to inspection. Records from a period of time already subject to an inspection pursuant to this </w:t>
      </w:r>
      <w:r>
        <w:rPr>
          <w:rFonts w:ascii="Times New Roman" w:cs="Times New Roman" w:eastAsia="Times New Roman" w:hAnsi="Times New Roman"/>
          <w:sz w:val="14"/>
          <w:szCs w:val="14"/>
          <w:u w:val="single" w:color="auto"/>
          <w:color w:val="auto"/>
        </w:rPr>
        <w:t>Section 8.7</w:t>
      </w:r>
      <w:r>
        <w:rPr>
          <w:rFonts w:ascii="Times New Roman" w:cs="Times New Roman" w:eastAsia="Times New Roman" w:hAnsi="Times New Roman"/>
          <w:sz w:val="14"/>
          <w:szCs w:val="14"/>
          <w:color w:val="auto"/>
        </w:rPr>
        <w:t xml:space="preserve"> may not be inspected again, except in the case of any subsequent “for cause” audits. The accounting firm shall be provided access to such records at the facility(ies) where such records are normally kept and such audit shall be conducted during normal business hours. Such accountant must have agreed in writing to maintain the confidentiality of all information learned in confidence, except as necessary to disclose any discrepancy to XENCOR. Any information provided by Licensee to the accounting firm and any disclosure of the accounting firm to XENCOR pursuant to the immediately preceding sentence shall be the Confidential Information of Licensee.</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297" w:name="page298"/>
    <w:bookmarkEnd w:id="297"/>
    <w:p>
      <w:pPr>
        <w:jc w:val="both"/>
        <w:ind w:left="540" w:hanging="526"/>
        <w:spacing w:after="0" w:line="250" w:lineRule="auto"/>
        <w:tabs>
          <w:tab w:leader="none" w:pos="520" w:val="left"/>
        </w:tabs>
        <w:rPr>
          <w:sz w:val="20"/>
          <w:szCs w:val="20"/>
          <w:color w:val="auto"/>
        </w:rPr>
      </w:pPr>
      <w:r>
        <w:rPr>
          <w:rFonts w:ascii="Times New Roman" w:cs="Times New Roman" w:eastAsia="Times New Roman" w:hAnsi="Times New Roman"/>
          <w:sz w:val="15"/>
          <w:szCs w:val="15"/>
          <w:color w:val="auto"/>
        </w:rPr>
        <w:t>8.8</w:t>
      </w:r>
      <w:r>
        <w:rPr>
          <w:sz w:val="20"/>
          <w:szCs w:val="20"/>
          <w:color w:val="auto"/>
        </w:rPr>
        <w:tab/>
      </w:r>
      <w:r>
        <w:rPr>
          <w:rFonts w:ascii="Times New Roman" w:cs="Times New Roman" w:eastAsia="Times New Roman" w:hAnsi="Times New Roman"/>
          <w:sz w:val="15"/>
          <w:szCs w:val="15"/>
          <w:b w:val="1"/>
          <w:bCs w:val="1"/>
          <w:color w:val="auto"/>
        </w:rPr>
        <w:t>Underpayments/Overpayments</w:t>
      </w:r>
      <w:r>
        <w:rPr>
          <w:rFonts w:ascii="Times New Roman" w:cs="Times New Roman" w:eastAsia="Times New Roman" w:hAnsi="Times New Roman"/>
          <w:sz w:val="15"/>
          <w:szCs w:val="15"/>
          <w:color w:val="auto"/>
        </w:rPr>
        <w:t>. If a report of an independent public accounting firm submitted to XENCOR and Licensee in accordance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8.7</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shows any underpayment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of royalties or milestone payments due under this </w:t>
      </w:r>
      <w:r>
        <w:rPr>
          <w:rFonts w:ascii="Times New Roman" w:cs="Times New Roman" w:eastAsia="Times New Roman" w:hAnsi="Times New Roman"/>
          <w:sz w:val="15"/>
          <w:szCs w:val="15"/>
          <w:u w:val="single" w:color="auto"/>
          <w:color w:val="auto"/>
        </w:rPr>
        <w:t>Article 8</w:t>
      </w:r>
      <w:r>
        <w:rPr>
          <w:rFonts w:ascii="Times New Roman" w:cs="Times New Roman" w:eastAsia="Times New Roman" w:hAnsi="Times New Roman"/>
          <w:sz w:val="15"/>
          <w:szCs w:val="15"/>
          <w:color w:val="auto"/>
        </w:rPr>
        <w:t xml:space="preserve">, Licensee shall remit to XENCOR within [***] after receipt of such report by Licensee: (a) the amount of such underpayment and (b) if such underpayment exceeds [***] of the total amount owed to XENCOR for the Calendar Year then being audited, the reasonable fees and expenses of such independent public accounting firm performing the audit, subject to reasonable substantiation thereof. If such independent public accounting firm’s written report shows any overpayment of royalties and milestone payments due under this </w:t>
      </w:r>
      <w:r>
        <w:rPr>
          <w:rFonts w:ascii="Times New Roman" w:cs="Times New Roman" w:eastAsia="Times New Roman" w:hAnsi="Times New Roman"/>
          <w:sz w:val="15"/>
          <w:szCs w:val="15"/>
          <w:u w:val="single" w:color="auto"/>
          <w:color w:val="auto"/>
        </w:rPr>
        <w:t>Article 8</w:t>
      </w:r>
      <w:r>
        <w:rPr>
          <w:rFonts w:ascii="Times New Roman" w:cs="Times New Roman" w:eastAsia="Times New Roman" w:hAnsi="Times New Roman"/>
          <w:sz w:val="15"/>
          <w:szCs w:val="15"/>
          <w:color w:val="auto"/>
        </w:rPr>
        <w:t xml:space="preserve">, XENCOR shall, at Licensee’s sole option, either pay Licensee the amount of such overpayment or provide Licensee with a credit equal to such overpayment, against the royalties payments due under this </w:t>
      </w:r>
      <w:r>
        <w:rPr>
          <w:rFonts w:ascii="Times New Roman" w:cs="Times New Roman" w:eastAsia="Times New Roman" w:hAnsi="Times New Roman"/>
          <w:sz w:val="15"/>
          <w:szCs w:val="15"/>
          <w:u w:val="single" w:color="auto"/>
          <w:color w:val="auto"/>
        </w:rPr>
        <w:t>Article 8</w:t>
      </w:r>
      <w:r>
        <w:rPr>
          <w:rFonts w:ascii="Times New Roman" w:cs="Times New Roman" w:eastAsia="Times New Roman" w:hAnsi="Times New Roman"/>
          <w:sz w:val="15"/>
          <w:szCs w:val="15"/>
          <w:color w:val="auto"/>
        </w:rPr>
        <w:t xml:space="preserve"> otherwise payable to XENCOR.</w:t>
      </w:r>
    </w:p>
    <w:p>
      <w:pPr>
        <w:spacing w:after="0" w:line="152" w:lineRule="exact"/>
        <w:rPr>
          <w:sz w:val="20"/>
          <w:szCs w:val="20"/>
          <w:color w:val="auto"/>
        </w:rPr>
      </w:pPr>
    </w:p>
    <w:p>
      <w:pPr>
        <w:jc w:val="both"/>
        <w:ind w:left="540" w:hanging="526"/>
        <w:spacing w:after="0" w:line="251" w:lineRule="auto"/>
        <w:tabs>
          <w:tab w:leader="none" w:pos="520" w:val="left"/>
        </w:tabs>
        <w:rPr>
          <w:sz w:val="20"/>
          <w:szCs w:val="20"/>
          <w:color w:val="auto"/>
        </w:rPr>
      </w:pPr>
      <w:r>
        <w:rPr>
          <w:rFonts w:ascii="Times New Roman" w:cs="Times New Roman" w:eastAsia="Times New Roman" w:hAnsi="Times New Roman"/>
          <w:sz w:val="15"/>
          <w:szCs w:val="15"/>
          <w:color w:val="auto"/>
        </w:rPr>
        <w:t>8.9</w:t>
      </w:r>
      <w:r>
        <w:rPr>
          <w:sz w:val="20"/>
          <w:szCs w:val="20"/>
          <w:color w:val="auto"/>
        </w:rPr>
        <w:tab/>
      </w:r>
      <w:r>
        <w:rPr>
          <w:rFonts w:ascii="Times New Roman" w:cs="Times New Roman" w:eastAsia="Times New Roman" w:hAnsi="Times New Roman"/>
          <w:sz w:val="15"/>
          <w:szCs w:val="15"/>
          <w:b w:val="1"/>
          <w:bCs w:val="1"/>
          <w:color w:val="auto"/>
        </w:rPr>
        <w:t>Interest</w:t>
      </w:r>
      <w:r>
        <w:rPr>
          <w:rFonts w:ascii="Times New Roman" w:cs="Times New Roman" w:eastAsia="Times New Roman" w:hAnsi="Times New Roman"/>
          <w:sz w:val="15"/>
          <w:szCs w:val="15"/>
          <w:color w:val="auto"/>
        </w:rPr>
        <w:t>. Licensee shall pay interest on any amounts overdue under this Agreement at a per annum rate of [***] the average of the prime rate as published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The Wall Street Journal</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Western U.S. Edition, or any successor thereto during the [***] immediately preceding the due date of such overdue payment;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in no event shall such rate exceed the maximum legal annual interest rate. Royalties and other payments required to be paid by Licensee pursuant to this Agreement shall, if overdue, bear interest from the day the original payment was due until the day that the payment was received by XENCOR. The payment of such interest shall not foreclose XENCOR from exercising any other rights it may have because any payment is overdue.</w:t>
      </w:r>
    </w:p>
    <w:p>
      <w:pPr>
        <w:spacing w:after="0" w:line="153" w:lineRule="exact"/>
        <w:rPr>
          <w:sz w:val="20"/>
          <w:szCs w:val="20"/>
          <w:color w:val="auto"/>
        </w:rPr>
      </w:pPr>
    </w:p>
    <w:p>
      <w:pPr>
        <w:ind w:left="540" w:hanging="532"/>
        <w:spacing w:after="0"/>
        <w:tabs>
          <w:tab w:leader="none" w:pos="540" w:val="left"/>
        </w:tabs>
        <w:numPr>
          <w:ilvl w:val="0"/>
          <w:numId w:val="16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Covenants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9.1</w:t>
      </w:r>
      <w:r>
        <w:rPr>
          <w:sz w:val="20"/>
          <w:szCs w:val="20"/>
          <w:color w:val="auto"/>
        </w:rPr>
        <w:tab/>
      </w:r>
      <w:r>
        <w:rPr>
          <w:rFonts w:ascii="Times New Roman" w:cs="Times New Roman" w:eastAsia="Times New Roman" w:hAnsi="Times New Roman"/>
          <w:sz w:val="14"/>
          <w:szCs w:val="14"/>
          <w:b w:val="1"/>
          <w:bCs w:val="1"/>
          <w:color w:val="auto"/>
        </w:rPr>
        <w:t>Confidentiality</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060" w:hanging="526"/>
        <w:spacing w:after="0" w:line="248" w:lineRule="auto"/>
        <w:tabs>
          <w:tab w:leader="none" w:pos="1040" w:val="left"/>
        </w:tabs>
        <w:rPr>
          <w:sz w:val="20"/>
          <w:szCs w:val="20"/>
          <w:color w:val="auto"/>
        </w:rPr>
      </w:pPr>
      <w:r>
        <w:rPr>
          <w:rFonts w:ascii="Times New Roman" w:cs="Times New Roman" w:eastAsia="Times New Roman" w:hAnsi="Times New Roman"/>
          <w:sz w:val="15"/>
          <w:szCs w:val="15"/>
          <w:color w:val="auto"/>
        </w:rPr>
        <w:t>9.1.1</w:t>
      </w:r>
      <w:r>
        <w:rPr>
          <w:sz w:val="20"/>
          <w:szCs w:val="20"/>
          <w:color w:val="auto"/>
        </w:rPr>
        <w:tab/>
      </w:r>
      <w:r>
        <w:rPr>
          <w:rFonts w:ascii="Times New Roman" w:cs="Times New Roman" w:eastAsia="Times New Roman" w:hAnsi="Times New Roman"/>
          <w:sz w:val="15"/>
          <w:szCs w:val="15"/>
          <w:b w:val="1"/>
          <w:bCs w:val="1"/>
          <w:color w:val="auto"/>
        </w:rPr>
        <w:t>Confidential Information</w:t>
      </w:r>
      <w:r>
        <w:rPr>
          <w:rFonts w:ascii="Times New Roman" w:cs="Times New Roman" w:eastAsia="Times New Roman" w:hAnsi="Times New Roman"/>
          <w:sz w:val="15"/>
          <w:szCs w:val="15"/>
          <w:color w:val="auto"/>
        </w:rPr>
        <w:t>. Except to the extent expressly permitted by this Agreement, and subject to the provisions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Sections 9.1.2</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9.1.3</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11.10</w:t>
      </w:r>
      <w:r>
        <w:rPr>
          <w:rFonts w:ascii="Times New Roman" w:cs="Times New Roman" w:eastAsia="Times New Roman" w:hAnsi="Times New Roman"/>
          <w:sz w:val="15"/>
          <w:szCs w:val="15"/>
          <w:color w:val="auto"/>
        </w:rPr>
        <w:t>, during the License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Term and for a period of [***] thereafter, or until one of the exceptions in </w:t>
      </w:r>
      <w:r>
        <w:rPr>
          <w:rFonts w:ascii="Times New Roman" w:cs="Times New Roman" w:eastAsia="Times New Roman" w:hAnsi="Times New Roman"/>
          <w:sz w:val="15"/>
          <w:szCs w:val="15"/>
          <w:u w:val="single" w:color="auto"/>
          <w:color w:val="auto"/>
        </w:rPr>
        <w:t>Section 9.1.2</w:t>
      </w:r>
      <w:r>
        <w:rPr>
          <w:rFonts w:ascii="Times New Roman" w:cs="Times New Roman" w:eastAsia="Times New Roman" w:hAnsi="Times New Roman"/>
          <w:sz w:val="15"/>
          <w:szCs w:val="15"/>
          <w:color w:val="auto"/>
        </w:rPr>
        <w:t xml:space="preserve"> are met, whichever is earlier, a Party receiving any Confidential Information hereunder (the “</w:t>
      </w:r>
      <w:r>
        <w:rPr>
          <w:rFonts w:ascii="Times New Roman" w:cs="Times New Roman" w:eastAsia="Times New Roman" w:hAnsi="Times New Roman"/>
          <w:sz w:val="15"/>
          <w:szCs w:val="15"/>
          <w:u w:val="single" w:color="auto"/>
          <w:color w:val="auto"/>
        </w:rPr>
        <w:t>Receiving Party</w:t>
      </w:r>
      <w:r>
        <w:rPr>
          <w:rFonts w:ascii="Times New Roman" w:cs="Times New Roman" w:eastAsia="Times New Roman" w:hAnsi="Times New Roman"/>
          <w:sz w:val="15"/>
          <w:szCs w:val="15"/>
          <w:color w:val="auto"/>
        </w:rPr>
        <w:t>”) (a) shall maintain in confidence all Confidential Information of the disclosing Party (the “</w:t>
      </w:r>
      <w:r>
        <w:rPr>
          <w:rFonts w:ascii="Times New Roman" w:cs="Times New Roman" w:eastAsia="Times New Roman" w:hAnsi="Times New Roman"/>
          <w:sz w:val="15"/>
          <w:szCs w:val="15"/>
          <w:u w:val="single" w:color="auto"/>
          <w:color w:val="auto"/>
        </w:rPr>
        <w:t>Disclosing Party</w:t>
      </w:r>
      <w:r>
        <w:rPr>
          <w:rFonts w:ascii="Times New Roman" w:cs="Times New Roman" w:eastAsia="Times New Roman" w:hAnsi="Times New Roman"/>
          <w:sz w:val="15"/>
          <w:szCs w:val="15"/>
          <w:color w:val="auto"/>
        </w:rPr>
        <w:t>”) to the same extent such Receiving Party maintains its own proprietary information of similar kind and value, and, in any event, using no less than a reasonable standard of care; (b) shall not use such Confidential Information directly or indirectly for any purpose except to exercise its rights or perform its obligations hereunder; and (c) shall not publish or otherwise disclose any such Confidential Information to anyone other than the Receiving Party’s Affiliates or actual collaborators (including sublicensees or subcontractors), and its and their employees, consultants, advisors, partners, or representatives who have a need to know such information (collectively, “</w:t>
      </w:r>
      <w:r>
        <w:rPr>
          <w:rFonts w:ascii="Times New Roman" w:cs="Times New Roman" w:eastAsia="Times New Roman" w:hAnsi="Times New Roman"/>
          <w:sz w:val="15"/>
          <w:szCs w:val="15"/>
          <w:u w:val="single" w:color="auto"/>
          <w:color w:val="auto"/>
        </w:rPr>
        <w:t>Recipients</w:t>
      </w:r>
      <w:r>
        <w:rPr>
          <w:rFonts w:ascii="Times New Roman" w:cs="Times New Roman" w:eastAsia="Times New Roman" w:hAnsi="Times New Roman"/>
          <w:sz w:val="15"/>
          <w:szCs w:val="15"/>
          <w:color w:val="auto"/>
        </w:rPr>
        <w:t xml:space="preserve">”) to perform the Receiving Party’s obligations or exercising its rights hereunder and who are bound by written confidentiality obligations no less stringent than those set forth in this </w:t>
      </w:r>
      <w:r>
        <w:rPr>
          <w:rFonts w:ascii="Times New Roman" w:cs="Times New Roman" w:eastAsia="Times New Roman" w:hAnsi="Times New Roman"/>
          <w:sz w:val="15"/>
          <w:szCs w:val="15"/>
          <w:u w:val="single" w:color="auto"/>
          <w:color w:val="auto"/>
        </w:rPr>
        <w:t>Section 9.1</w:t>
      </w:r>
      <w:r>
        <w:rPr>
          <w:rFonts w:ascii="Times New Roman" w:cs="Times New Roman" w:eastAsia="Times New Roman" w:hAnsi="Times New Roman"/>
          <w:sz w:val="15"/>
          <w:szCs w:val="15"/>
          <w:color w:val="auto"/>
        </w:rPr>
        <w:t>. The Receiving Party shall be liable for any breach by any of its Recipients of the restrictions set forth in this Agreement.</w:t>
      </w: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98" w:name="page299"/>
    <w:bookmarkEnd w:id="298"/>
    <w:p>
      <w:pPr>
        <w:spacing w:after="0"/>
        <w:tabs>
          <w:tab w:leader="none" w:pos="500" w:val="left"/>
        </w:tabs>
        <w:rPr>
          <w:sz w:val="20"/>
          <w:szCs w:val="20"/>
          <w:color w:val="auto"/>
        </w:rPr>
      </w:pPr>
      <w:r>
        <w:rPr>
          <w:rFonts w:ascii="Times New Roman" w:cs="Times New Roman" w:eastAsia="Times New Roman" w:hAnsi="Times New Roman"/>
          <w:sz w:val="15"/>
          <w:szCs w:val="15"/>
          <w:color w:val="auto"/>
        </w:rPr>
        <w:t>9.1.2</w:t>
      </w:r>
      <w:r>
        <w:rPr>
          <w:sz w:val="20"/>
          <w:szCs w:val="20"/>
          <w:color w:val="auto"/>
        </w:rPr>
        <w:tab/>
      </w:r>
      <w:r>
        <w:rPr>
          <w:rFonts w:ascii="Times New Roman" w:cs="Times New Roman" w:eastAsia="Times New Roman" w:hAnsi="Times New Roman"/>
          <w:sz w:val="14"/>
          <w:szCs w:val="14"/>
          <w:b w:val="1"/>
          <w:bCs w:val="1"/>
          <w:color w:val="auto"/>
        </w:rPr>
        <w:t>Exceptions to Confidentiality</w:t>
      </w:r>
      <w:r>
        <w:rPr>
          <w:rFonts w:ascii="Times New Roman" w:cs="Times New Roman" w:eastAsia="Times New Roman" w:hAnsi="Times New Roman"/>
          <w:sz w:val="14"/>
          <w:szCs w:val="14"/>
          <w:color w:val="auto"/>
        </w:rPr>
        <w:t>. The Receiving Party’s obligations set forth in this Agreement shall not extend to any Confidential Information of the Disclosing Party:</w:t>
      </w:r>
    </w:p>
    <w:p>
      <w:pPr>
        <w:spacing w:after="0" w:line="181" w:lineRule="exact"/>
        <w:rPr>
          <w:sz w:val="20"/>
          <w:szCs w:val="20"/>
          <w:color w:val="auto"/>
        </w:rPr>
      </w:pPr>
    </w:p>
    <w:p>
      <w:pPr>
        <w:ind w:left="1060" w:hanging="537"/>
        <w:spacing w:after="0"/>
        <w:tabs>
          <w:tab w:leader="none" w:pos="106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is or hereafter becomes part of the public domain through no wrongful act, fault or negligence on the part of a Receiving Party or its Recipients;</w:t>
      </w:r>
    </w:p>
    <w:p>
      <w:pPr>
        <w:spacing w:after="0" w:line="179" w:lineRule="exact"/>
        <w:rPr>
          <w:rFonts w:ascii="Times New Roman" w:cs="Times New Roman" w:eastAsia="Times New Roman" w:hAnsi="Times New Roman"/>
          <w:sz w:val="15"/>
          <w:szCs w:val="15"/>
          <w:color w:val="auto"/>
        </w:rPr>
      </w:pPr>
    </w:p>
    <w:p>
      <w:pPr>
        <w:ind w:left="1060" w:hanging="537"/>
        <w:spacing w:after="0"/>
        <w:tabs>
          <w:tab w:leader="none" w:pos="106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is received from a Third Party without restriction and without breach of any agreement or fiduciary duty between such Third Party and the Disclosing Party;</w:t>
      </w:r>
    </w:p>
    <w:p>
      <w:pPr>
        <w:spacing w:after="0" w:line="179" w:lineRule="exact"/>
        <w:rPr>
          <w:rFonts w:ascii="Times New Roman" w:cs="Times New Roman" w:eastAsia="Times New Roman" w:hAnsi="Times New Roman"/>
          <w:sz w:val="15"/>
          <w:szCs w:val="15"/>
          <w:color w:val="auto"/>
        </w:rPr>
      </w:pPr>
    </w:p>
    <w:p>
      <w:pPr>
        <w:ind w:left="1060" w:hanging="537"/>
        <w:spacing w:after="0" w:line="269" w:lineRule="auto"/>
        <w:tabs>
          <w:tab w:leader="none" w:pos="106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Receiving Party can demonstrate by competent evidence was already in its possession without any limitation or restriction on use or disclosure prior to its receipt from the Disclosing Party; or</w:t>
      </w:r>
    </w:p>
    <w:p>
      <w:pPr>
        <w:spacing w:after="0" w:line="140" w:lineRule="exact"/>
        <w:rPr>
          <w:rFonts w:ascii="Times New Roman" w:cs="Times New Roman" w:eastAsia="Times New Roman" w:hAnsi="Times New Roman"/>
          <w:sz w:val="15"/>
          <w:szCs w:val="15"/>
          <w:color w:val="auto"/>
        </w:rPr>
      </w:pPr>
    </w:p>
    <w:p>
      <w:pPr>
        <w:ind w:left="1060" w:hanging="537"/>
        <w:spacing w:after="0" w:line="269" w:lineRule="auto"/>
        <w:tabs>
          <w:tab w:leader="none" w:pos="106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Receiving Party can demonstrate by competent evidence was independently developed by the Receiving Party without any use of or reference to Confidential Information.</w:t>
      </w:r>
    </w:p>
    <w:p>
      <w:pPr>
        <w:spacing w:after="0" w:line="13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5"/>
          <w:szCs w:val="15"/>
          <w:color w:val="auto"/>
        </w:rPr>
        <w:t>9.1.3</w:t>
      </w:r>
      <w:r>
        <w:rPr>
          <w:sz w:val="20"/>
          <w:szCs w:val="20"/>
          <w:color w:val="auto"/>
        </w:rPr>
        <w:tab/>
      </w:r>
      <w:r>
        <w:rPr>
          <w:rFonts w:ascii="Times New Roman" w:cs="Times New Roman" w:eastAsia="Times New Roman" w:hAnsi="Times New Roman"/>
          <w:sz w:val="15"/>
          <w:szCs w:val="15"/>
          <w:b w:val="1"/>
          <w:bCs w:val="1"/>
          <w:color w:val="auto"/>
        </w:rPr>
        <w:t>Authorized Disclosure</w:t>
      </w:r>
      <w:r>
        <w:rPr>
          <w:rFonts w:ascii="Times New Roman" w:cs="Times New Roman" w:eastAsia="Times New Roman" w:hAnsi="Times New Roman"/>
          <w:sz w:val="15"/>
          <w:szCs w:val="15"/>
          <w:color w:val="auto"/>
        </w:rPr>
        <w:t>. Notwithstanding the provisions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9.1.1</w:t>
      </w:r>
      <w:r>
        <w:rPr>
          <w:rFonts w:ascii="Times New Roman" w:cs="Times New Roman" w:eastAsia="Times New Roman" w:hAnsi="Times New Roman"/>
          <w:sz w:val="15"/>
          <w:szCs w:val="15"/>
          <w:color w:val="auto"/>
        </w:rPr>
        <w:t>, the Receiving Party and its Recipients may disclose Confidential Information belonging to the</w:t>
      </w:r>
    </w:p>
    <w:p>
      <w:pPr>
        <w:spacing w:after="0" w:line="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Disclosing Party to the extent that such disclosure is reasonably necessary:</w:t>
      </w:r>
    </w:p>
    <w:p>
      <w:pPr>
        <w:spacing w:after="0" w:line="164" w:lineRule="exact"/>
        <w:rPr>
          <w:sz w:val="20"/>
          <w:szCs w:val="20"/>
          <w:color w:val="auto"/>
        </w:rPr>
      </w:pPr>
    </w:p>
    <w:p>
      <w:pPr>
        <w:ind w:left="1060" w:hanging="537"/>
        <w:spacing w:after="0" w:line="269" w:lineRule="auto"/>
        <w:tabs>
          <w:tab w:leader="none" w:pos="106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applicable governmental laws, court orders, and regulations (including Applicable Law or any rule or regulation or the requirements of a national securities exchange or another similar regulatory body);</w:t>
      </w:r>
    </w:p>
    <w:p>
      <w:pPr>
        <w:spacing w:after="0" w:line="140" w:lineRule="exact"/>
        <w:rPr>
          <w:rFonts w:ascii="Times New Roman" w:cs="Times New Roman" w:eastAsia="Times New Roman" w:hAnsi="Times New Roman"/>
          <w:sz w:val="15"/>
          <w:szCs w:val="15"/>
          <w:color w:val="auto"/>
        </w:rPr>
      </w:pPr>
    </w:p>
    <w:p>
      <w:pPr>
        <w:ind w:left="1060" w:hanging="537"/>
        <w:spacing w:after="0" w:line="269" w:lineRule="auto"/>
        <w:tabs>
          <w:tab w:leader="none" w:pos="106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filings and submissions to, or correspond or communicate with, any Government Authority (including the NMPA, the CNIPA and other similar offices of a Government Authority); or</w:t>
      </w:r>
    </w:p>
    <w:p>
      <w:pPr>
        <w:spacing w:after="0" w:line="140" w:lineRule="exact"/>
        <w:rPr>
          <w:rFonts w:ascii="Times New Roman" w:cs="Times New Roman" w:eastAsia="Times New Roman" w:hAnsi="Times New Roman"/>
          <w:sz w:val="15"/>
          <w:szCs w:val="15"/>
          <w:color w:val="auto"/>
        </w:rPr>
      </w:pPr>
    </w:p>
    <w:p>
      <w:pPr>
        <w:ind w:left="1060" w:hanging="537"/>
        <w:spacing w:after="0" w:line="269" w:lineRule="auto"/>
        <w:tabs>
          <w:tab w:leader="none" w:pos="106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potential or actual investment bankers, investors, lenders, or acquirers, who have a need to know such information and who are bound by written confidentiality obligations no less stringent than those set forth in this </w:t>
      </w:r>
      <w:r>
        <w:rPr>
          <w:rFonts w:ascii="Times New Roman" w:cs="Times New Roman" w:eastAsia="Times New Roman" w:hAnsi="Times New Roman"/>
          <w:sz w:val="15"/>
          <w:szCs w:val="15"/>
          <w:u w:val="single" w:color="auto"/>
          <w:color w:val="auto"/>
        </w:rPr>
        <w:t>Section 9.1</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jc w:val="both"/>
        <w:ind w:left="520"/>
        <w:spacing w:after="0" w:line="248" w:lineRule="auto"/>
        <w:rPr>
          <w:sz w:val="20"/>
          <w:szCs w:val="20"/>
          <w:color w:val="auto"/>
        </w:rPr>
      </w:pPr>
      <w:r>
        <w:rPr>
          <w:rFonts w:ascii="Times New Roman" w:cs="Times New Roman" w:eastAsia="Times New Roman" w:hAnsi="Times New Roman"/>
          <w:sz w:val="15"/>
          <w:szCs w:val="15"/>
          <w:color w:val="auto"/>
        </w:rPr>
        <w:t xml:space="preserve">In the event that the Receiving Party or its Recipients, as applicable, deem it reasonably necessary to disclose Confidential Information belonging to the Disclosing Party pursuant to this </w:t>
      </w:r>
      <w:r>
        <w:rPr>
          <w:rFonts w:ascii="Times New Roman" w:cs="Times New Roman" w:eastAsia="Times New Roman" w:hAnsi="Times New Roman"/>
          <w:sz w:val="15"/>
          <w:szCs w:val="15"/>
          <w:u w:val="single" w:color="auto"/>
          <w:color w:val="auto"/>
        </w:rPr>
        <w:t>Section 9.1.3</w:t>
      </w:r>
      <w:r>
        <w:rPr>
          <w:rFonts w:ascii="Times New Roman" w:cs="Times New Roman" w:eastAsia="Times New Roman" w:hAnsi="Times New Roman"/>
          <w:sz w:val="15"/>
          <w:szCs w:val="15"/>
          <w:color w:val="auto"/>
        </w:rPr>
        <w:t xml:space="preserve">, the Receiving Party shall, (i) to the extent possible, provide the Disclosing Party with reasonable advance notice of such disclosure and take reasonable measures to ensure confidential treatment of such information, including by allowing the Disclosing Party to review and, if permitted under Applicable Laws, regulations and court orders, make redactions to any such disclosure; and (ii) only disclose such Confidential Information to the extent of such necessity or requirements, and no such disclosure shall cause any such information to cease to be Confidential Information hereunder, except to the extent such disclosure results in a public disclosure of such information. In addition, the Receiving Party may disclose Confidential Information belonging to the Disclosing Party to any Third Party who is performing diligence in connection with a transaction with the Receiving Party (including potential Sublicensees and licensees),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each such Third Party has signed a written confidentiality agreement with the Receiving Party relating to such Confidential Information no less strict than the terms of this </w:t>
      </w:r>
      <w:r>
        <w:rPr>
          <w:rFonts w:ascii="Times New Roman" w:cs="Times New Roman" w:eastAsia="Times New Roman" w:hAnsi="Times New Roman"/>
          <w:sz w:val="15"/>
          <w:szCs w:val="15"/>
          <w:u w:val="single" w:color="auto"/>
          <w:color w:val="auto"/>
        </w:rPr>
        <w:t>Section 9.1</w:t>
      </w:r>
      <w:r>
        <w:rPr>
          <w:rFonts w:ascii="Times New Roman" w:cs="Times New Roman" w:eastAsia="Times New Roman" w:hAnsi="Times New Roman"/>
          <w:sz w:val="15"/>
          <w:szCs w:val="15"/>
          <w:color w:val="auto"/>
        </w:rPr>
        <w:t>.</w:t>
      </w:r>
    </w:p>
    <w:p>
      <w:pPr>
        <w:spacing w:after="0" w:line="33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11430</wp:posOffset>
            </wp:positionV>
            <wp:extent cx="7157720" cy="69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40"/>
          </w:cols>
          <w:pgMar w:left="840" w:top="760" w:right="319" w:bottom="1440" w:gutter="0" w:footer="0" w:header="0"/>
        </w:sectPr>
      </w:pPr>
    </w:p>
    <w:bookmarkStart w:id="299" w:name="page300"/>
    <w:bookmarkEnd w:id="299"/>
    <w:p>
      <w:pPr>
        <w:jc w:val="both"/>
        <w:ind w:hanging="526"/>
        <w:spacing w:after="0" w:line="272" w:lineRule="auto"/>
        <w:rPr>
          <w:sz w:val="20"/>
          <w:szCs w:val="20"/>
          <w:color w:val="auto"/>
        </w:rPr>
      </w:pPr>
      <w:r>
        <w:rPr>
          <w:rFonts w:ascii="Times New Roman" w:cs="Times New Roman" w:eastAsia="Times New Roman" w:hAnsi="Times New Roman"/>
          <w:sz w:val="15"/>
          <w:szCs w:val="15"/>
          <w:color w:val="auto"/>
        </w:rPr>
        <w:t>9.1.4</w:t>
      </w:r>
      <w:r>
        <w:rPr>
          <w:sz w:val="20"/>
          <w:szCs w:val="20"/>
          <w:color w:val="auto"/>
        </w:rPr>
        <w:t xml:space="preserve"> </w:t>
      </w:r>
      <w:r>
        <w:rPr>
          <w:rFonts w:ascii="Times New Roman" w:cs="Times New Roman" w:eastAsia="Times New Roman" w:hAnsi="Times New Roman"/>
          <w:sz w:val="15"/>
          <w:szCs w:val="15"/>
          <w:b w:val="1"/>
          <w:bCs w:val="1"/>
          <w:color w:val="auto"/>
        </w:rPr>
        <w:t>Notification</w:t>
      </w:r>
      <w:r>
        <w:rPr>
          <w:rFonts w:ascii="Times New Roman" w:cs="Times New Roman" w:eastAsia="Times New Roman" w:hAnsi="Times New Roman"/>
          <w:sz w:val="15"/>
          <w:szCs w:val="15"/>
          <w:color w:val="auto"/>
        </w:rPr>
        <w:t>. The Receiving Party shall notify the Disclosing Party immediately, and cooperate with the Disclosing Party as the Disclosing Party may reasonably request,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upon the Receiving Party’s discovery of any loss or compromise of the Disclosing Party’s Confidential Information.</w:t>
      </w:r>
    </w:p>
    <w:p>
      <w:pPr>
        <w:spacing w:after="0" w:line="136" w:lineRule="exact"/>
        <w:rPr>
          <w:sz w:val="20"/>
          <w:szCs w:val="20"/>
          <w:color w:val="auto"/>
        </w:rPr>
      </w:pPr>
    </w:p>
    <w:p>
      <w:pPr>
        <w:jc w:val="both"/>
        <w:ind w:hanging="526"/>
        <w:spacing w:after="0" w:line="248" w:lineRule="auto"/>
        <w:rPr>
          <w:sz w:val="20"/>
          <w:szCs w:val="20"/>
          <w:color w:val="auto"/>
        </w:rPr>
      </w:pPr>
      <w:r>
        <w:rPr>
          <w:rFonts w:ascii="Times New Roman" w:cs="Times New Roman" w:eastAsia="Times New Roman" w:hAnsi="Times New Roman"/>
          <w:sz w:val="15"/>
          <w:szCs w:val="15"/>
          <w:color w:val="auto"/>
        </w:rPr>
        <w:t>9.1.5</w:t>
      </w:r>
      <w:r>
        <w:rPr>
          <w:sz w:val="20"/>
          <w:szCs w:val="20"/>
          <w:color w:val="auto"/>
        </w:rPr>
        <w:t xml:space="preserve"> </w:t>
      </w:r>
      <w:r>
        <w:rPr>
          <w:rFonts w:ascii="Times New Roman" w:cs="Times New Roman" w:eastAsia="Times New Roman" w:hAnsi="Times New Roman"/>
          <w:sz w:val="15"/>
          <w:szCs w:val="15"/>
          <w:b w:val="1"/>
          <w:bCs w:val="1"/>
          <w:color w:val="auto"/>
        </w:rPr>
        <w:t>Destruction of Confidential Information</w:t>
      </w:r>
      <w:r>
        <w:rPr>
          <w:rFonts w:ascii="Times New Roman" w:cs="Times New Roman" w:eastAsia="Times New Roman" w:hAnsi="Times New Roman"/>
          <w:sz w:val="15"/>
          <w:szCs w:val="15"/>
          <w:color w:val="auto"/>
        </w:rPr>
        <w:t>. Upon the earlier termination of this Agreement, the Receiving Party shall (a) return or destroy, at the Disclosing Party’s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discretion, all tangible embodiments of Confidential Information of the Disclosing Party, including any and all copies thereof, and those portions of any documents, memoranda, notes, studies and analyses prepared by the Receiving Party or its Recipients that contain, incorporate or are derived from such Confidential Information and provide written certification of such destruction to the Disclosing Party in a form reasonably acceptable to the Disclosing Party; and (b) immediately cease, and shall cause its Recipients to cease, using such Confidential Information, as well as any information or materials that contain, incorporate or are derived from such Confidential Information. Notwithstanding the foregoing, the Receiving Party may retain one copy of the Disclosing Party’s Confidential Information for archive and regulatory compliance purposes, subject to any applicable continuing obligations of confidentiality and non-use as provided herein. This </w:t>
      </w:r>
      <w:r>
        <w:rPr>
          <w:rFonts w:ascii="Times New Roman" w:cs="Times New Roman" w:eastAsia="Times New Roman" w:hAnsi="Times New Roman"/>
          <w:sz w:val="15"/>
          <w:szCs w:val="15"/>
          <w:u w:val="single" w:color="auto"/>
          <w:color w:val="auto"/>
        </w:rPr>
        <w:t>Section 9.1.5</w:t>
      </w:r>
      <w:r>
        <w:rPr>
          <w:rFonts w:ascii="Times New Roman" w:cs="Times New Roman" w:eastAsia="Times New Roman" w:hAnsi="Times New Roman"/>
          <w:sz w:val="15"/>
          <w:szCs w:val="15"/>
          <w:color w:val="auto"/>
        </w:rPr>
        <w:t xml:space="preserve"> shall not apply with respect to any Confidential Information that is necessary for a Party to exercise its rights or obligation under any terms that survive termination of this Agreement.</w:t>
      </w:r>
    </w:p>
    <w:p>
      <w:pPr>
        <w:spacing w:after="0" w:line="156" w:lineRule="exact"/>
        <w:rPr>
          <w:sz w:val="20"/>
          <w:szCs w:val="20"/>
          <w:color w:val="auto"/>
        </w:rPr>
      </w:pPr>
    </w:p>
    <w:p>
      <w:pPr>
        <w:jc w:val="both"/>
        <w:ind w:hanging="526"/>
        <w:spacing w:after="0" w:line="247" w:lineRule="auto"/>
        <w:rPr>
          <w:sz w:val="20"/>
          <w:szCs w:val="20"/>
          <w:color w:val="auto"/>
        </w:rPr>
      </w:pPr>
      <w:r>
        <w:rPr>
          <w:rFonts w:ascii="Times New Roman" w:cs="Times New Roman" w:eastAsia="Times New Roman" w:hAnsi="Times New Roman"/>
          <w:sz w:val="15"/>
          <w:szCs w:val="15"/>
          <w:color w:val="auto"/>
        </w:rPr>
        <w:t>9.1.6</w:t>
      </w:r>
      <w:r>
        <w:rPr>
          <w:sz w:val="20"/>
          <w:szCs w:val="20"/>
          <w:color w:val="auto"/>
        </w:rPr>
        <w:t xml:space="preserve"> </w:t>
      </w:r>
      <w:r>
        <w:rPr>
          <w:rFonts w:ascii="Times New Roman" w:cs="Times New Roman" w:eastAsia="Times New Roman" w:hAnsi="Times New Roman"/>
          <w:sz w:val="15"/>
          <w:szCs w:val="15"/>
          <w:b w:val="1"/>
          <w:bCs w:val="1"/>
          <w:color w:val="auto"/>
        </w:rPr>
        <w:t>Use of Name and Disclosure of Terms</w:t>
      </w:r>
      <w:r>
        <w:rPr>
          <w:rFonts w:ascii="Times New Roman" w:cs="Times New Roman" w:eastAsia="Times New Roman" w:hAnsi="Times New Roman"/>
          <w:sz w:val="15"/>
          <w:szCs w:val="15"/>
          <w:color w:val="auto"/>
        </w:rPr>
        <w:t>. Promptly after the Effective Date, the Parties shall issue a joint press release in the form mutually agreed by the Parties. Subject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the foregoing, each Party shall keep the existence of, the terms of and the transactions covered by this Agreement confidential and shall not disclose such information to any Third Party through a press release or otherwise, or mention or otherwise use the name, insignia, symbol, trademark, trade name or logotype of the other Party or its Affiliates in any manner without the prior written consent of the other Party in each instance (which shall not be unreasonably withheld). The restrictions imposed by this </w:t>
      </w:r>
      <w:r>
        <w:rPr>
          <w:rFonts w:ascii="Times New Roman" w:cs="Times New Roman" w:eastAsia="Times New Roman" w:hAnsi="Times New Roman"/>
          <w:sz w:val="15"/>
          <w:szCs w:val="15"/>
          <w:u w:val="single" w:color="auto"/>
          <w:color w:val="auto"/>
        </w:rPr>
        <w:t>Section 9.1.6</w:t>
      </w:r>
      <w:r>
        <w:rPr>
          <w:rFonts w:ascii="Times New Roman" w:cs="Times New Roman" w:eastAsia="Times New Roman" w:hAnsi="Times New Roman"/>
          <w:sz w:val="15"/>
          <w:szCs w:val="15"/>
          <w:color w:val="auto"/>
        </w:rPr>
        <w:t xml:space="preserve"> shall not prohibit either Party from making any disclosure that is required by Applicable Law, or rule or regulation or the requirements of a national securities exchange or another similar regulatory body including disclosing such information in any clinical trial database maintained by or on behalf of a Party,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Receiving Party shall, to the extent possible, provide the Disclosing Party with reasonable advance notice of such disclosure and take reasonable measures to ensure confidential treatment of such information, including by allowing the Disclosing Party to review and, if lawful, make redactions to any such disclosure. Notwithstanding the foregoing, the Parties acknowledge that they each may engage in financing, licensing and merger and acquisition transactions after the Execution Date and that in such event, the Parties may disclose the existence and terms of this Agreement, under terms of confidentiality no less strict than those contained in this Agreement, to parties or potential parties in such transaction.</w:t>
      </w:r>
    </w:p>
    <w:p>
      <w:pPr>
        <w:spacing w:after="0" w:line="157" w:lineRule="exact"/>
        <w:rPr>
          <w:sz w:val="20"/>
          <w:szCs w:val="20"/>
          <w:color w:val="auto"/>
        </w:rPr>
      </w:pPr>
    </w:p>
    <w:p>
      <w:pPr>
        <w:jc w:val="both"/>
        <w:ind w:hanging="526"/>
        <w:spacing w:after="0" w:line="248" w:lineRule="auto"/>
        <w:rPr>
          <w:sz w:val="20"/>
          <w:szCs w:val="20"/>
          <w:color w:val="auto"/>
        </w:rPr>
      </w:pPr>
      <w:r>
        <w:rPr>
          <w:rFonts w:ascii="Times New Roman" w:cs="Times New Roman" w:eastAsia="Times New Roman" w:hAnsi="Times New Roman"/>
          <w:sz w:val="15"/>
          <w:szCs w:val="15"/>
          <w:color w:val="auto"/>
        </w:rPr>
        <w:t>9.1.7</w:t>
      </w:r>
      <w:r>
        <w:rPr>
          <w:sz w:val="20"/>
          <w:szCs w:val="20"/>
          <w:color w:val="auto"/>
        </w:rPr>
        <w:t xml:space="preserve"> </w:t>
      </w:r>
      <w:r>
        <w:rPr>
          <w:rFonts w:ascii="Times New Roman" w:cs="Times New Roman" w:eastAsia="Times New Roman" w:hAnsi="Times New Roman"/>
          <w:sz w:val="15"/>
          <w:szCs w:val="15"/>
          <w:b w:val="1"/>
          <w:bCs w:val="1"/>
          <w:color w:val="auto"/>
        </w:rPr>
        <w:t>Remedies</w:t>
      </w:r>
      <w:r>
        <w:rPr>
          <w:rFonts w:ascii="Times New Roman" w:cs="Times New Roman" w:eastAsia="Times New Roman" w:hAnsi="Times New Roman"/>
          <w:sz w:val="15"/>
          <w:szCs w:val="15"/>
          <w:color w:val="auto"/>
        </w:rPr>
        <w:t>. The Parties acknowledge and agree that the restrictions set forth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9.1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are reasonable and necessary to protect the legitimate interests of the Parties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that neither Party would have entered into this Agreement in the absence of such restrictions, and that any breach or threatened breach of any provision of </w:t>
      </w:r>
      <w:r>
        <w:rPr>
          <w:rFonts w:ascii="Times New Roman" w:cs="Times New Roman" w:eastAsia="Times New Roman" w:hAnsi="Times New Roman"/>
          <w:sz w:val="15"/>
          <w:szCs w:val="15"/>
          <w:u w:val="single" w:color="auto"/>
          <w:color w:val="auto"/>
        </w:rPr>
        <w:t>Section 9.1</w:t>
      </w:r>
      <w:r>
        <w:rPr>
          <w:rFonts w:ascii="Times New Roman" w:cs="Times New Roman" w:eastAsia="Times New Roman" w:hAnsi="Times New Roman"/>
          <w:sz w:val="15"/>
          <w:szCs w:val="15"/>
          <w:color w:val="auto"/>
        </w:rPr>
        <w:t xml:space="preserve"> with respect to a Party’s Confidential Information will result in irreparable injury to such Party for which there will be no adequate remedy at law. Notwithstanding the Dispute Resolution clause in </w:t>
      </w:r>
      <w:r>
        <w:rPr>
          <w:rFonts w:ascii="Times New Roman" w:cs="Times New Roman" w:eastAsia="Times New Roman" w:hAnsi="Times New Roman"/>
          <w:sz w:val="15"/>
          <w:szCs w:val="15"/>
          <w:u w:val="single" w:color="auto"/>
          <w:color w:val="auto"/>
        </w:rPr>
        <w:t>Section 15.3</w:t>
      </w:r>
      <w:r>
        <w:rPr>
          <w:rFonts w:ascii="Times New Roman" w:cs="Times New Roman" w:eastAsia="Times New Roman" w:hAnsi="Times New Roman"/>
          <w:sz w:val="15"/>
          <w:szCs w:val="15"/>
          <w:color w:val="auto"/>
        </w:rPr>
        <w:t xml:space="preserve">, in the event of a breach or threatened breach of any provision of </w:t>
      </w:r>
      <w:r>
        <w:rPr>
          <w:rFonts w:ascii="Times New Roman" w:cs="Times New Roman" w:eastAsia="Times New Roman" w:hAnsi="Times New Roman"/>
          <w:sz w:val="15"/>
          <w:szCs w:val="15"/>
          <w:u w:val="single" w:color="auto"/>
          <w:color w:val="auto"/>
        </w:rPr>
        <w:t>Section 9.1</w:t>
      </w:r>
      <w:r>
        <w:rPr>
          <w:rFonts w:ascii="Times New Roman" w:cs="Times New Roman" w:eastAsia="Times New Roman" w:hAnsi="Times New Roman"/>
          <w:sz w:val="15"/>
          <w:szCs w:val="15"/>
          <w:color w:val="auto"/>
        </w:rPr>
        <w:t xml:space="preserve"> by a Party, the affected Party shall be authorized and entitled to seek from any court of competent jurisdiction injunctive relief applying the laws of that court, whether preliminary or permanent. Subject to Applicable Law, the breaching Party agrees to waive any requirement that the affected Party (i) post a bond or other security as a condition for obtaining any such relief; and (ii) show irreparable harm, balancing of harms, consideration of the public interest or inadequacy of monetary damages as a remedy. Nothing in this </w:t>
      </w:r>
      <w:r>
        <w:rPr>
          <w:rFonts w:ascii="Times New Roman" w:cs="Times New Roman" w:eastAsia="Times New Roman" w:hAnsi="Times New Roman"/>
          <w:sz w:val="15"/>
          <w:szCs w:val="15"/>
          <w:u w:val="single" w:color="auto"/>
          <w:color w:val="auto"/>
        </w:rPr>
        <w:t>Section 9.1.7</w:t>
      </w:r>
      <w:r>
        <w:rPr>
          <w:rFonts w:ascii="Times New Roman" w:cs="Times New Roman" w:eastAsia="Times New Roman" w:hAnsi="Times New Roman"/>
          <w:sz w:val="15"/>
          <w:szCs w:val="15"/>
          <w:color w:val="auto"/>
        </w:rPr>
        <w:t xml:space="preserve"> is intended, or shall be construed, to limit the Parties’ rights to equitable relief or any other remedy for a breach of any provision of this Agreement.</w:t>
      </w:r>
    </w:p>
    <w:p>
      <w:pPr>
        <w:spacing w:after="0" w:line="33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11430</wp:posOffset>
            </wp:positionV>
            <wp:extent cx="7157720" cy="69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220"/>
          </w:cols>
          <w:pgMar w:left="1360" w:top="760" w:right="319" w:bottom="1440" w:gutter="0" w:footer="0" w:header="0"/>
        </w:sectPr>
      </w:pPr>
    </w:p>
    <w:bookmarkStart w:id="300" w:name="page301"/>
    <w:bookmarkEnd w:id="300"/>
    <w:p>
      <w:pPr>
        <w:jc w:val="both"/>
        <w:ind w:left="1060" w:hanging="526"/>
        <w:spacing w:after="0" w:line="253" w:lineRule="auto"/>
        <w:tabs>
          <w:tab w:leader="none" w:pos="1040" w:val="left"/>
        </w:tabs>
        <w:rPr>
          <w:sz w:val="20"/>
          <w:szCs w:val="20"/>
          <w:color w:val="auto"/>
        </w:rPr>
      </w:pPr>
      <w:r>
        <w:rPr>
          <w:rFonts w:ascii="Times New Roman" w:cs="Times New Roman" w:eastAsia="Times New Roman" w:hAnsi="Times New Roman"/>
          <w:sz w:val="15"/>
          <w:szCs w:val="15"/>
          <w:color w:val="auto"/>
        </w:rPr>
        <w:t>9.1.8</w:t>
      </w:r>
      <w:r>
        <w:rPr>
          <w:sz w:val="20"/>
          <w:szCs w:val="20"/>
          <w:color w:val="auto"/>
        </w:rPr>
        <w:tab/>
      </w:r>
      <w:r>
        <w:rPr>
          <w:rFonts w:ascii="Times New Roman" w:cs="Times New Roman" w:eastAsia="Times New Roman" w:hAnsi="Times New Roman"/>
          <w:sz w:val="15"/>
          <w:szCs w:val="15"/>
          <w:b w:val="1"/>
          <w:bCs w:val="1"/>
          <w:color w:val="auto"/>
        </w:rPr>
        <w:t>Prior CDA</w:t>
      </w:r>
      <w:r>
        <w:rPr>
          <w:rFonts w:ascii="Times New Roman" w:cs="Times New Roman" w:eastAsia="Times New Roman" w:hAnsi="Times New Roman"/>
          <w:sz w:val="15"/>
          <w:szCs w:val="15"/>
          <w:color w:val="auto"/>
        </w:rPr>
        <w:t>. As of the Execution Date, the terms of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9.1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shall supersede any prior non-disclosure, secrecy or confidentiality agreement between the Parties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their Affiliates) dealing with the subject of this Agreement, including the Mutual Confidentiality Agreement between the Parties dated March 10, 2020. Any information disclosed pursuant to any such prior agreement shall be deemed Confidential Information of the applicable Party for purposes of this Agreement, to the extent that such information was deemed to be “Confidential Information” under such prior agreement.</w:t>
      </w:r>
    </w:p>
    <w:p>
      <w:pPr>
        <w:spacing w:after="0" w:line="1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9.2</w:t>
      </w:r>
      <w:r>
        <w:rPr>
          <w:sz w:val="20"/>
          <w:szCs w:val="20"/>
          <w:color w:val="auto"/>
        </w:rPr>
        <w:tab/>
      </w:r>
      <w:r>
        <w:rPr>
          <w:rFonts w:ascii="Times New Roman" w:cs="Times New Roman" w:eastAsia="Times New Roman" w:hAnsi="Times New Roman"/>
          <w:sz w:val="15"/>
          <w:szCs w:val="15"/>
          <w:b w:val="1"/>
          <w:bCs w:val="1"/>
          <w:color w:val="auto"/>
        </w:rPr>
        <w:t>Compliance with Law</w:t>
      </w:r>
      <w:r>
        <w:rPr>
          <w:rFonts w:ascii="Times New Roman" w:cs="Times New Roman" w:eastAsia="Times New Roman" w:hAnsi="Times New Roman"/>
          <w:sz w:val="15"/>
          <w:szCs w:val="15"/>
          <w:color w:val="auto"/>
        </w:rPr>
        <w:t>. Each Party hereby covenants and agrees to comply with all Applicable Laws related to its activities connected with the Development, Manufacture and</w:t>
      </w:r>
    </w:p>
    <w:p>
      <w:pPr>
        <w:spacing w:after="0" w:line="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Commercialization of the Licensed Assets and Products. Without limiting the generality of the foregoing:</w:t>
      </w:r>
    </w:p>
    <w:p>
      <w:pPr>
        <w:spacing w:after="0" w:line="162" w:lineRule="exact"/>
        <w:rPr>
          <w:sz w:val="20"/>
          <w:szCs w:val="20"/>
          <w:color w:val="auto"/>
        </w:rPr>
      </w:pPr>
    </w:p>
    <w:p>
      <w:pPr>
        <w:jc w:val="both"/>
        <w:ind w:left="1060" w:hanging="526"/>
        <w:spacing w:after="0" w:line="272" w:lineRule="auto"/>
        <w:tabs>
          <w:tab w:leader="none" w:pos="1040" w:val="left"/>
        </w:tabs>
        <w:rPr>
          <w:sz w:val="20"/>
          <w:szCs w:val="20"/>
          <w:color w:val="auto"/>
        </w:rPr>
      </w:pPr>
      <w:r>
        <w:rPr>
          <w:rFonts w:ascii="Times New Roman" w:cs="Times New Roman" w:eastAsia="Times New Roman" w:hAnsi="Times New Roman"/>
          <w:sz w:val="15"/>
          <w:szCs w:val="15"/>
          <w:color w:val="auto"/>
        </w:rPr>
        <w:t>9.2.1</w:t>
      </w:r>
      <w:r>
        <w:rPr>
          <w:sz w:val="20"/>
          <w:szCs w:val="20"/>
          <w:color w:val="auto"/>
        </w:rPr>
        <w:tab/>
      </w:r>
      <w:r>
        <w:rPr>
          <w:rFonts w:ascii="Times New Roman" w:cs="Times New Roman" w:eastAsia="Times New Roman" w:hAnsi="Times New Roman"/>
          <w:sz w:val="15"/>
          <w:szCs w:val="15"/>
          <w:b w:val="1"/>
          <w:bCs w:val="1"/>
          <w:color w:val="auto"/>
        </w:rPr>
        <w:t>Patient Information</w:t>
      </w:r>
      <w:r>
        <w:rPr>
          <w:rFonts w:ascii="Times New Roman" w:cs="Times New Roman" w:eastAsia="Times New Roman" w:hAnsi="Times New Roman"/>
          <w:sz w:val="15"/>
          <w:szCs w:val="15"/>
          <w:color w:val="auto"/>
        </w:rPr>
        <w:t>. Each Party agrees to abide by all laws, rules, regulations, and orders of all Government Authorities concerning the confidentiality or protection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patient identifiable information or patients’ protected health information in the course of their performance under this Agreement.</w:t>
      </w:r>
    </w:p>
    <w:p>
      <w:pPr>
        <w:spacing w:after="0" w:line="136" w:lineRule="exact"/>
        <w:rPr>
          <w:sz w:val="20"/>
          <w:szCs w:val="20"/>
          <w:color w:val="auto"/>
        </w:rPr>
      </w:pPr>
    </w:p>
    <w:p>
      <w:pPr>
        <w:jc w:val="both"/>
        <w:ind w:left="1060" w:hanging="526"/>
        <w:spacing w:after="0" w:line="253" w:lineRule="auto"/>
        <w:tabs>
          <w:tab w:leader="none" w:pos="1040" w:val="left"/>
        </w:tabs>
        <w:rPr>
          <w:sz w:val="20"/>
          <w:szCs w:val="20"/>
          <w:color w:val="auto"/>
        </w:rPr>
      </w:pPr>
      <w:r>
        <w:rPr>
          <w:rFonts w:ascii="Times New Roman" w:cs="Times New Roman" w:eastAsia="Times New Roman" w:hAnsi="Times New Roman"/>
          <w:sz w:val="15"/>
          <w:szCs w:val="15"/>
          <w:color w:val="auto"/>
        </w:rPr>
        <w:t>9.2.2</w:t>
      </w:r>
      <w:r>
        <w:rPr>
          <w:sz w:val="20"/>
          <w:szCs w:val="20"/>
          <w:color w:val="auto"/>
        </w:rPr>
        <w:tab/>
      </w:r>
      <w:r>
        <w:rPr>
          <w:rFonts w:ascii="Times New Roman" w:cs="Times New Roman" w:eastAsia="Times New Roman" w:hAnsi="Times New Roman"/>
          <w:sz w:val="15"/>
          <w:szCs w:val="15"/>
          <w:b w:val="1"/>
          <w:bCs w:val="1"/>
          <w:color w:val="auto"/>
        </w:rPr>
        <w:t>Export Controls</w:t>
      </w:r>
      <w:r>
        <w:rPr>
          <w:rFonts w:ascii="Times New Roman" w:cs="Times New Roman" w:eastAsia="Times New Roman" w:hAnsi="Times New Roman"/>
          <w:sz w:val="15"/>
          <w:szCs w:val="15"/>
          <w:color w:val="auto"/>
        </w:rPr>
        <w:t>. This Agreement is made subject to any restrictions concerning the export of products or technical information from the United States or other countries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which may be imposed upon or related to XENCOR or Licensee from time to time. Each Party agrees that it shall not export, directly or indirectly, any technical information acquired from any other Party pursuant to this Agreement or any Products using such technical information to a location or in a manner that at the time of export requires an export license or other governmental approval, without first obtaining such license or approval from the appropriate Government Authority.</w:t>
      </w:r>
    </w:p>
    <w:p>
      <w:pPr>
        <w:spacing w:after="0" w:line="152" w:lineRule="exact"/>
        <w:rPr>
          <w:sz w:val="20"/>
          <w:szCs w:val="20"/>
          <w:color w:val="auto"/>
        </w:rPr>
      </w:pPr>
    </w:p>
    <w:p>
      <w:pPr>
        <w:jc w:val="both"/>
        <w:ind w:left="1060" w:hanging="526"/>
        <w:spacing w:after="0" w:line="250" w:lineRule="auto"/>
        <w:tabs>
          <w:tab w:leader="none" w:pos="1040" w:val="left"/>
        </w:tabs>
        <w:rPr>
          <w:sz w:val="20"/>
          <w:szCs w:val="20"/>
          <w:color w:val="auto"/>
        </w:rPr>
      </w:pPr>
      <w:r>
        <w:rPr>
          <w:rFonts w:ascii="Times New Roman" w:cs="Times New Roman" w:eastAsia="Times New Roman" w:hAnsi="Times New Roman"/>
          <w:sz w:val="15"/>
          <w:szCs w:val="15"/>
          <w:color w:val="auto"/>
        </w:rPr>
        <w:t>9.2.3</w:t>
      </w:r>
      <w:r>
        <w:rPr>
          <w:sz w:val="20"/>
          <w:szCs w:val="20"/>
          <w:color w:val="auto"/>
        </w:rPr>
        <w:tab/>
      </w:r>
      <w:r>
        <w:rPr>
          <w:rFonts w:ascii="Times New Roman" w:cs="Times New Roman" w:eastAsia="Times New Roman" w:hAnsi="Times New Roman"/>
          <w:sz w:val="15"/>
          <w:szCs w:val="15"/>
          <w:b w:val="1"/>
          <w:bCs w:val="1"/>
          <w:color w:val="auto"/>
        </w:rPr>
        <w:t>Debarment</w:t>
      </w:r>
      <w:r>
        <w:rPr>
          <w:rFonts w:ascii="Times New Roman" w:cs="Times New Roman" w:eastAsia="Times New Roman" w:hAnsi="Times New Roman"/>
          <w:sz w:val="15"/>
          <w:szCs w:val="15"/>
          <w:color w:val="auto"/>
        </w:rPr>
        <w:t>. Each Party agrees that it shall not use, in any capacity, in connection with any of its obligations to be performed under this Agreement any Person who has been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debarred under the FD&amp;C Act or the Generic Drug Enforcement Act of 1992, 21 U.S.C. § 335a et. seq. (or analogous Applicable Laws in any jurisdiction), and Licensee shall inform XENCOR in writing immediately if it or any Person who is performing activities for Licensee hereunder is debarred or is the subject of a conviction described in Section 306 of the FD&amp;C Act (or analogous Applicable Laws in any jurisdiction), or if any action, suit, claim, investigation or legal administrative proceeding is pending or, to Licensee’s knowledge, is threatened, relating to the debarment of Licensee or any Person used in any capacity by Licensee in connection with any of Licensee’s obligations to be performed under this Agreement.</w:t>
      </w:r>
    </w:p>
    <w:p>
      <w:pPr>
        <w:spacing w:after="0" w:line="152" w:lineRule="exact"/>
        <w:rPr>
          <w:sz w:val="20"/>
          <w:szCs w:val="20"/>
          <w:color w:val="auto"/>
        </w:rPr>
      </w:pPr>
    </w:p>
    <w:p>
      <w:pPr>
        <w:jc w:val="right"/>
        <w:spacing w:after="0" w:line="272" w:lineRule="auto"/>
        <w:rPr>
          <w:sz w:val="20"/>
          <w:szCs w:val="20"/>
          <w:color w:val="auto"/>
        </w:rPr>
      </w:pPr>
      <w:r>
        <w:rPr>
          <w:rFonts w:ascii="Times New Roman" w:cs="Times New Roman" w:eastAsia="Times New Roman" w:hAnsi="Times New Roman"/>
          <w:sz w:val="15"/>
          <w:szCs w:val="15"/>
          <w:color w:val="auto"/>
        </w:rPr>
        <w:t xml:space="preserve">9.3     </w:t>
      </w:r>
      <w:r>
        <w:rPr>
          <w:rFonts w:ascii="Times New Roman" w:cs="Times New Roman" w:eastAsia="Times New Roman" w:hAnsi="Times New Roman"/>
          <w:sz w:val="15"/>
          <w:szCs w:val="15"/>
          <w:b w:val="1"/>
          <w:bCs w:val="1"/>
          <w:color w:val="auto"/>
        </w:rPr>
        <w:t>Compliance with Anti-Corruption Laws</w:t>
      </w:r>
      <w:r>
        <w:rPr>
          <w:rFonts w:ascii="Times New Roman" w:cs="Times New Roman" w:eastAsia="Times New Roman" w:hAnsi="Times New Roman"/>
          <w:sz w:val="15"/>
          <w:szCs w:val="15"/>
          <w:color w:val="auto"/>
        </w:rPr>
        <w:t>. Licensee agrees, on behalf of itself, its officers, directors and employees and on behalf of its Affiliates, and authorized agents, authorized representatives, authorized consultants, Sublicensees and subcontractors (together with Licensee, the “</w:t>
      </w:r>
      <w:r>
        <w:rPr>
          <w:rFonts w:ascii="Times New Roman" w:cs="Times New Roman" w:eastAsia="Times New Roman" w:hAnsi="Times New Roman"/>
          <w:sz w:val="15"/>
          <w:szCs w:val="15"/>
          <w:u w:val="single" w:color="auto"/>
          <w:color w:val="auto"/>
        </w:rPr>
        <w:t>Licensee Representatives</w:t>
      </w:r>
      <w:r>
        <w:rPr>
          <w:rFonts w:ascii="Times New Roman" w:cs="Times New Roman" w:eastAsia="Times New Roman" w:hAnsi="Times New Roman"/>
          <w:sz w:val="15"/>
          <w:szCs w:val="15"/>
          <w:color w:val="auto"/>
        </w:rPr>
        <w:t>”) that for the performance of its obligations hereunder:</w:t>
      </w: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01" w:name="page302"/>
    <w:bookmarkEnd w:id="301"/>
    <w:p>
      <w:pPr>
        <w:jc w:val="both"/>
        <w:ind w:left="520" w:hanging="526"/>
        <w:spacing w:after="0" w:line="250" w:lineRule="auto"/>
        <w:tabs>
          <w:tab w:leader="none" w:pos="500" w:val="left"/>
        </w:tabs>
        <w:rPr>
          <w:sz w:val="20"/>
          <w:szCs w:val="20"/>
          <w:color w:val="auto"/>
        </w:rPr>
      </w:pPr>
      <w:r>
        <w:rPr>
          <w:rFonts w:ascii="Times New Roman" w:cs="Times New Roman" w:eastAsia="Times New Roman" w:hAnsi="Times New Roman"/>
          <w:sz w:val="15"/>
          <w:szCs w:val="15"/>
          <w:color w:val="auto"/>
        </w:rPr>
        <w:t>9.3.1</w:t>
      </w:r>
      <w:r>
        <w:rPr>
          <w:sz w:val="20"/>
          <w:szCs w:val="20"/>
          <w:color w:val="auto"/>
        </w:rPr>
        <w:tab/>
      </w:r>
      <w:r>
        <w:rPr>
          <w:rFonts w:ascii="Times New Roman" w:cs="Times New Roman" w:eastAsia="Times New Roman" w:hAnsi="Times New Roman"/>
          <w:sz w:val="15"/>
          <w:szCs w:val="15"/>
          <w:color w:val="auto"/>
        </w:rPr>
        <w:t xml:space="preserve">As soon as practicable following the Effective Date, the Licensee shall, and shall cause its Affiliates to adopt and implement rules and policies regarding anti-bribery or anti-corruption issues and a code of conduct (including a written travel and entertainment policy) each substantially in the form and substance attached hereto as </w:t>
      </w:r>
      <w:r>
        <w:rPr>
          <w:rFonts w:ascii="Times New Roman" w:cs="Times New Roman" w:eastAsia="Times New Roman" w:hAnsi="Times New Roman"/>
          <w:sz w:val="15"/>
          <w:szCs w:val="15"/>
          <w:u w:val="single" w:color="auto"/>
          <w:color w:val="auto"/>
        </w:rPr>
        <w:t>Schedule 9.3.1</w:t>
      </w:r>
      <w:r>
        <w:rPr>
          <w:rFonts w:ascii="Times New Roman" w:cs="Times New Roman" w:eastAsia="Times New Roman" w:hAnsi="Times New Roman"/>
          <w:sz w:val="15"/>
          <w:szCs w:val="15"/>
          <w:color w:val="auto"/>
        </w:rPr>
        <w:t xml:space="preserve"> and consistent with global best practices (the “</w:t>
      </w:r>
      <w:r>
        <w:rPr>
          <w:rFonts w:ascii="Times New Roman" w:cs="Times New Roman" w:eastAsia="Times New Roman" w:hAnsi="Times New Roman"/>
          <w:sz w:val="15"/>
          <w:szCs w:val="15"/>
          <w:u w:val="single" w:color="auto"/>
          <w:color w:val="auto"/>
        </w:rPr>
        <w:t>Anti-Corruption Policies</w:t>
      </w:r>
      <w:r>
        <w:rPr>
          <w:rFonts w:ascii="Times New Roman" w:cs="Times New Roman" w:eastAsia="Times New Roman" w:hAnsi="Times New Roman"/>
          <w:sz w:val="15"/>
          <w:szCs w:val="15"/>
          <w:color w:val="auto"/>
        </w:rPr>
        <w:t>”), with the understanding that such Anti-Corruption Policies will forbid the Licensee and each Affiliate and their respective agents and representatives from promising, authorizing or making any payment to, or otherwise contributing any item of value, directly or indirectly, to any Third Party, including any Government Official, in each case, in violation of the Anti-Corruption Laws or the Anti-Corruption Policies.</w:t>
      </w:r>
    </w:p>
    <w:p>
      <w:pPr>
        <w:spacing w:after="0" w:line="156" w:lineRule="exact"/>
        <w:rPr>
          <w:sz w:val="20"/>
          <w:szCs w:val="20"/>
          <w:color w:val="auto"/>
        </w:rPr>
      </w:pPr>
    </w:p>
    <w:p>
      <w:pPr>
        <w:jc w:val="both"/>
        <w:ind w:left="520" w:hanging="526"/>
        <w:spacing w:after="0" w:line="269" w:lineRule="auto"/>
        <w:tabs>
          <w:tab w:leader="none" w:pos="500" w:val="left"/>
        </w:tabs>
        <w:rPr>
          <w:sz w:val="20"/>
          <w:szCs w:val="20"/>
          <w:color w:val="auto"/>
        </w:rPr>
      </w:pPr>
      <w:r>
        <w:rPr>
          <w:rFonts w:ascii="Times New Roman" w:cs="Times New Roman" w:eastAsia="Times New Roman" w:hAnsi="Times New Roman"/>
          <w:sz w:val="15"/>
          <w:szCs w:val="15"/>
          <w:color w:val="auto"/>
        </w:rPr>
        <w:t>9.3.2</w:t>
      </w:r>
      <w:r>
        <w:rPr>
          <w:sz w:val="20"/>
          <w:szCs w:val="20"/>
          <w:color w:val="auto"/>
        </w:rPr>
        <w:tab/>
      </w:r>
      <w:r>
        <w:rPr>
          <w:rFonts w:ascii="Times New Roman" w:cs="Times New Roman" w:eastAsia="Times New Roman" w:hAnsi="Times New Roman"/>
          <w:sz w:val="15"/>
          <w:szCs w:val="15"/>
          <w:color w:val="auto"/>
        </w:rPr>
        <w:t>Licensee and other Licensee Representatives has, and shall comply with the Anti-Corruption Laws and the Anti-Corruption Policies, and shall not take any action that will, or would reasonably be expected to, cause either Party (or its Affiliates) to be in violation of any such laws, policies or code.</w:t>
      </w:r>
    </w:p>
    <w:p>
      <w:pPr>
        <w:spacing w:after="0" w:line="141" w:lineRule="exact"/>
        <w:rPr>
          <w:sz w:val="20"/>
          <w:szCs w:val="20"/>
          <w:color w:val="auto"/>
        </w:rPr>
      </w:pPr>
    </w:p>
    <w:p>
      <w:pPr>
        <w:jc w:val="both"/>
        <w:ind w:left="520" w:hanging="526"/>
        <w:spacing w:after="0" w:line="269" w:lineRule="auto"/>
        <w:tabs>
          <w:tab w:leader="none" w:pos="500" w:val="left"/>
        </w:tabs>
        <w:rPr>
          <w:sz w:val="20"/>
          <w:szCs w:val="20"/>
          <w:color w:val="auto"/>
        </w:rPr>
      </w:pPr>
      <w:r>
        <w:rPr>
          <w:rFonts w:ascii="Times New Roman" w:cs="Times New Roman" w:eastAsia="Times New Roman" w:hAnsi="Times New Roman"/>
          <w:sz w:val="15"/>
          <w:szCs w:val="15"/>
          <w:color w:val="auto"/>
        </w:rPr>
        <w:t>9.3.3</w:t>
      </w:r>
      <w:r>
        <w:rPr>
          <w:sz w:val="20"/>
          <w:szCs w:val="20"/>
          <w:color w:val="auto"/>
        </w:rPr>
        <w:tab/>
      </w:r>
      <w:r>
        <w:rPr>
          <w:rFonts w:ascii="Times New Roman" w:cs="Times New Roman" w:eastAsia="Times New Roman" w:hAnsi="Times New Roman"/>
          <w:sz w:val="15"/>
          <w:szCs w:val="15"/>
          <w:color w:val="auto"/>
        </w:rPr>
        <w:t>The Licensee Representatives shall not directly or indirectly pay, offer or promise to pay, or authorize the payment of any money, or give, offer or promise to give, or authorize the giving of anything else of value, to:</w:t>
      </w:r>
    </w:p>
    <w:p>
      <w:pPr>
        <w:spacing w:after="0" w:line="141" w:lineRule="exact"/>
        <w:rPr>
          <w:sz w:val="20"/>
          <w:szCs w:val="20"/>
          <w:color w:val="auto"/>
        </w:rPr>
      </w:pPr>
    </w:p>
    <w:p>
      <w:pPr>
        <w:ind w:left="1060" w:hanging="537"/>
        <w:spacing w:after="0"/>
        <w:tabs>
          <w:tab w:leader="none" w:pos="106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Government Official in order to influence official action or inaction;</w:t>
      </w:r>
    </w:p>
    <w:p>
      <w:pPr>
        <w:spacing w:after="0" w:line="179" w:lineRule="exact"/>
        <w:rPr>
          <w:rFonts w:ascii="Times New Roman" w:cs="Times New Roman" w:eastAsia="Times New Roman" w:hAnsi="Times New Roman"/>
          <w:sz w:val="15"/>
          <w:szCs w:val="15"/>
          <w:color w:val="auto"/>
        </w:rPr>
      </w:pPr>
    </w:p>
    <w:p>
      <w:pPr>
        <w:ind w:left="1060" w:hanging="537"/>
        <w:spacing w:after="0"/>
        <w:tabs>
          <w:tab w:leader="none" w:pos="106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(whether or not a Government Official) (1) to influence such Person to act in breach of a duty of good faith, impartiality or trust (“</w:t>
      </w:r>
      <w:r>
        <w:rPr>
          <w:rFonts w:ascii="Times New Roman" w:cs="Times New Roman" w:eastAsia="Times New Roman" w:hAnsi="Times New Roman"/>
          <w:sz w:val="14"/>
          <w:szCs w:val="14"/>
          <w:u w:val="single" w:color="auto"/>
          <w:color w:val="auto"/>
        </w:rPr>
        <w:t>Acting Improperly</w:t>
      </w:r>
      <w:r>
        <w:rPr>
          <w:rFonts w:ascii="Times New Roman" w:cs="Times New Roman" w:eastAsia="Times New Roman" w:hAnsi="Times New Roman"/>
          <w:sz w:val="14"/>
          <w:szCs w:val="14"/>
          <w:color w:val="auto"/>
        </w:rPr>
        <w:t>”),</w:t>
      </w:r>
    </w:p>
    <w:p>
      <w:pPr>
        <w:spacing w:after="0" w:line="29" w:lineRule="exact"/>
        <w:rPr>
          <w:rFonts w:ascii="Times New Roman" w:cs="Times New Roman" w:eastAsia="Times New Roman" w:hAnsi="Times New Roman"/>
          <w:sz w:val="14"/>
          <w:szCs w:val="14"/>
          <w:color w:val="auto"/>
        </w:rPr>
      </w:pPr>
    </w:p>
    <w:p>
      <w:pPr>
        <w:ind w:left="1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(2) to reward such Person for Acting Improperly, or (3) where such Person would be Acting Improperly by receiving the money or other thing of value;</w:t>
      </w:r>
    </w:p>
    <w:p>
      <w:pPr>
        <w:spacing w:after="0" w:line="164" w:lineRule="exact"/>
        <w:rPr>
          <w:rFonts w:ascii="Times New Roman" w:cs="Times New Roman" w:eastAsia="Times New Roman" w:hAnsi="Times New Roman"/>
          <w:sz w:val="14"/>
          <w:szCs w:val="14"/>
          <w:color w:val="auto"/>
        </w:rPr>
      </w:pPr>
    </w:p>
    <w:p>
      <w:pPr>
        <w:jc w:val="both"/>
        <w:ind w:left="1060" w:hanging="537"/>
        <w:spacing w:after="0" w:line="257" w:lineRule="auto"/>
        <w:tabs>
          <w:tab w:leader="none" w:pos="106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Person while knowing or having a reason to know that all or any portion of the money or other thing of value will be paid, offered, promised or given to, or will otherwise benefit, a Government Official in order to influence official action or inaction for or against either Party in connection with the matters that are the subject of this Agreement; or</w:t>
      </w:r>
    </w:p>
    <w:p>
      <w:pPr>
        <w:spacing w:after="0" w:line="149" w:lineRule="exact"/>
        <w:rPr>
          <w:rFonts w:ascii="Times New Roman" w:cs="Times New Roman" w:eastAsia="Times New Roman" w:hAnsi="Times New Roman"/>
          <w:sz w:val="15"/>
          <w:szCs w:val="15"/>
          <w:color w:val="auto"/>
        </w:rPr>
      </w:pPr>
    </w:p>
    <w:p>
      <w:pPr>
        <w:ind w:left="1060" w:hanging="537"/>
        <w:spacing w:after="0"/>
        <w:tabs>
          <w:tab w:leader="none" w:pos="106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to reward that Person for Acting Improperly or to induce that Person to Act Improperly.</w:t>
      </w:r>
    </w:p>
    <w:p>
      <w:pPr>
        <w:spacing w:after="0" w:line="179" w:lineRule="exact"/>
        <w:rPr>
          <w:sz w:val="20"/>
          <w:szCs w:val="20"/>
          <w:color w:val="auto"/>
        </w:rPr>
      </w:pPr>
    </w:p>
    <w:p>
      <w:pPr>
        <w:ind w:left="520" w:hanging="526"/>
        <w:spacing w:after="0" w:line="269" w:lineRule="auto"/>
        <w:tabs>
          <w:tab w:leader="none" w:pos="500" w:val="left"/>
        </w:tabs>
        <w:rPr>
          <w:sz w:val="20"/>
          <w:szCs w:val="20"/>
          <w:color w:val="auto"/>
        </w:rPr>
      </w:pPr>
      <w:r>
        <w:rPr>
          <w:rFonts w:ascii="Times New Roman" w:cs="Times New Roman" w:eastAsia="Times New Roman" w:hAnsi="Times New Roman"/>
          <w:sz w:val="15"/>
          <w:szCs w:val="15"/>
          <w:color w:val="auto"/>
        </w:rPr>
        <w:t>9.3.4</w:t>
      </w:r>
      <w:r>
        <w:rPr>
          <w:sz w:val="20"/>
          <w:szCs w:val="20"/>
          <w:color w:val="auto"/>
        </w:rPr>
        <w:tab/>
      </w:r>
      <w:r>
        <w:rPr>
          <w:rFonts w:ascii="Times New Roman" w:cs="Times New Roman" w:eastAsia="Times New Roman" w:hAnsi="Times New Roman"/>
          <w:sz w:val="15"/>
          <w:szCs w:val="15"/>
          <w:color w:val="auto"/>
        </w:rPr>
        <w:t>The Licensee Representatives shall not, directly or indirectly, solicit, receive or agree to accept any payment of money or anything else of value in violation of the Anti-Corruption Laws.</w:t>
      </w:r>
    </w:p>
    <w:p>
      <w:pPr>
        <w:spacing w:after="0" w:line="14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5"/>
          <w:szCs w:val="15"/>
          <w:color w:val="auto"/>
        </w:rPr>
        <w:t>9.3.5</w:t>
      </w:r>
      <w:r>
        <w:rPr>
          <w:sz w:val="20"/>
          <w:szCs w:val="20"/>
          <w:color w:val="auto"/>
        </w:rPr>
        <w:tab/>
      </w:r>
      <w:r>
        <w:rPr>
          <w:rFonts w:ascii="Times New Roman" w:cs="Times New Roman" w:eastAsia="Times New Roman" w:hAnsi="Times New Roman"/>
          <w:sz w:val="14"/>
          <w:szCs w:val="14"/>
          <w:color w:val="auto"/>
        </w:rPr>
        <w:t>Licensee shall promptly provide XENCOR with written notice of the following events:</w:t>
      </w:r>
    </w:p>
    <w:p>
      <w:pPr>
        <w:spacing w:after="0" w:line="179" w:lineRule="exact"/>
        <w:rPr>
          <w:sz w:val="20"/>
          <w:szCs w:val="20"/>
          <w:color w:val="auto"/>
        </w:rPr>
      </w:pPr>
    </w:p>
    <w:p>
      <w:pPr>
        <w:ind w:left="1060" w:right="20" w:hanging="537"/>
        <w:spacing w:after="0" w:line="269" w:lineRule="auto"/>
        <w:tabs>
          <w:tab w:leader="none" w:pos="1060"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Upon becoming aware of any breach or violation by Licensee or any Licensee Representative of any representation, warranty or undertaking set forth in </w:t>
      </w:r>
      <w:r>
        <w:rPr>
          <w:rFonts w:ascii="Times New Roman" w:cs="Times New Roman" w:eastAsia="Times New Roman" w:hAnsi="Times New Roman"/>
          <w:sz w:val="15"/>
          <w:szCs w:val="15"/>
          <w:u w:val="single" w:color="auto"/>
          <w:color w:val="auto"/>
        </w:rPr>
        <w:t>Sections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9.3.1</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9.3.4</w:t>
      </w:r>
      <w:r>
        <w:rPr>
          <w:rFonts w:ascii="Times New Roman" w:cs="Times New Roman" w:eastAsia="Times New Roman" w:hAnsi="Times New Roman"/>
          <w:sz w:val="15"/>
          <w:szCs w:val="15"/>
          <w:color w:val="auto"/>
        </w:rPr>
        <w:t xml:space="preserve"> above; or</w:t>
      </w:r>
    </w:p>
    <w:p>
      <w:pPr>
        <w:spacing w:after="0" w:line="140" w:lineRule="exact"/>
        <w:rPr>
          <w:rFonts w:ascii="Times New Roman" w:cs="Times New Roman" w:eastAsia="Times New Roman" w:hAnsi="Times New Roman"/>
          <w:sz w:val="15"/>
          <w:szCs w:val="15"/>
          <w:color w:val="auto"/>
        </w:rPr>
      </w:pPr>
    </w:p>
    <w:p>
      <w:pPr>
        <w:jc w:val="both"/>
        <w:ind w:left="1060" w:hanging="537"/>
        <w:spacing w:after="0" w:line="257" w:lineRule="auto"/>
        <w:tabs>
          <w:tab w:leader="none" w:pos="1060"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receiving a formal notification that it is the target of a formal investigation by a Government Authority for any violation of Anti-Corruption Laws or upon receipt of information from any of the Licensee Representatives that any of them is the target of a formal investigation by a Government Authority for any violation of Anti-Corruption Laws.</w:t>
      </w:r>
    </w:p>
    <w:p>
      <w:pPr>
        <w:spacing w:after="0" w:line="3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11430</wp:posOffset>
            </wp:positionV>
            <wp:extent cx="7157720" cy="69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40"/>
          </w:cols>
          <w:pgMar w:left="840" w:top="763" w:right="319" w:bottom="1440" w:gutter="0" w:footer="0" w:header="0"/>
        </w:sectPr>
      </w:pPr>
    </w:p>
    <w:bookmarkStart w:id="302" w:name="page303"/>
    <w:bookmarkEnd w:id="302"/>
    <w:p>
      <w:pPr>
        <w:jc w:val="both"/>
        <w:ind w:left="1060" w:hanging="526"/>
        <w:spacing w:after="0" w:line="257" w:lineRule="auto"/>
        <w:tabs>
          <w:tab w:leader="none" w:pos="1040" w:val="left"/>
        </w:tabs>
        <w:rPr>
          <w:sz w:val="20"/>
          <w:szCs w:val="20"/>
          <w:color w:val="auto"/>
        </w:rPr>
      </w:pPr>
      <w:r>
        <w:rPr>
          <w:rFonts w:ascii="Times New Roman" w:cs="Times New Roman" w:eastAsia="Times New Roman" w:hAnsi="Times New Roman"/>
          <w:sz w:val="15"/>
          <w:szCs w:val="15"/>
          <w:color w:val="auto"/>
        </w:rPr>
        <w:t>9.3.6</w:t>
      </w:r>
      <w:r>
        <w:rPr>
          <w:sz w:val="20"/>
          <w:szCs w:val="20"/>
          <w:color w:val="auto"/>
        </w:rPr>
        <w:tab/>
      </w:r>
      <w:r>
        <w:rPr>
          <w:rFonts w:ascii="Times New Roman" w:cs="Times New Roman" w:eastAsia="Times New Roman" w:hAnsi="Times New Roman"/>
          <w:sz w:val="15"/>
          <w:szCs w:val="15"/>
          <w:color w:val="auto"/>
        </w:rPr>
        <w:t xml:space="preserve">XENCOR may disclose the terms of this Agreement or any action taken under this </w:t>
      </w:r>
      <w:r>
        <w:rPr>
          <w:rFonts w:ascii="Times New Roman" w:cs="Times New Roman" w:eastAsia="Times New Roman" w:hAnsi="Times New Roman"/>
          <w:sz w:val="15"/>
          <w:szCs w:val="15"/>
          <w:u w:val="single" w:color="auto"/>
          <w:color w:val="auto"/>
        </w:rPr>
        <w:t>Section 9.3.6</w:t>
      </w:r>
      <w:r>
        <w:rPr>
          <w:rFonts w:ascii="Times New Roman" w:cs="Times New Roman" w:eastAsia="Times New Roman" w:hAnsi="Times New Roman"/>
          <w:sz w:val="15"/>
          <w:szCs w:val="15"/>
          <w:color w:val="auto"/>
        </w:rPr>
        <w:t xml:space="preserve"> to prevent a potential violation or continuing violation of applicable Anti-Corruption Laws, including the identity of Licensee and the payment terms, to any Government Authority if XENCOR determines, upon advice of counsel, that such disclosure is necessary.</w:t>
      </w:r>
    </w:p>
    <w:p>
      <w:pPr>
        <w:spacing w:after="0" w:line="147" w:lineRule="exact"/>
        <w:rPr>
          <w:sz w:val="20"/>
          <w:szCs w:val="20"/>
          <w:color w:val="auto"/>
        </w:rPr>
      </w:pPr>
    </w:p>
    <w:p>
      <w:pPr>
        <w:ind w:left="540" w:hanging="532"/>
        <w:spacing w:after="0"/>
        <w:tabs>
          <w:tab w:leader="none" w:pos="540" w:val="left"/>
        </w:tabs>
        <w:numPr>
          <w:ilvl w:val="0"/>
          <w:numId w:val="1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Representations and Warranties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10.1</w:t>
      </w:r>
      <w:r>
        <w:rPr>
          <w:sz w:val="20"/>
          <w:szCs w:val="20"/>
          <w:color w:val="auto"/>
        </w:rPr>
        <w:tab/>
      </w:r>
      <w:r>
        <w:rPr>
          <w:rFonts w:ascii="Times New Roman" w:cs="Times New Roman" w:eastAsia="Times New Roman" w:hAnsi="Times New Roman"/>
          <w:sz w:val="14"/>
          <w:szCs w:val="14"/>
          <w:b w:val="1"/>
          <w:bCs w:val="1"/>
          <w:color w:val="auto"/>
        </w:rPr>
        <w:t>Representations and Warranties of Each Party</w:t>
      </w:r>
      <w:r>
        <w:rPr>
          <w:rFonts w:ascii="Times New Roman" w:cs="Times New Roman" w:eastAsia="Times New Roman" w:hAnsi="Times New Roman"/>
          <w:sz w:val="14"/>
          <w:szCs w:val="14"/>
          <w:color w:val="auto"/>
        </w:rPr>
        <w:t>. As of the Execution Date, each of Licensee and XENCOR hereby represents and warrants to the other Party hereto as follows:</w:t>
      </w:r>
    </w:p>
    <w:p>
      <w:pPr>
        <w:spacing w:after="0" w:line="181" w:lineRule="exact"/>
        <w:rPr>
          <w:sz w:val="20"/>
          <w:szCs w:val="20"/>
          <w:color w:val="auto"/>
        </w:rPr>
      </w:pPr>
    </w:p>
    <w:p>
      <w:pPr>
        <w:jc w:val="both"/>
        <w:ind w:left="1600" w:hanging="537"/>
        <w:spacing w:after="0" w:line="257" w:lineRule="auto"/>
        <w:tabs>
          <w:tab w:leader="none" w:pos="160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a corporation or entity duly organized, in good standing, and validly existing under the laws of the state or other jurisdiction of its incorporation or formation, and has full corporate power and authority and the legal right to own and operate its property and assets and to carry on its business as it is now being conducted and as contemplated in this Agreement;</w:t>
      </w:r>
    </w:p>
    <w:p>
      <w:pPr>
        <w:spacing w:after="0" w:line="149" w:lineRule="exact"/>
        <w:rPr>
          <w:rFonts w:ascii="Times New Roman" w:cs="Times New Roman" w:eastAsia="Times New Roman" w:hAnsi="Times New Roman"/>
          <w:sz w:val="15"/>
          <w:szCs w:val="15"/>
          <w:color w:val="auto"/>
        </w:rPr>
      </w:pPr>
    </w:p>
    <w:p>
      <w:pPr>
        <w:jc w:val="both"/>
        <w:ind w:left="1600" w:hanging="537"/>
        <w:spacing w:after="0" w:line="252" w:lineRule="auto"/>
        <w:tabs>
          <w:tab w:leader="none" w:pos="160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has taken all necessary corporate action on its part required to authorize the execution and delivery of this Agreement and the performance of its obligations hereunder, and this Agreement has been duly executed and delivered on behalf of such Party, and constitutes a legal, valid, and binding obligation of such Party that is enforceable against it in accordance with its terms, except as enforcement may be affected by bankruptcy, insolvency or other similar laws and by general principles of equity;</w:t>
      </w:r>
    </w:p>
    <w:p>
      <w:pPr>
        <w:spacing w:after="0" w:line="154"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with respect to Regulatory Approvals for the Development, Manufacturing or Commercialization of the Products or as otherwise described in this Agreement,</w:t>
      </w:r>
    </w:p>
    <w:p>
      <w:pPr>
        <w:spacing w:after="0" w:line="29" w:lineRule="exact"/>
        <w:rPr>
          <w:rFonts w:ascii="Times New Roman" w:cs="Times New Roman" w:eastAsia="Times New Roman" w:hAnsi="Times New Roman"/>
          <w:sz w:val="14"/>
          <w:szCs w:val="14"/>
          <w:color w:val="auto"/>
        </w:rPr>
      </w:pPr>
    </w:p>
    <w:p>
      <w:pPr>
        <w:jc w:val="both"/>
        <w:ind w:left="1600" w:hanging="10"/>
        <w:spacing w:after="0" w:line="246" w:lineRule="auto"/>
        <w:tabs>
          <w:tab w:leader="none" w:pos="1791" w:val="left"/>
        </w:tabs>
        <w:numPr>
          <w:ilvl w:val="1"/>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necessary consents, approvals and authorizations of, and (ii) all notices to, and filings by such Party with, all governmental authorities and other Persons required to be obtained or provided by such Party as of the Execution Date in connection with the execution, delivery and performance of this Agreement have been obtained and provided, except for those approvals, if any, not required at the time of execution of this Agreement;</w:t>
      </w:r>
    </w:p>
    <w:p>
      <w:pPr>
        <w:spacing w:after="0" w:line="158" w:lineRule="exact"/>
        <w:rPr>
          <w:rFonts w:ascii="Times New Roman" w:cs="Times New Roman" w:eastAsia="Times New Roman" w:hAnsi="Times New Roman"/>
          <w:sz w:val="15"/>
          <w:szCs w:val="15"/>
          <w:color w:val="auto"/>
        </w:rPr>
      </w:pPr>
    </w:p>
    <w:p>
      <w:pPr>
        <w:ind w:left="1600" w:hanging="537"/>
        <w:spacing w:after="0" w:line="269" w:lineRule="auto"/>
        <w:tabs>
          <w:tab w:leader="none" w:pos="160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execution, delivery and performance of this Agreement by such Party has been duly authorized by all requisite corporate action and does not require any shareholder action or approval, and shall not violate any Applicable Law;</w:t>
      </w:r>
    </w:p>
    <w:p>
      <w:pPr>
        <w:spacing w:after="0" w:line="140"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has the power and authority to execute and deliver this Agreement and to perform its obligations hereunder;</w:t>
      </w:r>
    </w:p>
    <w:p>
      <w:pPr>
        <w:spacing w:after="0" w:line="179" w:lineRule="exact"/>
        <w:rPr>
          <w:rFonts w:ascii="Times New Roman" w:cs="Times New Roman" w:eastAsia="Times New Roman" w:hAnsi="Times New Roman"/>
          <w:sz w:val="15"/>
          <w:szCs w:val="15"/>
          <w:color w:val="auto"/>
        </w:rPr>
      </w:pPr>
    </w:p>
    <w:p>
      <w:pPr>
        <w:jc w:val="both"/>
        <w:ind w:left="1600" w:hanging="537"/>
        <w:spacing w:after="0" w:line="252" w:lineRule="auto"/>
        <w:tabs>
          <w:tab w:leader="none" w:pos="160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execution, delivery and performance by such Party of this Agreement and its compliance with the terms and provisions does not and shall not conflict with or result in a breach of any of the terms and provisions of or constitute a default or material breach under (i) any other agreements to which it is a party; (ii) the provisions of its charter or operative documents or bylaws; or (iii) any order, writ, injunction or decree of any court or Government Authority entered against it or by which any of its property is bound; and</w:t>
      </w: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303" w:name="page304"/>
    <w:bookmarkEnd w:id="303"/>
    <w:p>
      <w:pPr>
        <w:ind w:right="1240" w:firstLine="1063"/>
        <w:spacing w:after="0" w:line="487" w:lineRule="auto"/>
        <w:tabs>
          <w:tab w:leader="none" w:pos="1582"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it has the full right, power and authority to grant all of the right, title and interest in the licenses granted to the other Party under this Agreement. 10.2 </w:t>
      </w:r>
      <w:r>
        <w:rPr>
          <w:rFonts w:ascii="Times New Roman" w:cs="Times New Roman" w:eastAsia="Times New Roman" w:hAnsi="Times New Roman"/>
          <w:sz w:val="15"/>
          <w:szCs w:val="15"/>
          <w:b w:val="1"/>
          <w:bCs w:val="1"/>
          <w:color w:val="auto"/>
        </w:rPr>
        <w:t>Additional Representations, Warranties and Covenants</w:t>
      </w:r>
      <w:r>
        <w:rPr>
          <w:rFonts w:ascii="Times New Roman" w:cs="Times New Roman" w:eastAsia="Times New Roman" w:hAnsi="Times New Roman"/>
          <w:sz w:val="15"/>
          <w:szCs w:val="15"/>
          <w:color w:val="auto"/>
        </w:rPr>
        <w:t>.</w:t>
      </w:r>
    </w:p>
    <w:p>
      <w:pPr>
        <w:spacing w:after="0" w:line="1" w:lineRule="exact"/>
        <w:rPr>
          <w:rFonts w:ascii="Times New Roman" w:cs="Times New Roman" w:eastAsia="Times New Roman" w:hAnsi="Times New Roman"/>
          <w:sz w:val="15"/>
          <w:szCs w:val="15"/>
          <w:color w:val="auto"/>
        </w:rPr>
      </w:pPr>
    </w:p>
    <w:p>
      <w:pPr>
        <w:ind w:left="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10.2.1  </w:t>
      </w:r>
      <w:r>
        <w:rPr>
          <w:rFonts w:ascii="Times New Roman" w:cs="Times New Roman" w:eastAsia="Times New Roman" w:hAnsi="Times New Roman"/>
          <w:sz w:val="15"/>
          <w:szCs w:val="15"/>
          <w:b w:val="1"/>
          <w:bCs w:val="1"/>
          <w:color w:val="auto"/>
        </w:rPr>
        <w:t>Additional Representations and Warranties of XENCOR</w:t>
      </w:r>
      <w:r>
        <w:rPr>
          <w:rFonts w:ascii="Times New Roman" w:cs="Times New Roman" w:eastAsia="Times New Roman" w:hAnsi="Times New Roman"/>
          <w:sz w:val="15"/>
          <w:szCs w:val="15"/>
          <w:color w:val="auto"/>
        </w:rPr>
        <w:t>. XENCOR hereby represents and warrants to Licensee that, as of the Execution Date:</w:t>
      </w:r>
    </w:p>
    <w:p>
      <w:pPr>
        <w:spacing w:after="0" w:line="181" w:lineRule="exact"/>
        <w:rPr>
          <w:sz w:val="20"/>
          <w:szCs w:val="20"/>
          <w:color w:val="auto"/>
        </w:rPr>
      </w:pPr>
    </w:p>
    <w:p>
      <w:pPr>
        <w:jc w:val="both"/>
        <w:ind w:left="1600" w:hanging="537"/>
        <w:spacing w:after="0" w:line="252" w:lineRule="auto"/>
        <w:tabs>
          <w:tab w:leader="none" w:pos="1600"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the sole and exclusive owner or licensee of the XENCOR Patent Rights, free and clear of all Liens, and has sufficient legal or beneficial title and ownership of or sufficient license rights under all XENCOR Intellectual Property to (i) grant to Licensee the licenses and rights granted under this Agreement, and (ii) enable Licensee to practice under the XENCOR Intellectual Property and exploit Licensed Assets and Products existing as of the Execution Date as permitted in this Agreement;</w:t>
      </w:r>
    </w:p>
    <w:p>
      <w:pPr>
        <w:spacing w:after="0" w:line="154" w:lineRule="exact"/>
        <w:rPr>
          <w:rFonts w:ascii="Times New Roman" w:cs="Times New Roman" w:eastAsia="Times New Roman" w:hAnsi="Times New Roman"/>
          <w:sz w:val="15"/>
          <w:szCs w:val="15"/>
          <w:color w:val="auto"/>
        </w:rPr>
      </w:pPr>
    </w:p>
    <w:p>
      <w:pPr>
        <w:jc w:val="both"/>
        <w:ind w:left="1600" w:hanging="537"/>
        <w:spacing w:after="0" w:line="257" w:lineRule="auto"/>
        <w:tabs>
          <w:tab w:leader="none" w:pos="1600"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XENCOR Patent Rights listed on </w:t>
      </w:r>
      <w:r>
        <w:rPr>
          <w:rFonts w:ascii="Times New Roman" w:cs="Times New Roman" w:eastAsia="Times New Roman" w:hAnsi="Times New Roman"/>
          <w:sz w:val="15"/>
          <w:szCs w:val="15"/>
          <w:u w:val="single" w:color="auto"/>
          <w:color w:val="auto"/>
        </w:rPr>
        <w:t>Schedule 1.75</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Schedule 1.79</w:t>
      </w:r>
      <w:r>
        <w:rPr>
          <w:rFonts w:ascii="Times New Roman" w:cs="Times New Roman" w:eastAsia="Times New Roman" w:hAnsi="Times New Roman"/>
          <w:sz w:val="15"/>
          <w:szCs w:val="15"/>
          <w:color w:val="auto"/>
        </w:rPr>
        <w:t xml:space="preserve"> hereto constitute all of the XENCOR Patent Rights that Cover the Development, Manufacture or Commercialization of Licensed Assets and Products existing as of the Execution Date in the Field in the Licensed Territory as contemplated by this Agreement;</w:t>
      </w:r>
    </w:p>
    <w:p>
      <w:pPr>
        <w:spacing w:after="0" w:line="149" w:lineRule="exact"/>
        <w:rPr>
          <w:rFonts w:ascii="Times New Roman" w:cs="Times New Roman" w:eastAsia="Times New Roman" w:hAnsi="Times New Roman"/>
          <w:sz w:val="15"/>
          <w:szCs w:val="15"/>
          <w:color w:val="auto"/>
        </w:rPr>
      </w:pPr>
    </w:p>
    <w:p>
      <w:pPr>
        <w:jc w:val="both"/>
        <w:ind w:left="1600" w:hanging="537"/>
        <w:spacing w:after="0" w:line="250" w:lineRule="auto"/>
        <w:tabs>
          <w:tab w:leader="none" w:pos="1600"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XENCOR Patent Rights listed on </w:t>
      </w:r>
      <w:r>
        <w:rPr>
          <w:rFonts w:ascii="Times New Roman" w:cs="Times New Roman" w:eastAsia="Times New Roman" w:hAnsi="Times New Roman"/>
          <w:sz w:val="15"/>
          <w:szCs w:val="15"/>
          <w:u w:val="single" w:color="auto"/>
          <w:color w:val="auto"/>
        </w:rPr>
        <w:t>Schedule 1.79</w:t>
      </w:r>
      <w:r>
        <w:rPr>
          <w:rFonts w:ascii="Times New Roman" w:cs="Times New Roman" w:eastAsia="Times New Roman" w:hAnsi="Times New Roman"/>
          <w:sz w:val="15"/>
          <w:szCs w:val="15"/>
          <w:color w:val="auto"/>
        </w:rPr>
        <w:t xml:space="preserve"> hereto constitute all XENCOR Patent Rights existing as of the Execution Date that specifically relate to a Licensed Asset or its corresponding Products existing as of the Execution Date, including (i) the composition of matter of any such Licensed Asset or such corresponding Products, (ii) the formulation of any such Licensed Asset or such corresponding Products, (iii) any use or a method of using (or a method of treatment with respect to) any such Licensed Asset or such corresponding Products, or (iv) any method of Manufacturing any such Licensed Asset or such corresponding Products;</w:t>
      </w:r>
    </w:p>
    <w:p>
      <w:pPr>
        <w:spacing w:after="0" w:line="156" w:lineRule="exact"/>
        <w:rPr>
          <w:rFonts w:ascii="Times New Roman" w:cs="Times New Roman" w:eastAsia="Times New Roman" w:hAnsi="Times New Roman"/>
          <w:sz w:val="15"/>
          <w:szCs w:val="15"/>
          <w:color w:val="auto"/>
        </w:rPr>
      </w:pPr>
    </w:p>
    <w:p>
      <w:pPr>
        <w:ind w:left="1600" w:hanging="537"/>
        <w:spacing w:after="0" w:line="269" w:lineRule="auto"/>
        <w:tabs>
          <w:tab w:leader="none" w:pos="1600"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XENCOR Intellectual Property includes all Intellectual Property Controlled by XENCOR and its Affiliates that are necessary for the Development, Manufacture or Commercialization of any Licensed Asset or Product existing as of the Execution Date in the Field in the Licensed Territory;</w:t>
      </w:r>
    </w:p>
    <w:p>
      <w:pPr>
        <w:spacing w:after="0" w:line="140" w:lineRule="exact"/>
        <w:rPr>
          <w:rFonts w:ascii="Times New Roman" w:cs="Times New Roman" w:eastAsia="Times New Roman" w:hAnsi="Times New Roman"/>
          <w:sz w:val="15"/>
          <w:szCs w:val="15"/>
          <w:color w:val="auto"/>
        </w:rPr>
      </w:pPr>
    </w:p>
    <w:p>
      <w:pPr>
        <w:jc w:val="both"/>
        <w:ind w:left="1600" w:hanging="537"/>
        <w:spacing w:after="0" w:line="250" w:lineRule="auto"/>
        <w:tabs>
          <w:tab w:leader="none" w:pos="1600"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all XENCOR Patent Rights owned or purported to be owned by XENCOR, (i) XENCOR and its Affiliates have obtained from all employees and independent contractors who participated in the invention or authority thereof, assignment of all ownership rights of such employees or independent contractors in such XENCOR Patent Rights of all right, title and interest in and to such XENCOR Patent Rights; and (ii) all of XENCOR’s employees and independent contractors have executed agreements or have existing obligations under Applicable Law requiring assignment to XENCOR or its Affiliate, as applicable, of all right, title, and interest in and to any inventions made during the course of and as the result of this Agreement;</w:t>
      </w: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304" w:name="page305"/>
    <w:bookmarkEnd w:id="304"/>
    <w:p>
      <w:pPr>
        <w:jc w:val="both"/>
        <w:ind w:left="537" w:hanging="537"/>
        <w:spacing w:after="0" w:line="257" w:lineRule="auto"/>
        <w:tabs>
          <w:tab w:leader="none" w:pos="537"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XENCOR nor any of its Affiliates is a party to any license or similar agreement under which it has granted or agreed to grant a license to any Third Party to the XENCOR Patent Rights and XENCOR Know-How that would conflict with or result in a restriction on the rights or licenses granted to Licensee under this Agreement;</w:t>
      </w:r>
    </w:p>
    <w:p>
      <w:pPr>
        <w:spacing w:after="0" w:line="149" w:lineRule="exact"/>
        <w:rPr>
          <w:rFonts w:ascii="Times New Roman" w:cs="Times New Roman" w:eastAsia="Times New Roman" w:hAnsi="Times New Roman"/>
          <w:sz w:val="15"/>
          <w:szCs w:val="15"/>
          <w:color w:val="auto"/>
        </w:rPr>
      </w:pPr>
    </w:p>
    <w:p>
      <w:pPr>
        <w:ind w:left="537" w:hanging="537"/>
        <w:spacing w:after="0" w:line="269" w:lineRule="auto"/>
        <w:tabs>
          <w:tab w:leader="none" w:pos="537"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XENCOR Patent Rights has been adjudged invalid or unenforceable in whole or in part, other than abandoned patents, nor is there any such proceeding pending;</w:t>
      </w:r>
    </w:p>
    <w:p>
      <w:pPr>
        <w:spacing w:after="0" w:line="140" w:lineRule="exact"/>
        <w:rPr>
          <w:rFonts w:ascii="Times New Roman" w:cs="Times New Roman" w:eastAsia="Times New Roman" w:hAnsi="Times New Roman"/>
          <w:sz w:val="15"/>
          <w:szCs w:val="15"/>
          <w:color w:val="auto"/>
        </w:rPr>
      </w:pPr>
    </w:p>
    <w:p>
      <w:pPr>
        <w:ind w:left="537" w:hanging="537"/>
        <w:spacing w:after="0"/>
        <w:tabs>
          <w:tab w:leader="none" w:pos="537"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its Knowledge, there is no infringement or misappropriation of any XENCOR Intellectual Property by any Third Party;</w:t>
      </w:r>
    </w:p>
    <w:p>
      <w:pPr>
        <w:spacing w:after="0" w:line="179" w:lineRule="exact"/>
        <w:rPr>
          <w:rFonts w:ascii="Times New Roman" w:cs="Times New Roman" w:eastAsia="Times New Roman" w:hAnsi="Times New Roman"/>
          <w:sz w:val="15"/>
          <w:szCs w:val="15"/>
          <w:color w:val="auto"/>
        </w:rPr>
      </w:pPr>
    </w:p>
    <w:p>
      <w:pPr>
        <w:ind w:left="537" w:hanging="537"/>
        <w:spacing w:after="0" w:line="269" w:lineRule="auto"/>
        <w:tabs>
          <w:tab w:leader="none" w:pos="537"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has not received any written notice of any suit, claim, action or proceeding challenging or seeking to deny its rights or any of its Affiliates’ rights in any XENCOR Intellectual Property, excluding prosecution of patent applications with the relevant administrative patent offices;</w:t>
      </w:r>
    </w:p>
    <w:p>
      <w:pPr>
        <w:spacing w:after="0" w:line="140" w:lineRule="exact"/>
        <w:rPr>
          <w:rFonts w:ascii="Times New Roman" w:cs="Times New Roman" w:eastAsia="Times New Roman" w:hAnsi="Times New Roman"/>
          <w:sz w:val="15"/>
          <w:szCs w:val="15"/>
          <w:color w:val="auto"/>
        </w:rPr>
      </w:pPr>
    </w:p>
    <w:p>
      <w:pPr>
        <w:jc w:val="both"/>
        <w:ind w:left="537" w:hanging="537"/>
        <w:spacing w:after="0" w:line="252" w:lineRule="auto"/>
        <w:tabs>
          <w:tab w:leader="none" w:pos="537"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its Knowledge, it (and any Third Party acting under its authority) (i) has complied in all material respects with all Applicable Laws and applicable governmental regulations and industrial standards (including GLP, GCP, and GMP) in connection with the Development, Manufacture, storage and disposition of the Licensed Assets (including information and data provided to Regulatory Authorities), and (ii) has not used any employee, consultant or contractor who has been debarred by any Regulatory Authority, or is the subject of a debarment proceeding by any Regulatory Authority in connection therewith;</w:t>
      </w:r>
    </w:p>
    <w:p>
      <w:pPr>
        <w:spacing w:after="0" w:line="154" w:lineRule="exact"/>
        <w:rPr>
          <w:rFonts w:ascii="Times New Roman" w:cs="Times New Roman" w:eastAsia="Times New Roman" w:hAnsi="Times New Roman"/>
          <w:sz w:val="15"/>
          <w:szCs w:val="15"/>
          <w:color w:val="auto"/>
        </w:rPr>
      </w:pPr>
    </w:p>
    <w:p>
      <w:pPr>
        <w:jc w:val="both"/>
        <w:ind w:left="537" w:hanging="537"/>
        <w:spacing w:after="0" w:line="257" w:lineRule="auto"/>
        <w:tabs>
          <w:tab w:leader="none" w:pos="537"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and its Affiliates have taken commercially reasonable precautions to preserve the confidentiality of XENCOR Know-How that XENCOR intends to keep confidential, including requiring all of its employees, consultants, sublicensees or subcontractors to execute agreements contain appropriate confidentiality obligations to maintain as confidential XENCOR Know-How and Confidential Information;</w:t>
      </w:r>
    </w:p>
    <w:p>
      <w:pPr>
        <w:spacing w:after="0" w:line="149" w:lineRule="exact"/>
        <w:rPr>
          <w:rFonts w:ascii="Times New Roman" w:cs="Times New Roman" w:eastAsia="Times New Roman" w:hAnsi="Times New Roman"/>
          <w:sz w:val="15"/>
          <w:szCs w:val="15"/>
          <w:color w:val="auto"/>
        </w:rPr>
      </w:pPr>
    </w:p>
    <w:p>
      <w:pPr>
        <w:jc w:val="both"/>
        <w:ind w:left="537" w:hanging="537"/>
        <w:spacing w:after="0" w:line="252" w:lineRule="auto"/>
        <w:tabs>
          <w:tab w:leader="none" w:pos="537"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XENCOR nor its Affiliates have entered into a government funding relationship that would result in rights to any Licensed Asset or Product existing as of the Execution Date residing in the US Government, National Institutes of Health, National Institute for Drug Abuse or other agency, and the licenses granted hereunder are not subject to overriding obligations to the US Government as set forth in Public Law 96 517 (35 U.S.C. 200 204), as amended, or any similar obligations under the Laws of Canada or any other country;</w:t>
      </w:r>
    </w:p>
    <w:p>
      <w:pPr>
        <w:spacing w:after="0" w:line="154" w:lineRule="exact"/>
        <w:rPr>
          <w:rFonts w:ascii="Times New Roman" w:cs="Times New Roman" w:eastAsia="Times New Roman" w:hAnsi="Times New Roman"/>
          <w:sz w:val="15"/>
          <w:szCs w:val="15"/>
          <w:color w:val="auto"/>
        </w:rPr>
      </w:pPr>
    </w:p>
    <w:p>
      <w:pPr>
        <w:ind w:left="537" w:hanging="537"/>
        <w:spacing w:after="0" w:line="269" w:lineRule="auto"/>
        <w:tabs>
          <w:tab w:leader="none" w:pos="537"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for the Upstream Licenses, there is no agreement between XENCOR or its Affiliates with any Third Party pursuant to which XENCOR or its Affiliates has in-licensed any XENCOR Intellectual Property;</w:t>
      </w:r>
    </w:p>
    <w:p>
      <w:pPr>
        <w:spacing w:after="0" w:line="140" w:lineRule="exact"/>
        <w:rPr>
          <w:rFonts w:ascii="Times New Roman" w:cs="Times New Roman" w:eastAsia="Times New Roman" w:hAnsi="Times New Roman"/>
          <w:sz w:val="15"/>
          <w:szCs w:val="15"/>
          <w:color w:val="auto"/>
        </w:rPr>
      </w:pPr>
    </w:p>
    <w:p>
      <w:pPr>
        <w:ind w:left="537" w:right="20" w:hanging="537"/>
        <w:spacing w:after="0" w:line="269" w:lineRule="auto"/>
        <w:tabs>
          <w:tab w:leader="none" w:pos="537"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Schedule 1.67</w:t>
      </w:r>
      <w:r>
        <w:rPr>
          <w:rFonts w:ascii="Times New Roman" w:cs="Times New Roman" w:eastAsia="Times New Roman" w:hAnsi="Times New Roman"/>
          <w:sz w:val="15"/>
          <w:szCs w:val="15"/>
          <w:color w:val="auto"/>
        </w:rPr>
        <w:t xml:space="preserve"> sets forth a complete and accurate list of all Upstream Licenses in effect as of the Execution Date; XENCOR has provided Licensee with a true, complete and correct copy of each Upstream License, and each Upstream License is in full force and effect; and</w:t>
      </w:r>
    </w:p>
    <w:p>
      <w:pPr>
        <w:spacing w:after="0" w:line="316" w:lineRule="exact"/>
        <w:rPr>
          <w:sz w:val="20"/>
          <w:szCs w:val="20"/>
          <w:color w:val="auto"/>
        </w:rPr>
      </w:pPr>
    </w:p>
    <w:p>
      <w:pPr>
        <w:ind w:left="4497"/>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11430</wp:posOffset>
            </wp:positionV>
            <wp:extent cx="7157720" cy="69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217"/>
          </w:cols>
          <w:pgMar w:left="1363" w:top="762" w:right="319" w:bottom="1440" w:gutter="0" w:footer="0" w:header="0"/>
        </w:sectPr>
      </w:pPr>
    </w:p>
    <w:bookmarkStart w:id="305" w:name="page306"/>
    <w:bookmarkEnd w:id="305"/>
    <w:p>
      <w:pPr>
        <w:ind w:left="1600" w:hanging="537"/>
        <w:spacing w:after="0" w:line="269" w:lineRule="auto"/>
        <w:tabs>
          <w:tab w:leader="none" w:pos="1600"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written notice of default or termination has been received or given under any Upstream License, and to its Knowledge, there is no act or omission by XENCOR that would provide a right to terminate any Upstream License.</w:t>
      </w:r>
    </w:p>
    <w:p>
      <w:pPr>
        <w:spacing w:after="0" w:line="139"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10.2.2</w:t>
      </w:r>
      <w:r>
        <w:rPr>
          <w:sz w:val="20"/>
          <w:szCs w:val="20"/>
          <w:color w:val="auto"/>
        </w:rPr>
        <w:tab/>
      </w:r>
      <w:r>
        <w:rPr>
          <w:rFonts w:ascii="Times New Roman" w:cs="Times New Roman" w:eastAsia="Times New Roman" w:hAnsi="Times New Roman"/>
          <w:sz w:val="14"/>
          <w:szCs w:val="14"/>
          <w:b w:val="1"/>
          <w:bCs w:val="1"/>
          <w:color w:val="auto"/>
        </w:rPr>
        <w:t>Covenants of XENCOR</w:t>
      </w:r>
      <w:r>
        <w:rPr>
          <w:rFonts w:ascii="Times New Roman" w:cs="Times New Roman" w:eastAsia="Times New Roman" w:hAnsi="Times New Roman"/>
          <w:sz w:val="14"/>
          <w:szCs w:val="14"/>
          <w:color w:val="auto"/>
        </w:rPr>
        <w:t>. XENCOR hereby covenants to Licensee that, during the License Term for the applicable Licensed Asset:</w:t>
      </w:r>
    </w:p>
    <w:p>
      <w:pPr>
        <w:spacing w:after="0" w:line="181" w:lineRule="exact"/>
        <w:rPr>
          <w:sz w:val="20"/>
          <w:szCs w:val="20"/>
          <w:color w:val="auto"/>
        </w:rPr>
      </w:pPr>
    </w:p>
    <w:p>
      <w:pPr>
        <w:jc w:val="both"/>
        <w:ind w:left="1600" w:hanging="537"/>
        <w:spacing w:after="0" w:line="252" w:lineRule="auto"/>
        <w:tabs>
          <w:tab w:leader="none" w:pos="160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shall remain in compliance in all material respects with each Upstream License and shall not terminate, amend, waive or otherwise modify (or consent to any of the foregoing) its rights under any Upstream License in any manner that would materially adversely affect the rights or licenses granted to Licensee hereunder or increases or generates any new payment or other obligation under any Upstream License that would apply to Licensee, without Licensee’s express written consent; and</w:t>
      </w:r>
    </w:p>
    <w:p>
      <w:pPr>
        <w:spacing w:after="0" w:line="154" w:lineRule="exact"/>
        <w:rPr>
          <w:rFonts w:ascii="Times New Roman" w:cs="Times New Roman" w:eastAsia="Times New Roman" w:hAnsi="Times New Roman"/>
          <w:sz w:val="15"/>
          <w:szCs w:val="15"/>
          <w:color w:val="auto"/>
        </w:rPr>
      </w:pPr>
    </w:p>
    <w:p>
      <w:pPr>
        <w:jc w:val="both"/>
        <w:ind w:left="1600" w:hanging="537"/>
        <w:spacing w:after="0" w:line="257" w:lineRule="auto"/>
        <w:tabs>
          <w:tab w:leader="none" w:pos="160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shall be solely responsible for any payments under any Upstream License resulting from the Development, Manufacture, or Commercialization of the Licensed Assets and Products in the Field in the Licensed Territory under this Agreement. Notwithstanding the foregoing, XENCOR shall not be responsible for payment of the Technology Access Fee (as such term is defined under the BIB Agreement) under the BIB Agreement.</w:t>
      </w:r>
    </w:p>
    <w:p>
      <w:pPr>
        <w:spacing w:after="0" w:line="147" w:lineRule="exact"/>
        <w:rPr>
          <w:sz w:val="20"/>
          <w:szCs w:val="20"/>
          <w:color w:val="auto"/>
        </w:rPr>
      </w:pPr>
    </w:p>
    <w:p>
      <w:pPr>
        <w:jc w:val="both"/>
        <w:ind w:left="1060" w:hanging="526"/>
        <w:spacing w:after="0" w:line="251" w:lineRule="auto"/>
        <w:tabs>
          <w:tab w:leader="none" w:pos="1040" w:val="left"/>
        </w:tabs>
        <w:rPr>
          <w:sz w:val="20"/>
          <w:szCs w:val="20"/>
          <w:color w:val="auto"/>
        </w:rPr>
      </w:pPr>
      <w:r>
        <w:rPr>
          <w:rFonts w:ascii="Times New Roman" w:cs="Times New Roman" w:eastAsia="Times New Roman" w:hAnsi="Times New Roman"/>
          <w:sz w:val="15"/>
          <w:szCs w:val="15"/>
          <w:color w:val="auto"/>
        </w:rPr>
        <w:t>10.2.3</w:t>
      </w:r>
      <w:r>
        <w:rPr>
          <w:sz w:val="20"/>
          <w:szCs w:val="20"/>
          <w:color w:val="auto"/>
        </w:rPr>
        <w:tab/>
      </w:r>
      <w:r>
        <w:rPr>
          <w:rFonts w:ascii="Times New Roman" w:cs="Times New Roman" w:eastAsia="Times New Roman" w:hAnsi="Times New Roman"/>
          <w:sz w:val="15"/>
          <w:szCs w:val="15"/>
          <w:b w:val="1"/>
          <w:bCs w:val="1"/>
          <w:color w:val="auto"/>
        </w:rPr>
        <w:t>Covenants of Licensee</w:t>
      </w:r>
      <w:r>
        <w:rPr>
          <w:rFonts w:ascii="Times New Roman" w:cs="Times New Roman" w:eastAsia="Times New Roman" w:hAnsi="Times New Roman"/>
          <w:sz w:val="15"/>
          <w:szCs w:val="15"/>
          <w:color w:val="auto"/>
        </w:rPr>
        <w:t>. Licensee hereby covenants to XENCOR that, during the License Term for the applicable Licensed Asset, all Licensed Assets or Products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Commercialized or Manufactured by, or under authority of, Licensee shall be: (a) packaged, labeled, handled, stored and shipped in accordance with, and shall conform to, the applicable Product specifications (as reflected in the applicable MAA or IND, as applicable); (b) packaged, labeled, handled, stored and shipped in compliance with all Applicable Law including GMPs in all material respects; and (c) Manufactured free of any material that would cause the Products to be adulterated or misbranded within the meaning of Applicable Law.</w:t>
      </w:r>
    </w:p>
    <w:p>
      <w:pPr>
        <w:spacing w:after="0" w:line="153" w:lineRule="exact"/>
        <w:rPr>
          <w:sz w:val="20"/>
          <w:szCs w:val="20"/>
          <w:color w:val="auto"/>
        </w:rPr>
      </w:pPr>
    </w:p>
    <w:p>
      <w:pPr>
        <w:jc w:val="both"/>
        <w:ind w:left="54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10.3</w:t>
      </w:r>
      <w:r>
        <w:rPr>
          <w:sz w:val="20"/>
          <w:szCs w:val="20"/>
          <w:color w:val="auto"/>
        </w:rPr>
        <w:tab/>
      </w:r>
      <w:r>
        <w:rPr>
          <w:rFonts w:ascii="Times New Roman" w:cs="Times New Roman" w:eastAsia="Times New Roman" w:hAnsi="Times New Roman"/>
          <w:sz w:val="15"/>
          <w:szCs w:val="15"/>
          <w:b w:val="1"/>
          <w:bCs w:val="1"/>
          <w:color w:val="auto"/>
        </w:rPr>
        <w:t>Representation by Legal Counsel</w:t>
      </w:r>
      <w:r>
        <w:rPr>
          <w:rFonts w:ascii="Times New Roman" w:cs="Times New Roman" w:eastAsia="Times New Roman" w:hAnsi="Times New Roman"/>
          <w:sz w:val="15"/>
          <w:szCs w:val="15"/>
          <w:color w:val="auto"/>
        </w:rPr>
        <w:t>. Each Party hereto represents that it has been represented by legal counsel in connection with this Agreement and acknowledges that it has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participated in the drafting. In interpreting and applying the terms and provisions of this Agreement, the Parties agree that no presumption shall exist or be implied against the Party which drafted such terms and provisions.</w:t>
      </w:r>
    </w:p>
    <w:p>
      <w:pPr>
        <w:spacing w:after="0" w:line="147" w:lineRule="exact"/>
        <w:rPr>
          <w:sz w:val="20"/>
          <w:szCs w:val="20"/>
          <w:color w:val="auto"/>
        </w:rPr>
      </w:pPr>
    </w:p>
    <w:p>
      <w:pPr>
        <w:jc w:val="both"/>
        <w:ind w:left="54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10.4</w:t>
      </w:r>
      <w:r>
        <w:rPr>
          <w:sz w:val="20"/>
          <w:szCs w:val="20"/>
          <w:color w:val="auto"/>
        </w:rPr>
        <w:tab/>
      </w:r>
      <w:r>
        <w:rPr>
          <w:rFonts w:ascii="Times New Roman" w:cs="Times New Roman" w:eastAsia="Times New Roman" w:hAnsi="Times New Roman"/>
          <w:sz w:val="15"/>
          <w:szCs w:val="15"/>
          <w:b w:val="1"/>
          <w:bCs w:val="1"/>
          <w:color w:val="auto"/>
        </w:rPr>
        <w:t>No Inconsistent Agreements</w:t>
      </w:r>
      <w:r>
        <w:rPr>
          <w:rFonts w:ascii="Times New Roman" w:cs="Times New Roman" w:eastAsia="Times New Roman" w:hAnsi="Times New Roman"/>
          <w:sz w:val="15"/>
          <w:szCs w:val="15"/>
          <w:color w:val="auto"/>
        </w:rPr>
        <w:t>. Neither Party has in effect and, after the Execution Date, neither Party shall enter into, any oral or written agreement or arrangement that would be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inconsistent with its obligations under this Agreement or limit the ability of either Party to grant the licenses granted under this Agreement.</w:t>
      </w:r>
    </w:p>
    <w:p>
      <w:pPr>
        <w:spacing w:after="0" w:line="136" w:lineRule="exact"/>
        <w:rPr>
          <w:sz w:val="20"/>
          <w:szCs w:val="20"/>
          <w:color w:val="auto"/>
        </w:rPr>
      </w:pPr>
    </w:p>
    <w:p>
      <w:pPr>
        <w:jc w:val="both"/>
        <w:ind w:left="540" w:hanging="526"/>
        <w:spacing w:after="0" w:line="250" w:lineRule="auto"/>
        <w:tabs>
          <w:tab w:leader="none" w:pos="520" w:val="left"/>
        </w:tabs>
        <w:rPr>
          <w:sz w:val="20"/>
          <w:szCs w:val="20"/>
          <w:color w:val="auto"/>
        </w:rPr>
      </w:pPr>
      <w:r>
        <w:rPr>
          <w:rFonts w:ascii="Times New Roman" w:cs="Times New Roman" w:eastAsia="Times New Roman" w:hAnsi="Times New Roman"/>
          <w:sz w:val="15"/>
          <w:szCs w:val="15"/>
          <w:color w:val="auto"/>
        </w:rPr>
        <w:t>10.5</w:t>
      </w:r>
      <w:r>
        <w:rPr>
          <w:sz w:val="20"/>
          <w:szCs w:val="20"/>
          <w:color w:val="auto"/>
        </w:rPr>
        <w:tab/>
      </w:r>
      <w:r>
        <w:rPr>
          <w:rFonts w:ascii="Times New Roman" w:cs="Times New Roman" w:eastAsia="Times New Roman" w:hAnsi="Times New Roman"/>
          <w:sz w:val="15"/>
          <w:szCs w:val="15"/>
          <w:b w:val="1"/>
          <w:bCs w:val="1"/>
          <w:color w:val="auto"/>
        </w:rPr>
        <w:t>Disclaimer</w:t>
      </w:r>
      <w:r>
        <w:rPr>
          <w:rFonts w:ascii="Times New Roman" w:cs="Times New Roman" w:eastAsia="Times New Roman" w:hAnsi="Times New Roman"/>
          <w:sz w:val="15"/>
          <w:szCs w:val="15"/>
          <w:color w:val="auto"/>
        </w:rPr>
        <w:t>. EXCEPT FOR THE REPRESENTATIONS AND WARRANTIES OF EACH PARTY EXPRESSLY SET FORTH IN THIS AGREEMENT, NEITHER PARTY MAKES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ANY OTHER REPRESENTATIONS OR WARRANTIES OF ANY KIND, INCLUDING ANY IMPLIED WARRANTIES OF NONINFRINGEMENT, ANY IMPLIED WARRANTIES OF MERCHANTABILITY OR ANY IMPLIED WARRANTIES OF FITNESS FOR A PARTICULAR PURPOSE ALL OF WHICH ARE HEREBY SPECIFICALLY EXCLUDED AND DISCLAIMED. EACH PARTY HEREBY DISCLAIMS ANY REPRESENTATION OR WARRANTY THAT THE DEVELOPMENT, MANUFACTURE OR COMMERCIALIZATION OF ANY LICENSED ASSET OR ANY PRODUCT UNDER THIS AGREEMENT WILL BE SAFE, USEFUL, OR SUCCESSFUL.</w:t>
      </w: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306" w:name="page307"/>
    <w:bookmarkEnd w:id="306"/>
    <w:p>
      <w:pPr>
        <w:ind w:right="9400" w:firstLine="8"/>
        <w:spacing w:after="0" w:line="489" w:lineRule="auto"/>
        <w:tabs>
          <w:tab w:leader="none" w:pos="527" w:val="left"/>
        </w:tabs>
        <w:numPr>
          <w:ilvl w:val="0"/>
          <w:numId w:val="1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Intellectual Property</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11.1 </w:t>
      </w:r>
      <w:r>
        <w:rPr>
          <w:rFonts w:ascii="Times New Roman" w:cs="Times New Roman" w:eastAsia="Times New Roman" w:hAnsi="Times New Roman"/>
          <w:sz w:val="15"/>
          <w:szCs w:val="15"/>
          <w:b w:val="1"/>
          <w:bCs w:val="1"/>
          <w:color w:val="auto"/>
        </w:rPr>
        <w:t>Disclosure</w:t>
      </w:r>
      <w:r>
        <w:rPr>
          <w:rFonts w:ascii="Times New Roman" w:cs="Times New Roman" w:eastAsia="Times New Roman" w:hAnsi="Times New Roman"/>
          <w:sz w:val="15"/>
          <w:szCs w:val="15"/>
          <w:color w:val="auto"/>
        </w:rPr>
        <w:t>.</w:t>
      </w: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11.1.1</w:t>
      </w:r>
      <w:r>
        <w:rPr>
          <w:sz w:val="20"/>
          <w:szCs w:val="20"/>
          <w:color w:val="auto"/>
        </w:rPr>
        <w:tab/>
      </w:r>
      <w:r>
        <w:rPr>
          <w:rFonts w:ascii="Times New Roman" w:cs="Times New Roman" w:eastAsia="Times New Roman" w:hAnsi="Times New Roman"/>
          <w:sz w:val="14"/>
          <w:szCs w:val="14"/>
          <w:b w:val="1"/>
          <w:bCs w:val="1"/>
          <w:color w:val="auto"/>
        </w:rPr>
        <w:t>Licensee Intellectual Property</w:t>
      </w:r>
      <w:r>
        <w:rPr>
          <w:rFonts w:ascii="Times New Roman" w:cs="Times New Roman" w:eastAsia="Times New Roman" w:hAnsi="Times New Roman"/>
          <w:sz w:val="14"/>
          <w:szCs w:val="14"/>
          <w:color w:val="auto"/>
        </w:rPr>
        <w:t>. Licensee shall disclose to XENCOR all new Licensee Inventions and Joint Intellectual Property in accordance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11.2.3</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060" w:hanging="526"/>
        <w:spacing w:after="0" w:line="253" w:lineRule="auto"/>
        <w:tabs>
          <w:tab w:leader="none" w:pos="1040" w:val="left"/>
        </w:tabs>
        <w:rPr>
          <w:sz w:val="20"/>
          <w:szCs w:val="20"/>
          <w:color w:val="auto"/>
        </w:rPr>
      </w:pPr>
      <w:r>
        <w:rPr>
          <w:rFonts w:ascii="Times New Roman" w:cs="Times New Roman" w:eastAsia="Times New Roman" w:hAnsi="Times New Roman"/>
          <w:sz w:val="15"/>
          <w:szCs w:val="15"/>
          <w:color w:val="auto"/>
        </w:rPr>
        <w:t>11.1.2</w:t>
      </w:r>
      <w:r>
        <w:rPr>
          <w:sz w:val="20"/>
          <w:szCs w:val="20"/>
          <w:color w:val="auto"/>
        </w:rPr>
        <w:tab/>
      </w:r>
      <w:r>
        <w:rPr>
          <w:rFonts w:ascii="Times New Roman" w:cs="Times New Roman" w:eastAsia="Times New Roman" w:hAnsi="Times New Roman"/>
          <w:sz w:val="15"/>
          <w:szCs w:val="15"/>
          <w:b w:val="1"/>
          <w:bCs w:val="1"/>
          <w:color w:val="auto"/>
        </w:rPr>
        <w:t>XENCOR Intellectual Property</w:t>
      </w:r>
      <w:r>
        <w:rPr>
          <w:rFonts w:ascii="Times New Roman" w:cs="Times New Roman" w:eastAsia="Times New Roman" w:hAnsi="Times New Roman"/>
          <w:sz w:val="15"/>
          <w:szCs w:val="15"/>
          <w:color w:val="auto"/>
        </w:rPr>
        <w:t>. XENCOR shall disclose to Licensee all new XENCOR Inventions and Joint Intellectual Property in accordance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11.2.3</w:t>
      </w:r>
      <w:r>
        <w:rPr>
          <w:rFonts w:ascii="Times New Roman" w:cs="Times New Roman" w:eastAsia="Times New Roman" w:hAnsi="Times New Roman"/>
          <w:sz w:val="15"/>
          <w:szCs w:val="15"/>
          <w:color w:val="auto"/>
        </w:rPr>
        <w:t>.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extent any new XENCOR Patent Right has been filed, upon Licensee’s reasonable request from time to time, XENCOR shall provide Licensee with a written amendment to </w:t>
      </w:r>
      <w:r>
        <w:rPr>
          <w:rFonts w:ascii="Times New Roman" w:cs="Times New Roman" w:eastAsia="Times New Roman" w:hAnsi="Times New Roman"/>
          <w:sz w:val="15"/>
          <w:szCs w:val="15"/>
          <w:u w:val="single" w:color="auto"/>
          <w:color w:val="auto"/>
        </w:rPr>
        <w:t>Schedule 1.75</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Schedule 1.79</w:t>
      </w:r>
      <w:r>
        <w:rPr>
          <w:rFonts w:ascii="Times New Roman" w:cs="Times New Roman" w:eastAsia="Times New Roman" w:hAnsi="Times New Roman"/>
          <w:sz w:val="15"/>
          <w:szCs w:val="15"/>
          <w:color w:val="auto"/>
        </w:rPr>
        <w:t xml:space="preserve">, as applicable, describing such additional Patent Rights. Each amended </w:t>
      </w:r>
      <w:r>
        <w:rPr>
          <w:rFonts w:ascii="Times New Roman" w:cs="Times New Roman" w:eastAsia="Times New Roman" w:hAnsi="Times New Roman"/>
          <w:sz w:val="15"/>
          <w:szCs w:val="15"/>
          <w:u w:val="single" w:color="auto"/>
          <w:color w:val="auto"/>
        </w:rPr>
        <w:t>Schedule 1.75</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Schedule 1.79</w:t>
      </w:r>
      <w:r>
        <w:rPr>
          <w:rFonts w:ascii="Times New Roman" w:cs="Times New Roman" w:eastAsia="Times New Roman" w:hAnsi="Times New Roman"/>
          <w:sz w:val="15"/>
          <w:szCs w:val="15"/>
          <w:color w:val="auto"/>
        </w:rPr>
        <w:t xml:space="preserve">, as applicable, shall become effective and supersede the previous </w:t>
      </w:r>
      <w:r>
        <w:rPr>
          <w:rFonts w:ascii="Times New Roman" w:cs="Times New Roman" w:eastAsia="Times New Roman" w:hAnsi="Times New Roman"/>
          <w:sz w:val="15"/>
          <w:szCs w:val="15"/>
          <w:u w:val="single" w:color="auto"/>
          <w:color w:val="auto"/>
        </w:rPr>
        <w:t>Schedule 1.75</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Schedule 1.79</w:t>
      </w:r>
      <w:r>
        <w:rPr>
          <w:rFonts w:ascii="Times New Roman" w:cs="Times New Roman" w:eastAsia="Times New Roman" w:hAnsi="Times New Roman"/>
          <w:sz w:val="15"/>
          <w:szCs w:val="15"/>
          <w:color w:val="auto"/>
        </w:rPr>
        <w:t>, as applicable, on the date that Licensee receives such amendment.</w:t>
      </w:r>
    </w:p>
    <w:p>
      <w:pPr>
        <w:spacing w:after="0" w:line="1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11.2</w:t>
      </w:r>
      <w:r>
        <w:rPr>
          <w:sz w:val="20"/>
          <w:szCs w:val="20"/>
          <w:color w:val="auto"/>
        </w:rPr>
        <w:tab/>
      </w: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060" w:hanging="526"/>
        <w:spacing w:after="0" w:line="250" w:lineRule="auto"/>
        <w:tabs>
          <w:tab w:leader="none" w:pos="1040" w:val="left"/>
        </w:tabs>
        <w:rPr>
          <w:sz w:val="20"/>
          <w:szCs w:val="20"/>
          <w:color w:val="auto"/>
        </w:rPr>
      </w:pPr>
      <w:r>
        <w:rPr>
          <w:rFonts w:ascii="Times New Roman" w:cs="Times New Roman" w:eastAsia="Times New Roman" w:hAnsi="Times New Roman"/>
          <w:sz w:val="15"/>
          <w:szCs w:val="15"/>
          <w:color w:val="auto"/>
        </w:rPr>
        <w:t>11.2.1</w:t>
      </w:r>
      <w:r>
        <w:rPr>
          <w:sz w:val="20"/>
          <w:szCs w:val="20"/>
          <w:color w:val="auto"/>
        </w:rPr>
        <w:tab/>
      </w:r>
      <w:r>
        <w:rPr>
          <w:rFonts w:ascii="Times New Roman" w:cs="Times New Roman" w:eastAsia="Times New Roman" w:hAnsi="Times New Roman"/>
          <w:sz w:val="15"/>
          <w:szCs w:val="15"/>
          <w:b w:val="1"/>
          <w:bCs w:val="1"/>
          <w:color w:val="auto"/>
        </w:rPr>
        <w:t>Ownership of Technology</w:t>
      </w:r>
      <w:r>
        <w:rPr>
          <w:rFonts w:ascii="Times New Roman" w:cs="Times New Roman" w:eastAsia="Times New Roman" w:hAnsi="Times New Roman"/>
          <w:sz w:val="15"/>
          <w:szCs w:val="15"/>
          <w:color w:val="auto"/>
        </w:rPr>
        <w:t>. As between the Parties, (a) XENCOR shall own all interest in and to all Know-How or Patent Rights Invented, generated or conceived solely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 on behalf of XENCOR or its Affiliates under this Agreement (“</w:t>
      </w:r>
      <w:r>
        <w:rPr>
          <w:rFonts w:ascii="Times New Roman" w:cs="Times New Roman" w:eastAsia="Times New Roman" w:hAnsi="Times New Roman"/>
          <w:sz w:val="15"/>
          <w:szCs w:val="15"/>
          <w:u w:val="single" w:color="auto"/>
          <w:color w:val="auto"/>
        </w:rPr>
        <w:t>XENCOR Invention</w:t>
      </w:r>
      <w:r>
        <w:rPr>
          <w:rFonts w:ascii="Times New Roman" w:cs="Times New Roman" w:eastAsia="Times New Roman" w:hAnsi="Times New Roman"/>
          <w:sz w:val="15"/>
          <w:szCs w:val="15"/>
          <w:color w:val="auto"/>
        </w:rPr>
        <w:t>”); (b) Licensee shall own all interest in and to all Know-How or Patent Rights Invented, generated or conceived solely by or on behalf of Licensee or its Affiliates under this Agreement (“</w:t>
      </w:r>
      <w:r>
        <w:rPr>
          <w:rFonts w:ascii="Times New Roman" w:cs="Times New Roman" w:eastAsia="Times New Roman" w:hAnsi="Times New Roman"/>
          <w:sz w:val="15"/>
          <w:szCs w:val="15"/>
          <w:u w:val="single" w:color="auto"/>
          <w:color w:val="auto"/>
        </w:rPr>
        <w:t>Licensee Invention</w:t>
      </w:r>
      <w:r>
        <w:rPr>
          <w:rFonts w:ascii="Times New Roman" w:cs="Times New Roman" w:eastAsia="Times New Roman" w:hAnsi="Times New Roman"/>
          <w:sz w:val="15"/>
          <w:szCs w:val="15"/>
          <w:color w:val="auto"/>
        </w:rPr>
        <w:t xml:space="preserve">”); and (c) the Parties shall jointly own all interest in and to all Joint Intellectual Property. Subject to the license grant to Licensee under </w:t>
      </w:r>
      <w:r>
        <w:rPr>
          <w:rFonts w:ascii="Times New Roman" w:cs="Times New Roman" w:eastAsia="Times New Roman" w:hAnsi="Times New Roman"/>
          <w:sz w:val="15"/>
          <w:szCs w:val="15"/>
          <w:u w:val="single" w:color="auto"/>
          <w:color w:val="auto"/>
        </w:rPr>
        <w:t>Section 2.1.1</w:t>
      </w:r>
      <w:r>
        <w:rPr>
          <w:rFonts w:ascii="Times New Roman" w:cs="Times New Roman" w:eastAsia="Times New Roman" w:hAnsi="Times New Roman"/>
          <w:sz w:val="15"/>
          <w:szCs w:val="15"/>
          <w:color w:val="auto"/>
        </w:rPr>
        <w:t>, both Parties may practice the Joint Intellectual Property jointly owned by the Parties for all purposes on a worldwide basis and to license such Joint Intellectual Property without consent of the other Party (where consent is required by Applicable Law, such consent is deemed hereby granted) and without a duty of accounting to the other Party.</w:t>
      </w:r>
    </w:p>
    <w:p>
      <w:pPr>
        <w:spacing w:after="0" w:line="152" w:lineRule="exact"/>
        <w:rPr>
          <w:sz w:val="20"/>
          <w:szCs w:val="20"/>
          <w:color w:val="auto"/>
        </w:rPr>
      </w:pPr>
    </w:p>
    <w:p>
      <w:pPr>
        <w:jc w:val="both"/>
        <w:ind w:left="1060" w:hanging="526"/>
        <w:spacing w:after="0" w:line="246" w:lineRule="auto"/>
        <w:tabs>
          <w:tab w:leader="none" w:pos="1040" w:val="left"/>
        </w:tabs>
        <w:rPr>
          <w:sz w:val="20"/>
          <w:szCs w:val="20"/>
          <w:color w:val="auto"/>
        </w:rPr>
      </w:pPr>
      <w:r>
        <w:rPr>
          <w:rFonts w:ascii="Times New Roman" w:cs="Times New Roman" w:eastAsia="Times New Roman" w:hAnsi="Times New Roman"/>
          <w:sz w:val="15"/>
          <w:szCs w:val="15"/>
          <w:color w:val="auto"/>
        </w:rPr>
        <w:t>11.2.2</w:t>
      </w:r>
      <w:r>
        <w:rPr>
          <w:sz w:val="20"/>
          <w:szCs w:val="20"/>
          <w:color w:val="auto"/>
        </w:rPr>
        <w:tab/>
      </w:r>
      <w:r>
        <w:rPr>
          <w:rFonts w:ascii="Times New Roman" w:cs="Times New Roman" w:eastAsia="Times New Roman" w:hAnsi="Times New Roman"/>
          <w:sz w:val="15"/>
          <w:szCs w:val="15"/>
          <w:b w:val="1"/>
          <w:bCs w:val="1"/>
          <w:color w:val="auto"/>
        </w:rPr>
        <w:t>Employee Assignment</w:t>
      </w:r>
      <w:r>
        <w:rPr>
          <w:rFonts w:ascii="Times New Roman" w:cs="Times New Roman" w:eastAsia="Times New Roman" w:hAnsi="Times New Roman"/>
          <w:sz w:val="15"/>
          <w:szCs w:val="15"/>
          <w:color w:val="auto"/>
        </w:rPr>
        <w:t>. To the extent permissible under Applicable Laws, each Party shall cause all of its and its Affiliates’ employees and contractors to, and shall use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Commercially Reasonable Efforts to procure that the employees and contractors of each of its sublicensees and subcontractors, conducting work on such Party’s behalf under this Agreement sign a contract that (a) compels prompt disclosure to such Party of all XENCOR Intellectual Property, Licensee Intellectual Property and Joint Intellectual Property (as applicable) discovered, developed, created, conceived, reduced to practice, or Invented by such employee or contractor during any performance under this Agreement free and clear of all Liens; (b) automatically assigns to such Party all right, title and interest in and to all such Intellectual Property (subject to customary exceptions for improvements to the pre-existing Intellectual Property or platform of the applicable sublicensee or subcontractor solely to the extent such improvements do not relate specifically to any Licensed Asset or Product), and requires the employee to execute all documents and take such other actions as may be necessary to effectuate such assignment; (c) obligates such Persons to similar obligations of confidentiality as those set forth in this Agreement; (d) sets out an invention and patent reward and remuneration policy that is legally sufficient under Applicable Laws; and (e) sets forth a waiver of pre-emption rights under any Applicable Law, including, but not limited to, Article 326 of the Contract Law of the People’s Republic of China to the effect that the employee shall confirm that he/she shall not have any right or claim on any XENCOR Intellectual Property, Licensee Intellectual Property or Joint Intellectual Property (as applicable) derived from his/her work, except for the reward and remuneration he/she is entitled to under the invention and patent reward and remuneration policy. Each of XENCOR and Licensee shall, and shall require each employee and contractor conducting work on its behalf under this Agreement to maintain records in sufficient detail and in a good scientific manner appropriate for patent purposes to properly reflect all work done for the greater of [***] or the time period required by Applicable Law.</w:t>
      </w:r>
    </w:p>
    <w:p>
      <w:pPr>
        <w:spacing w:after="0" w:line="3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07" w:name="page308"/>
    <w:bookmarkEnd w:id="307"/>
    <w:p>
      <w:pPr>
        <w:jc w:val="both"/>
        <w:ind w:left="1060" w:hanging="526"/>
        <w:spacing w:after="0" w:line="248" w:lineRule="auto"/>
        <w:tabs>
          <w:tab w:leader="none" w:pos="1040" w:val="left"/>
        </w:tabs>
        <w:rPr>
          <w:sz w:val="20"/>
          <w:szCs w:val="20"/>
          <w:color w:val="auto"/>
        </w:rPr>
      </w:pPr>
      <w:r>
        <w:rPr>
          <w:rFonts w:ascii="Times New Roman" w:cs="Times New Roman" w:eastAsia="Times New Roman" w:hAnsi="Times New Roman"/>
          <w:sz w:val="15"/>
          <w:szCs w:val="15"/>
          <w:color w:val="auto"/>
        </w:rPr>
        <w:t>11.2.3</w:t>
      </w:r>
      <w:r>
        <w:rPr>
          <w:sz w:val="20"/>
          <w:szCs w:val="20"/>
          <w:color w:val="auto"/>
        </w:rPr>
        <w:tab/>
      </w:r>
      <w:r>
        <w:rPr>
          <w:rFonts w:ascii="Times New Roman" w:cs="Times New Roman" w:eastAsia="Times New Roman" w:hAnsi="Times New Roman"/>
          <w:sz w:val="15"/>
          <w:szCs w:val="15"/>
          <w:b w:val="1"/>
          <w:bCs w:val="1"/>
          <w:color w:val="auto"/>
        </w:rPr>
        <w:t>Disclosures; Disputes Regarding Inventions</w:t>
      </w:r>
      <w:r>
        <w:rPr>
          <w:rFonts w:ascii="Times New Roman" w:cs="Times New Roman" w:eastAsia="Times New Roman" w:hAnsi="Times New Roman"/>
          <w:sz w:val="15"/>
          <w:szCs w:val="15"/>
          <w:color w:val="auto"/>
        </w:rPr>
        <w:t>. Each Party shall, before filing a new patent application (including provisionals and continuations-in-part) claiming 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invention Invented under this Agreement, promptly disclose such invention to the other Party and shall provide to the other Party with a copy of the proposed patent application at least [***] before filing such application or such shorter time as may be required to preserve Patent Rights, including the avoidance of a statutory bar or prior publication. If such other Party believes that the first Party’s proposed patent application discloses such other Party’s Confidential Information, such other Party shall so notify the first Party within such [***] after receipt thereof, and such first Party shall amend its proposed application to comply with the confidentiality provisions of this Agreement. If the Parties are in agreement as to the designation of the invention as a XENCOR Invention, Joint Intellectual Property or Licensee Invention, as applicable, they can continue with the prosecution and maintenance of such Patent Rights as set forth in </w:t>
      </w:r>
      <w:r>
        <w:rPr>
          <w:rFonts w:ascii="Times New Roman" w:cs="Times New Roman" w:eastAsia="Times New Roman" w:hAnsi="Times New Roman"/>
          <w:sz w:val="15"/>
          <w:szCs w:val="15"/>
          <w:u w:val="single" w:color="auto"/>
          <w:color w:val="auto"/>
        </w:rPr>
        <w:t>Section 11.3</w:t>
      </w:r>
      <w:r>
        <w:rPr>
          <w:rFonts w:ascii="Times New Roman" w:cs="Times New Roman" w:eastAsia="Times New Roman" w:hAnsi="Times New Roman"/>
          <w:sz w:val="15"/>
          <w:szCs w:val="15"/>
          <w:color w:val="auto"/>
        </w:rPr>
        <w:t xml:space="preserve">. If the Parties disagree as to whether an invention is a XENCOR Invention, Joint Intellectual Property or Licensee Invention, and are unable to reach agreement within [***] after commencing discussions, then the provisions of </w:t>
      </w:r>
      <w:r>
        <w:rPr>
          <w:rFonts w:ascii="Times New Roman" w:cs="Times New Roman" w:eastAsia="Times New Roman" w:hAnsi="Times New Roman"/>
          <w:sz w:val="15"/>
          <w:szCs w:val="15"/>
          <w:u w:val="single" w:color="auto"/>
          <w:color w:val="auto"/>
        </w:rPr>
        <w:t>Section 15.3</w:t>
      </w:r>
      <w:r>
        <w:rPr>
          <w:rFonts w:ascii="Times New Roman" w:cs="Times New Roman" w:eastAsia="Times New Roman" w:hAnsi="Times New Roman"/>
          <w:sz w:val="15"/>
          <w:szCs w:val="15"/>
          <w:color w:val="auto"/>
        </w:rPr>
        <w:t xml:space="preserve"> shall apply to such dispute without limiting either Party’s right to continue with filing such application.</w:t>
      </w:r>
    </w:p>
    <w:p>
      <w:pPr>
        <w:spacing w:after="0" w:line="15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11.3</w:t>
      </w:r>
      <w:r>
        <w:rPr>
          <w:sz w:val="20"/>
          <w:szCs w:val="20"/>
          <w:color w:val="auto"/>
        </w:rPr>
        <w:tab/>
      </w:r>
      <w:r>
        <w:rPr>
          <w:rFonts w:ascii="Times New Roman" w:cs="Times New Roman" w:eastAsia="Times New Roman" w:hAnsi="Times New Roman"/>
          <w:sz w:val="14"/>
          <w:szCs w:val="14"/>
          <w:b w:val="1"/>
          <w:bCs w:val="1"/>
          <w:color w:val="auto"/>
        </w:rPr>
        <w:t>Filing, Prosecution and Maintenance of Patent Rights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060" w:hanging="526"/>
        <w:spacing w:after="0" w:line="253" w:lineRule="auto"/>
        <w:tabs>
          <w:tab w:leader="none" w:pos="1040" w:val="left"/>
        </w:tabs>
        <w:rPr>
          <w:sz w:val="20"/>
          <w:szCs w:val="20"/>
          <w:color w:val="auto"/>
        </w:rPr>
      </w:pPr>
      <w:r>
        <w:rPr>
          <w:rFonts w:ascii="Times New Roman" w:cs="Times New Roman" w:eastAsia="Times New Roman" w:hAnsi="Times New Roman"/>
          <w:sz w:val="15"/>
          <w:szCs w:val="15"/>
          <w:color w:val="auto"/>
        </w:rPr>
        <w:t>11.3.1</w:t>
      </w:r>
      <w:r>
        <w:rPr>
          <w:sz w:val="20"/>
          <w:szCs w:val="20"/>
          <w:color w:val="auto"/>
        </w:rPr>
        <w:tab/>
      </w:r>
      <w:r>
        <w:rPr>
          <w:rFonts w:ascii="Times New Roman" w:cs="Times New Roman" w:eastAsia="Times New Roman" w:hAnsi="Times New Roman"/>
          <w:sz w:val="15"/>
          <w:szCs w:val="15"/>
          <w:b w:val="1"/>
          <w:bCs w:val="1"/>
          <w:color w:val="auto"/>
        </w:rPr>
        <w:t>XENCOR Intellectual Property</w:t>
      </w:r>
      <w:r>
        <w:rPr>
          <w:rFonts w:ascii="Times New Roman" w:cs="Times New Roman" w:eastAsia="Times New Roman" w:hAnsi="Times New Roman"/>
          <w:sz w:val="15"/>
          <w:szCs w:val="15"/>
          <w:color w:val="auto"/>
        </w:rPr>
        <w:t>. XENCOR shall have the sole right to, and shall be responsible for, the worldwide preparation, filing, prosecution and maintenance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XENCOR General Patent Rights [***], including by conducting reissues, reexaminations, interferences, and/or defending against post grant proceedings, such as </w:t>
      </w:r>
      <w:r>
        <w:rPr>
          <w:rFonts w:ascii="Times New Roman" w:cs="Times New Roman" w:eastAsia="Times New Roman" w:hAnsi="Times New Roman"/>
          <w:sz w:val="15"/>
          <w:szCs w:val="15"/>
          <w:i w:val="1"/>
          <w:iCs w:val="1"/>
          <w:color w:val="auto"/>
        </w:rPr>
        <w:t>inter partes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reviews </w:t>
      </w:r>
      <w:r>
        <w:rPr>
          <w:rFonts w:ascii="Times New Roman" w:cs="Times New Roman" w:eastAsia="Times New Roman" w:hAnsi="Times New Roman"/>
          <w:sz w:val="15"/>
          <w:szCs w:val="15"/>
          <w:color w:val="auto"/>
        </w:rPr>
        <w:t>and oppositions and other challenges to the validity or enforceability of such XENCOR General Patent Rights. XENCOR shall keep Licensee generally informed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the status of XENCOR General Patent Rights pursuant to </w:t>
      </w:r>
      <w:r>
        <w:rPr>
          <w:rFonts w:ascii="Times New Roman" w:cs="Times New Roman" w:eastAsia="Times New Roman" w:hAnsi="Times New Roman"/>
          <w:sz w:val="15"/>
          <w:szCs w:val="15"/>
          <w:u w:val="single" w:color="auto"/>
          <w:color w:val="auto"/>
        </w:rPr>
        <w:t>Section 11.1.2</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jc w:val="both"/>
        <w:ind w:left="1060" w:hanging="526"/>
        <w:spacing w:after="0" w:line="246" w:lineRule="auto"/>
        <w:tabs>
          <w:tab w:leader="none" w:pos="1040" w:val="left"/>
        </w:tabs>
        <w:rPr>
          <w:sz w:val="20"/>
          <w:szCs w:val="20"/>
          <w:color w:val="auto"/>
        </w:rPr>
      </w:pPr>
      <w:r>
        <w:rPr>
          <w:rFonts w:ascii="Times New Roman" w:cs="Times New Roman" w:eastAsia="Times New Roman" w:hAnsi="Times New Roman"/>
          <w:sz w:val="15"/>
          <w:szCs w:val="15"/>
          <w:color w:val="auto"/>
        </w:rPr>
        <w:t>11.3.2</w:t>
      </w:r>
      <w:r>
        <w:rPr>
          <w:sz w:val="20"/>
          <w:szCs w:val="20"/>
          <w:color w:val="auto"/>
        </w:rPr>
        <w:tab/>
      </w:r>
      <w:r>
        <w:rPr>
          <w:rFonts w:ascii="Times New Roman" w:cs="Times New Roman" w:eastAsia="Times New Roman" w:hAnsi="Times New Roman"/>
          <w:sz w:val="15"/>
          <w:szCs w:val="15"/>
          <w:b w:val="1"/>
          <w:bCs w:val="1"/>
          <w:color w:val="auto"/>
        </w:rPr>
        <w:t>Licensee Intellectual Property, XENCOR Product Specific Patent Rights, and Joint Patent Rights</w:t>
      </w:r>
      <w:r>
        <w:rPr>
          <w:rFonts w:ascii="Times New Roman" w:cs="Times New Roman" w:eastAsia="Times New Roman" w:hAnsi="Times New Roman"/>
          <w:sz w:val="15"/>
          <w:szCs w:val="15"/>
          <w:color w:val="auto"/>
        </w:rPr>
        <w:t>. As between XENCOR and Licensee, and subject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11.3.3</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Licensee shall be responsible for the worldwide preparation, filing, prosecution and maintenance of any Licensee Patent Rights, XENCOR Product Specific Patent Rights, and Joint Patent Rights (collectively, “</w:t>
      </w:r>
      <w:r>
        <w:rPr>
          <w:rFonts w:ascii="Times New Roman" w:cs="Times New Roman" w:eastAsia="Times New Roman" w:hAnsi="Times New Roman"/>
          <w:sz w:val="15"/>
          <w:szCs w:val="15"/>
          <w:u w:val="single" w:color="auto"/>
          <w:color w:val="auto"/>
        </w:rPr>
        <w:t>Licensee Controlled Patent Rights</w:t>
      </w:r>
      <w:r>
        <w:rPr>
          <w:rFonts w:ascii="Times New Roman" w:cs="Times New Roman" w:eastAsia="Times New Roman" w:hAnsi="Times New Roman"/>
          <w:sz w:val="15"/>
          <w:szCs w:val="15"/>
          <w:color w:val="auto"/>
        </w:rPr>
        <w:t xml:space="preserve">”). [***]. Licensee shall furnish XENCOR with copies of each material document relevant to such preparation, filing, prosecution and maintenance of all patent applications and issued patents included within the Licensee Controlled Patent Rights in the Licensed Territory at least [***] prior to filing such document or making any payment due thereunder to allow for review and comment by XENCOR and shall consider in good faith timely comments from XENCOR thereon and incorporate the same to the extent applicable;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comment provided by XENCOR within [***] of XENCOR’s receipt of the applicable document shall be considered “timely” for purposes of this sentence. Licensee shall furnish XENCOR with copies of all final filings and responses made to any patent authority in the Licensed Territory with respect to the Licensee Controlled Patent Rights in a timely manner following submission thereof. XENCOR shall, and shall cause all of its Affiliates, Sublicensees and subcontractors, conducting work on XENCOR’s behalf under this Agreement to, reasonably cooperate with Licensee in relation to Licensee’s preparation, filing and prosecution of the applicable Joint Patent Rights or XENCOR Product Specific Patent Rights, including by providing such information and data, and execute such documents, as reasonably requested by Licensee for such purposes. [***]. Licensee shall notify XENCOR of any decision to cease prosecution or maintenance of any Joint Patent Rights or XENCOR Product Specific Patent Rights for which it has such responsibility to prosecute or maintain in the Licensed Territory under this </w:t>
      </w:r>
      <w:r>
        <w:rPr>
          <w:rFonts w:ascii="Times New Roman" w:cs="Times New Roman" w:eastAsia="Times New Roman" w:hAnsi="Times New Roman"/>
          <w:sz w:val="15"/>
          <w:szCs w:val="15"/>
          <w:u w:val="single" w:color="auto"/>
          <w:color w:val="auto"/>
        </w:rPr>
        <w:t>Section 11.3.2</w:t>
      </w:r>
      <w:r>
        <w:rPr>
          <w:rFonts w:ascii="Times New Roman" w:cs="Times New Roman" w:eastAsia="Times New Roman" w:hAnsi="Times New Roman"/>
          <w:sz w:val="15"/>
          <w:szCs w:val="15"/>
          <w:color w:val="auto"/>
        </w:rPr>
        <w:t>. Licensee shall provide such notice at least [***] prior to any filing or payment due date, or any other due date that requires action to avoid abandonment, in connection with such Patent Rights in the Licensed Territory. In such event, XENCOR shall have the right, at its discretion and at its sole expense, to continue the prosecution or maintenance of such Patent Rights in the Licensed Territory, in the name of XENCOR and Licensee shall, and hereby does, assign to XENCOR Licensee’s entire right, title and interest in and to any such Patent Rights.</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08" w:name="page309"/>
    <w:bookmarkEnd w:id="308"/>
    <w:p>
      <w:pPr>
        <w:jc w:val="both"/>
        <w:ind w:left="1060" w:hanging="526"/>
        <w:spacing w:after="0" w:line="248" w:lineRule="auto"/>
        <w:tabs>
          <w:tab w:leader="none" w:pos="1040" w:val="left"/>
        </w:tabs>
        <w:rPr>
          <w:sz w:val="20"/>
          <w:szCs w:val="20"/>
          <w:color w:val="auto"/>
        </w:rPr>
      </w:pPr>
      <w:r>
        <w:rPr>
          <w:rFonts w:ascii="Times New Roman" w:cs="Times New Roman" w:eastAsia="Times New Roman" w:hAnsi="Times New Roman"/>
          <w:sz w:val="15"/>
          <w:szCs w:val="15"/>
          <w:color w:val="auto"/>
        </w:rPr>
        <w:t>11.3.3</w:t>
      </w:r>
      <w:r>
        <w:rPr>
          <w:sz w:val="20"/>
          <w:szCs w:val="20"/>
          <w:color w:val="auto"/>
        </w:rPr>
        <w:tab/>
      </w:r>
      <w:r>
        <w:rPr>
          <w:rFonts w:ascii="Times New Roman" w:cs="Times New Roman" w:eastAsia="Times New Roman" w:hAnsi="Times New Roman"/>
          <w:sz w:val="15"/>
          <w:szCs w:val="15"/>
          <w:b w:val="1"/>
          <w:bCs w:val="1"/>
          <w:color w:val="auto"/>
        </w:rPr>
        <w:t>Conflict Resolution with Respect to Certain XENCOR Product Specific Patent Rights</w:t>
      </w:r>
      <w:r>
        <w:rPr>
          <w:rFonts w:ascii="Times New Roman" w:cs="Times New Roman" w:eastAsia="Times New Roman" w:hAnsi="Times New Roman"/>
          <w:sz w:val="15"/>
          <w:szCs w:val="15"/>
          <w:color w:val="auto"/>
        </w:rPr>
        <w:t>. If XENCOR provides a detailed written explanation, within [***] from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receipt of Licensee’s draft submission for a XENCOR Product Specific Patent Right that claims priority to XENCOR General Patent Rights (other than those specifically directed to [***]), that XENCOR in good faith reasonably believes that certain prosecution statement made in such draft submission for such XENCOR Product Specific Patent Right would reasonably be expected to create prosecution estoppel with respect to any XENCOR General Patent Rights, then Parties shall discuss whether they can develop a mutually agreeable solution prior to Licensee’s submission of such statement. If the parties are unable to agree on such solution within [***] from the date that XENCOR informs Licensee of such concern, the issue will be escalated to the [***] of each of XENCOR and Licensee, or designated equivalents, as applicable, for resolution. [***] cannot reach a mutually agreeable solution, then XENCOR shall have the right to make the decision on whether and what documents should be filed after reasonably taking into account Licensee’s interest.</w:t>
      </w:r>
    </w:p>
    <w:p>
      <w:pPr>
        <w:spacing w:after="0" w:line="156"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11.3.4</w:t>
      </w:r>
      <w:r>
        <w:rPr>
          <w:sz w:val="20"/>
          <w:szCs w:val="20"/>
          <w:color w:val="auto"/>
        </w:rPr>
        <w:tab/>
      </w:r>
      <w:r>
        <w:rPr>
          <w:rFonts w:ascii="Times New Roman" w:cs="Times New Roman" w:eastAsia="Times New Roman" w:hAnsi="Times New Roman"/>
          <w:sz w:val="14"/>
          <w:szCs w:val="14"/>
          <w:b w:val="1"/>
          <w:bCs w:val="1"/>
          <w:color w:val="auto"/>
        </w:rPr>
        <w:t>Additional Filings</w:t>
      </w:r>
      <w:r>
        <w:rPr>
          <w:rFonts w:ascii="Times New Roman" w:cs="Times New Roman" w:eastAsia="Times New Roman" w:hAnsi="Times New Roman"/>
          <w:sz w:val="14"/>
          <w:szCs w:val="14"/>
          <w:color w:val="auto"/>
        </w:rPr>
        <w:t>. [***]</w:t>
      </w:r>
    </w:p>
    <w:p>
      <w:pPr>
        <w:spacing w:after="0" w:line="179"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11.3.5</w:t>
      </w:r>
      <w:r>
        <w:rPr>
          <w:sz w:val="20"/>
          <w:szCs w:val="20"/>
          <w:color w:val="auto"/>
        </w:rPr>
        <w:tab/>
      </w:r>
      <w:r>
        <w:rPr>
          <w:rFonts w:ascii="Times New Roman" w:cs="Times New Roman" w:eastAsia="Times New Roman" w:hAnsi="Times New Roman"/>
          <w:sz w:val="14"/>
          <w:szCs w:val="14"/>
          <w:b w:val="1"/>
          <w:bCs w:val="1"/>
          <w:color w:val="auto"/>
        </w:rPr>
        <w:t>Expenses</w:t>
      </w:r>
      <w:r>
        <w:rPr>
          <w:rFonts w:ascii="Times New Roman" w:cs="Times New Roman" w:eastAsia="Times New Roman" w:hAnsi="Times New Roman"/>
          <w:sz w:val="14"/>
          <w:szCs w:val="14"/>
          <w:color w:val="auto"/>
        </w:rPr>
        <w:t>. [***]</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11.4</w:t>
      </w:r>
      <w:r>
        <w:rPr>
          <w:sz w:val="20"/>
          <w:szCs w:val="20"/>
          <w:color w:val="auto"/>
        </w:rPr>
        <w:tab/>
      </w:r>
      <w:r>
        <w:rPr>
          <w:rFonts w:ascii="Times New Roman" w:cs="Times New Roman" w:eastAsia="Times New Roman" w:hAnsi="Times New Roman"/>
          <w:sz w:val="14"/>
          <w:szCs w:val="14"/>
          <w:b w:val="1"/>
          <w:bCs w:val="1"/>
          <w:color w:val="auto"/>
        </w:rPr>
        <w:t>Product Trademarks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060" w:hanging="526"/>
        <w:spacing w:after="0" w:line="253" w:lineRule="auto"/>
        <w:tabs>
          <w:tab w:leader="none" w:pos="1040" w:val="left"/>
        </w:tabs>
        <w:rPr>
          <w:sz w:val="20"/>
          <w:szCs w:val="20"/>
          <w:color w:val="auto"/>
        </w:rPr>
      </w:pPr>
      <w:r>
        <w:rPr>
          <w:rFonts w:ascii="Times New Roman" w:cs="Times New Roman" w:eastAsia="Times New Roman" w:hAnsi="Times New Roman"/>
          <w:sz w:val="15"/>
          <w:szCs w:val="15"/>
          <w:color w:val="auto"/>
        </w:rPr>
        <w:t>11.4.1</w:t>
      </w:r>
      <w:r>
        <w:rPr>
          <w:sz w:val="20"/>
          <w:szCs w:val="20"/>
          <w:color w:val="auto"/>
        </w:rPr>
        <w:tab/>
      </w:r>
      <w:r>
        <w:rPr>
          <w:rFonts w:ascii="Times New Roman" w:cs="Times New Roman" w:eastAsia="Times New Roman" w:hAnsi="Times New Roman"/>
          <w:sz w:val="15"/>
          <w:szCs w:val="15"/>
          <w:b w:val="1"/>
          <w:bCs w:val="1"/>
          <w:color w:val="auto"/>
        </w:rPr>
        <w:t>Product Trademarks</w:t>
      </w:r>
      <w:r>
        <w:rPr>
          <w:rFonts w:ascii="Times New Roman" w:cs="Times New Roman" w:eastAsia="Times New Roman" w:hAnsi="Times New Roman"/>
          <w:sz w:val="15"/>
          <w:szCs w:val="15"/>
          <w:color w:val="auto"/>
        </w:rPr>
        <w:t>. Licensee shall select a Trademark for use with respect to each Product in the Field in the Licensed Territory (each, a “</w:t>
      </w:r>
      <w:r>
        <w:rPr>
          <w:rFonts w:ascii="Times New Roman" w:cs="Times New Roman" w:eastAsia="Times New Roman" w:hAnsi="Times New Roman"/>
          <w:sz w:val="15"/>
          <w:szCs w:val="15"/>
          <w:u w:val="single" w:color="auto"/>
          <w:color w:val="auto"/>
        </w:rPr>
        <w:t>Product Trademark</w:t>
      </w:r>
      <w:r>
        <w:rPr>
          <w:rFonts w:ascii="Times New Roman" w:cs="Times New Roman" w:eastAsia="Times New Roman" w:hAnsi="Times New Roman"/>
          <w:sz w:val="15"/>
          <w:szCs w:val="15"/>
          <w:color w:val="auto"/>
        </w:rPr>
        <w:t>”). Licensee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shall be solely responsible, at Licensee’s sole cost and expense, for applying for, maintaining and owning the registrations for all Product Trademarks for use with respect to each Product in the Field in the Licensed Territory (including payment of all costs associated therewith), and all goodwill associated therewith will inure to the benefit of Licensee.</w:t>
      </w:r>
    </w:p>
    <w:p>
      <w:pPr>
        <w:spacing w:after="0" w:line="152" w:lineRule="exact"/>
        <w:rPr>
          <w:sz w:val="20"/>
          <w:szCs w:val="20"/>
          <w:color w:val="auto"/>
        </w:rPr>
      </w:pPr>
    </w:p>
    <w:p>
      <w:pPr>
        <w:jc w:val="both"/>
        <w:ind w:left="1060" w:hanging="526"/>
        <w:spacing w:after="0" w:line="250" w:lineRule="auto"/>
        <w:tabs>
          <w:tab w:leader="none" w:pos="1040" w:val="left"/>
        </w:tabs>
        <w:rPr>
          <w:sz w:val="20"/>
          <w:szCs w:val="20"/>
          <w:color w:val="auto"/>
        </w:rPr>
      </w:pPr>
      <w:r>
        <w:rPr>
          <w:rFonts w:ascii="Times New Roman" w:cs="Times New Roman" w:eastAsia="Times New Roman" w:hAnsi="Times New Roman"/>
          <w:sz w:val="15"/>
          <w:szCs w:val="15"/>
          <w:color w:val="auto"/>
        </w:rPr>
        <w:t>11.4.2</w:t>
      </w:r>
      <w:r>
        <w:rPr>
          <w:sz w:val="20"/>
          <w:szCs w:val="20"/>
          <w:color w:val="auto"/>
        </w:rPr>
        <w:tab/>
      </w:r>
      <w:r>
        <w:rPr>
          <w:rFonts w:ascii="Times New Roman" w:cs="Times New Roman" w:eastAsia="Times New Roman" w:hAnsi="Times New Roman"/>
          <w:sz w:val="15"/>
          <w:szCs w:val="15"/>
          <w:b w:val="1"/>
          <w:bCs w:val="1"/>
          <w:color w:val="auto"/>
        </w:rPr>
        <w:t>Trademark Usage</w:t>
      </w:r>
      <w:r>
        <w:rPr>
          <w:rFonts w:ascii="Times New Roman" w:cs="Times New Roman" w:eastAsia="Times New Roman" w:hAnsi="Times New Roman"/>
          <w:sz w:val="15"/>
          <w:szCs w:val="15"/>
          <w:color w:val="auto"/>
        </w:rPr>
        <w:t>. Unless otherwise agreed by the Parties, all packaging materials, labels and promotional materials relating to Products in the Field in the Licensed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Territory shall display the Product Trademark. Notwithstanding anything to the contrary herein, Licensee shall not use any XENCOR trademark, names, logos or housemark in connection with any promotional materials or the Products without XENCOR’s written consent. Without limiting the foregoing, Licensee will take no action that will interfere with or diminish XENCOR’s rights in its respective trademarks, names and logos, and if XENCOR reasonably believes that the use of any trademarks, names and logos by Licensee hereunder is interfering with or diminishing its rights, XENCOR shall notify Licensee thereof in writing and Licensee shall promptly cease use of such trademarks, names or logos in such manner.</w:t>
      </w: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09" w:name="page310"/>
    <w:bookmarkEnd w:id="309"/>
    <w:p>
      <w:pPr>
        <w:spacing w:after="0"/>
        <w:tabs>
          <w:tab w:leader="none" w:pos="520" w:val="left"/>
        </w:tabs>
        <w:rPr>
          <w:sz w:val="20"/>
          <w:szCs w:val="20"/>
          <w:color w:val="auto"/>
        </w:rPr>
      </w:pPr>
      <w:r>
        <w:rPr>
          <w:rFonts w:ascii="Times New Roman" w:cs="Times New Roman" w:eastAsia="Times New Roman" w:hAnsi="Times New Roman"/>
          <w:sz w:val="15"/>
          <w:szCs w:val="15"/>
          <w:color w:val="auto"/>
        </w:rPr>
        <w:t>11.5</w:t>
      </w:r>
      <w:r>
        <w:rPr>
          <w:sz w:val="20"/>
          <w:szCs w:val="20"/>
          <w:color w:val="auto"/>
        </w:rPr>
        <w:tab/>
      </w:r>
      <w:r>
        <w:rPr>
          <w:rFonts w:ascii="Times New Roman" w:cs="Times New Roman" w:eastAsia="Times New Roman" w:hAnsi="Times New Roman"/>
          <w:sz w:val="14"/>
          <w:szCs w:val="14"/>
          <w:b w:val="1"/>
          <w:bCs w:val="1"/>
          <w:color w:val="auto"/>
        </w:rPr>
        <w:t>Enforcement of Intellectual Property</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60" w:hanging="526"/>
        <w:spacing w:after="0" w:line="272" w:lineRule="auto"/>
        <w:tabs>
          <w:tab w:leader="none" w:pos="1040" w:val="left"/>
        </w:tabs>
        <w:rPr>
          <w:sz w:val="20"/>
          <w:szCs w:val="20"/>
          <w:color w:val="auto"/>
        </w:rPr>
      </w:pPr>
      <w:r>
        <w:rPr>
          <w:rFonts w:ascii="Times New Roman" w:cs="Times New Roman" w:eastAsia="Times New Roman" w:hAnsi="Times New Roman"/>
          <w:sz w:val="15"/>
          <w:szCs w:val="15"/>
          <w:color w:val="auto"/>
        </w:rPr>
        <w:t>11.5.1</w:t>
      </w:r>
      <w:r>
        <w:rPr>
          <w:sz w:val="20"/>
          <w:szCs w:val="20"/>
          <w:color w:val="auto"/>
        </w:rPr>
        <w:tab/>
      </w:r>
      <w:r>
        <w:rPr>
          <w:rFonts w:ascii="Times New Roman" w:cs="Times New Roman" w:eastAsia="Times New Roman" w:hAnsi="Times New Roman"/>
          <w:sz w:val="15"/>
          <w:szCs w:val="15"/>
          <w:b w:val="1"/>
          <w:bCs w:val="1"/>
          <w:color w:val="auto"/>
        </w:rPr>
        <w:t>Notice</w:t>
      </w:r>
      <w:r>
        <w:rPr>
          <w:rFonts w:ascii="Times New Roman" w:cs="Times New Roman" w:eastAsia="Times New Roman" w:hAnsi="Times New Roman"/>
          <w:sz w:val="15"/>
          <w:szCs w:val="15"/>
          <w:color w:val="auto"/>
        </w:rPr>
        <w:t>. Each Party shall promptly notify the other Party in the event of any actual, potential or suspected infringement or misappropriation of a Product Trademark,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XENCOR Product Specific Patent Rights, Licensee Patent Rights or Joint Patent Rights in the Licensed Territory by a Third Party (an “</w:t>
      </w:r>
      <w:r>
        <w:rPr>
          <w:rFonts w:ascii="Times New Roman" w:cs="Times New Roman" w:eastAsia="Times New Roman" w:hAnsi="Times New Roman"/>
          <w:sz w:val="15"/>
          <w:szCs w:val="15"/>
          <w:u w:val="single" w:color="auto"/>
          <w:color w:val="auto"/>
        </w:rPr>
        <w:t>Infringement</w:t>
      </w:r>
      <w:r>
        <w:rPr>
          <w:rFonts w:ascii="Times New Roman" w:cs="Times New Roman" w:eastAsia="Times New Roman" w:hAnsi="Times New Roman"/>
          <w:sz w:val="15"/>
          <w:szCs w:val="15"/>
          <w:color w:val="auto"/>
        </w:rPr>
        <w:t>”).</w:t>
      </w:r>
    </w:p>
    <w:p>
      <w:pPr>
        <w:spacing w:after="0" w:line="136"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11.5.2</w:t>
      </w:r>
      <w:r>
        <w:rPr>
          <w:sz w:val="20"/>
          <w:szCs w:val="20"/>
          <w:color w:val="auto"/>
        </w:rPr>
        <w:tab/>
      </w:r>
      <w:r>
        <w:rPr>
          <w:rFonts w:ascii="Times New Roman" w:cs="Times New Roman" w:eastAsia="Times New Roman" w:hAnsi="Times New Roman"/>
          <w:sz w:val="14"/>
          <w:szCs w:val="14"/>
          <w:b w:val="1"/>
          <w:bCs w:val="1"/>
          <w:color w:val="auto"/>
        </w:rPr>
        <w:t>Enforcement of XENCOR Product Specific Patent Rights, Licensee Patent Rights, and Joint Patent Rights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1600" w:hanging="537"/>
        <w:spacing w:after="0"/>
        <w:tabs>
          <w:tab w:leader="none" w:pos="1600"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between XENCOR and Licensee, [***].</w:t>
      </w:r>
    </w:p>
    <w:p>
      <w:pPr>
        <w:spacing w:after="0" w:line="179" w:lineRule="exact"/>
        <w:rPr>
          <w:rFonts w:ascii="Times New Roman" w:cs="Times New Roman" w:eastAsia="Times New Roman" w:hAnsi="Times New Roman"/>
          <w:sz w:val="15"/>
          <w:szCs w:val="15"/>
          <w:color w:val="auto"/>
        </w:rPr>
      </w:pPr>
    </w:p>
    <w:p>
      <w:pPr>
        <w:ind w:left="1600" w:right="20" w:hanging="537"/>
        <w:spacing w:after="0" w:line="269" w:lineRule="auto"/>
        <w:tabs>
          <w:tab w:leader="none" w:pos="1600"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recoveries resulting from an Infringement Remedy shall be allocated first to the costs and expenses of the Party taking such action, and second, to the costs and expenses (if any) of the other Party, with any remaining amounts (if any) to be allocated as follows: [***].</w:t>
      </w:r>
    </w:p>
    <w:p>
      <w:pPr>
        <w:spacing w:after="0" w:line="141" w:lineRule="exact"/>
        <w:rPr>
          <w:sz w:val="20"/>
          <w:szCs w:val="20"/>
          <w:color w:val="auto"/>
        </w:rPr>
      </w:pPr>
    </w:p>
    <w:p>
      <w:pPr>
        <w:jc w:val="both"/>
        <w:ind w:left="1060"/>
        <w:spacing w:after="0" w:line="257" w:lineRule="auto"/>
        <w:rPr>
          <w:sz w:val="20"/>
          <w:szCs w:val="20"/>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11.5.2(a)</w:t>
      </w:r>
      <w:r>
        <w:rPr>
          <w:rFonts w:ascii="Times New Roman" w:cs="Times New Roman" w:eastAsia="Times New Roman" w:hAnsi="Times New Roman"/>
          <w:sz w:val="15"/>
          <w:szCs w:val="15"/>
          <w:color w:val="auto"/>
        </w:rPr>
        <w:t xml:space="preserve">, the enforcing Party shall incur no liability to the non-enforcing Party as a consequence of any Infringement Remedy initiated or pursued pursuant to this </w:t>
      </w:r>
      <w:r>
        <w:rPr>
          <w:rFonts w:ascii="Times New Roman" w:cs="Times New Roman" w:eastAsia="Times New Roman" w:hAnsi="Times New Roman"/>
          <w:sz w:val="15"/>
          <w:szCs w:val="15"/>
          <w:u w:val="single" w:color="auto"/>
          <w:color w:val="auto"/>
        </w:rPr>
        <w:t>Section 11.5.2</w:t>
      </w:r>
      <w:r>
        <w:rPr>
          <w:rFonts w:ascii="Times New Roman" w:cs="Times New Roman" w:eastAsia="Times New Roman" w:hAnsi="Times New Roman"/>
          <w:sz w:val="15"/>
          <w:szCs w:val="15"/>
          <w:color w:val="auto"/>
        </w:rPr>
        <w:t>, or any unfavorable decision resulting therefrom, including any decision holding any XENCOR Product Specific Patent Right, Licensee Patent Right, or Joint Patent Right invalid or unenforceable.</w:t>
      </w:r>
    </w:p>
    <w:p>
      <w:pPr>
        <w:spacing w:after="0" w:line="147" w:lineRule="exact"/>
        <w:rPr>
          <w:sz w:val="20"/>
          <w:szCs w:val="20"/>
          <w:color w:val="auto"/>
        </w:rPr>
      </w:pPr>
    </w:p>
    <w:p>
      <w:pPr>
        <w:jc w:val="both"/>
        <w:ind w:left="1060" w:hanging="526"/>
        <w:spacing w:after="0" w:line="253" w:lineRule="auto"/>
        <w:tabs>
          <w:tab w:leader="none" w:pos="1040" w:val="left"/>
        </w:tabs>
        <w:rPr>
          <w:sz w:val="20"/>
          <w:szCs w:val="20"/>
          <w:color w:val="auto"/>
        </w:rPr>
      </w:pPr>
      <w:r>
        <w:rPr>
          <w:rFonts w:ascii="Times New Roman" w:cs="Times New Roman" w:eastAsia="Times New Roman" w:hAnsi="Times New Roman"/>
          <w:sz w:val="15"/>
          <w:szCs w:val="15"/>
          <w:color w:val="auto"/>
        </w:rPr>
        <w:t>11.5.3</w:t>
      </w:r>
      <w:r>
        <w:rPr>
          <w:sz w:val="20"/>
          <w:szCs w:val="20"/>
          <w:color w:val="auto"/>
        </w:rPr>
        <w:tab/>
      </w:r>
      <w:r>
        <w:rPr>
          <w:rFonts w:ascii="Times New Roman" w:cs="Times New Roman" w:eastAsia="Times New Roman" w:hAnsi="Times New Roman"/>
          <w:sz w:val="15"/>
          <w:szCs w:val="15"/>
          <w:b w:val="1"/>
          <w:bCs w:val="1"/>
          <w:color w:val="auto"/>
        </w:rPr>
        <w:t>Enforcement of XENCOR General Patent Rights</w:t>
      </w:r>
      <w:r>
        <w:rPr>
          <w:rFonts w:ascii="Times New Roman" w:cs="Times New Roman" w:eastAsia="Times New Roman" w:hAnsi="Times New Roman"/>
          <w:sz w:val="15"/>
          <w:szCs w:val="15"/>
          <w:color w:val="auto"/>
        </w:rPr>
        <w:t>. For clarity, without limiting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11.5.2</w:t>
      </w:r>
      <w:r>
        <w:rPr>
          <w:rFonts w:ascii="Times New Roman" w:cs="Times New Roman" w:eastAsia="Times New Roman" w:hAnsi="Times New Roman"/>
          <w:sz w:val="15"/>
          <w:szCs w:val="15"/>
          <w:color w:val="auto"/>
        </w:rPr>
        <w:t>, as between XENCOR and Licensee, XENCOR will have the sole right (but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 the obligation) to take any appropriate steps to enforce any XENCOR General Patent Rights against infringement by a Third Party. XENCOR may take steps including the initiation, prosecution and control of any suit, proceeding or other legal action by counsel of its own choice [***] as applicable. XENCOR shall keep Licensee reasonably informed of the status of such suit.</w:t>
      </w:r>
    </w:p>
    <w:p>
      <w:pPr>
        <w:spacing w:after="0" w:line="1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11.6</w:t>
      </w:r>
      <w:r>
        <w:rPr>
          <w:sz w:val="20"/>
          <w:szCs w:val="20"/>
          <w:color w:val="auto"/>
        </w:rPr>
        <w:tab/>
      </w:r>
      <w:r>
        <w:rPr>
          <w:rFonts w:ascii="Times New Roman" w:cs="Times New Roman" w:eastAsia="Times New Roman" w:hAnsi="Times New Roman"/>
          <w:sz w:val="14"/>
          <w:szCs w:val="14"/>
          <w:b w:val="1"/>
          <w:bCs w:val="1"/>
          <w:color w:val="auto"/>
        </w:rPr>
        <w:t>Third Party Claims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060" w:hanging="526"/>
        <w:spacing w:after="0" w:line="253" w:lineRule="auto"/>
        <w:tabs>
          <w:tab w:leader="none" w:pos="1040" w:val="left"/>
        </w:tabs>
        <w:rPr>
          <w:sz w:val="20"/>
          <w:szCs w:val="20"/>
          <w:color w:val="auto"/>
        </w:rPr>
      </w:pPr>
      <w:r>
        <w:rPr>
          <w:rFonts w:ascii="Times New Roman" w:cs="Times New Roman" w:eastAsia="Times New Roman" w:hAnsi="Times New Roman"/>
          <w:sz w:val="15"/>
          <w:szCs w:val="15"/>
          <w:color w:val="auto"/>
        </w:rPr>
        <w:t>11.6.1</w:t>
      </w:r>
      <w:r>
        <w:rPr>
          <w:sz w:val="20"/>
          <w:szCs w:val="20"/>
          <w:color w:val="auto"/>
        </w:rPr>
        <w:tab/>
      </w:r>
      <w:r>
        <w:rPr>
          <w:rFonts w:ascii="Times New Roman" w:cs="Times New Roman" w:eastAsia="Times New Roman" w:hAnsi="Times New Roman"/>
          <w:sz w:val="15"/>
          <w:szCs w:val="15"/>
          <w:b w:val="1"/>
          <w:bCs w:val="1"/>
          <w:color w:val="auto"/>
        </w:rPr>
        <w:t>Third Party Claims - Course of Action</w:t>
      </w:r>
      <w:r>
        <w:rPr>
          <w:rFonts w:ascii="Times New Roman" w:cs="Times New Roman" w:eastAsia="Times New Roman" w:hAnsi="Times New Roman"/>
          <w:sz w:val="15"/>
          <w:szCs w:val="15"/>
          <w:color w:val="auto"/>
        </w:rPr>
        <w:t>. If the Development, Commercialization or Manufacture of a Licensed Asset or a Product under this Agreement is alleged by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Third Party to infringe a Third Party’s Patent Right(s) or misappropriate a Third Party’s trade secret, the Party becoming aware of such allegation shall promptly notify the other Party thereof, in writing, reasonably detailing the claim, and shall attempt to negotiate in good faith a resolution with respect thereto. If the Parties cannot settle such claim with such Third Parties within [***] after the receipt of the notice pursuant to this </w:t>
      </w:r>
      <w:r>
        <w:rPr>
          <w:rFonts w:ascii="Times New Roman" w:cs="Times New Roman" w:eastAsia="Times New Roman" w:hAnsi="Times New Roman"/>
          <w:sz w:val="15"/>
          <w:szCs w:val="15"/>
          <w:u w:val="single" w:color="auto"/>
          <w:color w:val="auto"/>
        </w:rPr>
        <w:t>Section 11.6.1</w:t>
      </w:r>
      <w:r>
        <w:rPr>
          <w:rFonts w:ascii="Times New Roman" w:cs="Times New Roman" w:eastAsia="Times New Roman" w:hAnsi="Times New Roman"/>
          <w:sz w:val="15"/>
          <w:szCs w:val="15"/>
          <w:color w:val="auto"/>
        </w:rPr>
        <w:t>, then the following shall apply.</w:t>
      </w: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10" w:name="page311"/>
    <w:bookmarkEnd w:id="310"/>
    <w:p>
      <w:pPr>
        <w:jc w:val="both"/>
        <w:ind w:left="1060" w:hanging="526"/>
        <w:spacing w:after="0" w:line="272" w:lineRule="auto"/>
        <w:tabs>
          <w:tab w:leader="none" w:pos="1040" w:val="left"/>
        </w:tabs>
        <w:rPr>
          <w:sz w:val="20"/>
          <w:szCs w:val="20"/>
          <w:color w:val="auto"/>
        </w:rPr>
      </w:pPr>
      <w:r>
        <w:rPr>
          <w:rFonts w:ascii="Times New Roman" w:cs="Times New Roman" w:eastAsia="Times New Roman" w:hAnsi="Times New Roman"/>
          <w:sz w:val="15"/>
          <w:szCs w:val="15"/>
          <w:color w:val="auto"/>
        </w:rPr>
        <w:t>11.6.2</w:t>
      </w:r>
      <w:r>
        <w:rPr>
          <w:sz w:val="20"/>
          <w:szCs w:val="20"/>
          <w:color w:val="auto"/>
        </w:rPr>
        <w:tab/>
      </w:r>
      <w:r>
        <w:rPr>
          <w:rFonts w:ascii="Times New Roman" w:cs="Times New Roman" w:eastAsia="Times New Roman" w:hAnsi="Times New Roman"/>
          <w:sz w:val="15"/>
          <w:szCs w:val="15"/>
          <w:b w:val="1"/>
          <w:bCs w:val="1"/>
          <w:color w:val="auto"/>
        </w:rPr>
        <w:t>Third Party Suit</w:t>
      </w:r>
      <w:r>
        <w:rPr>
          <w:rFonts w:ascii="Times New Roman" w:cs="Times New Roman" w:eastAsia="Times New Roman" w:hAnsi="Times New Roman"/>
          <w:sz w:val="15"/>
          <w:szCs w:val="15"/>
          <w:color w:val="auto"/>
        </w:rPr>
        <w:t>. If a Third Party sues Licensee alleging that the Development, Manufacture or Commercialization of any Licensed Asset or any Product in the Field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Licensed Territory by Licensee or its Sublicensees infringes or misappropriates said Third Party’s Intellectual Property, then, as between the Parties, [***].</w:t>
      </w:r>
    </w:p>
    <w:p>
      <w:pPr>
        <w:spacing w:after="0" w:line="13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11.7</w:t>
      </w:r>
      <w:r>
        <w:rPr>
          <w:sz w:val="20"/>
          <w:szCs w:val="20"/>
          <w:color w:val="auto"/>
        </w:rPr>
        <w:tab/>
      </w:r>
      <w:r>
        <w:rPr>
          <w:rFonts w:ascii="Times New Roman" w:cs="Times New Roman" w:eastAsia="Times New Roman" w:hAnsi="Times New Roman"/>
          <w:sz w:val="14"/>
          <w:szCs w:val="14"/>
          <w:b w:val="1"/>
          <w:bCs w:val="1"/>
          <w:color w:val="auto"/>
        </w:rPr>
        <w:t>Third Party Patent Challenge</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060" w:hanging="526"/>
        <w:spacing w:after="0" w:line="258" w:lineRule="auto"/>
        <w:tabs>
          <w:tab w:leader="none" w:pos="1040" w:val="left"/>
        </w:tabs>
        <w:rPr>
          <w:sz w:val="20"/>
          <w:szCs w:val="20"/>
          <w:color w:val="auto"/>
        </w:rPr>
      </w:pPr>
      <w:r>
        <w:rPr>
          <w:rFonts w:ascii="Times New Roman" w:cs="Times New Roman" w:eastAsia="Times New Roman" w:hAnsi="Times New Roman"/>
          <w:sz w:val="15"/>
          <w:szCs w:val="15"/>
          <w:color w:val="auto"/>
        </w:rPr>
        <w:t>11.7.1</w:t>
      </w:r>
      <w:r>
        <w:rPr>
          <w:sz w:val="20"/>
          <w:szCs w:val="20"/>
          <w:color w:val="auto"/>
        </w:rPr>
        <w:tab/>
      </w:r>
      <w:r>
        <w:rPr>
          <w:rFonts w:ascii="Times New Roman" w:cs="Times New Roman" w:eastAsia="Times New Roman" w:hAnsi="Times New Roman"/>
          <w:sz w:val="15"/>
          <w:szCs w:val="15"/>
          <w:b w:val="1"/>
          <w:bCs w:val="1"/>
          <w:color w:val="auto"/>
        </w:rPr>
        <w:t>XENCOR General Patent Rights</w:t>
      </w:r>
      <w:r>
        <w:rPr>
          <w:rFonts w:ascii="Times New Roman" w:cs="Times New Roman" w:eastAsia="Times New Roman" w:hAnsi="Times New Roman"/>
          <w:sz w:val="15"/>
          <w:szCs w:val="15"/>
          <w:color w:val="auto"/>
        </w:rPr>
        <w:t>. XENCOR shall have the sole right (but not the obligation) to control the defense of (a) any challenge to the validity, scope,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enforceability of, or (b) a post-grant review proceeding by a Third Party against any XENCOR General Patent Rights, and to compromise, litigate, settle, or otherwise dispose of any such challenge.</w:t>
      </w:r>
    </w:p>
    <w:p>
      <w:pPr>
        <w:spacing w:after="0" w:line="147" w:lineRule="exact"/>
        <w:rPr>
          <w:sz w:val="20"/>
          <w:szCs w:val="20"/>
          <w:color w:val="auto"/>
        </w:rPr>
      </w:pPr>
    </w:p>
    <w:p>
      <w:pPr>
        <w:jc w:val="both"/>
        <w:ind w:left="1060" w:hanging="526"/>
        <w:spacing w:after="0" w:line="258" w:lineRule="auto"/>
        <w:tabs>
          <w:tab w:leader="none" w:pos="1040" w:val="left"/>
        </w:tabs>
        <w:rPr>
          <w:sz w:val="20"/>
          <w:szCs w:val="20"/>
          <w:color w:val="auto"/>
        </w:rPr>
      </w:pPr>
      <w:r>
        <w:rPr>
          <w:rFonts w:ascii="Times New Roman" w:cs="Times New Roman" w:eastAsia="Times New Roman" w:hAnsi="Times New Roman"/>
          <w:sz w:val="15"/>
          <w:szCs w:val="15"/>
          <w:color w:val="auto"/>
        </w:rPr>
        <w:t>11.7.2</w:t>
      </w:r>
      <w:r>
        <w:rPr>
          <w:sz w:val="20"/>
          <w:szCs w:val="20"/>
          <w:color w:val="auto"/>
        </w:rPr>
        <w:tab/>
      </w:r>
      <w:r>
        <w:rPr>
          <w:rFonts w:ascii="Times New Roman" w:cs="Times New Roman" w:eastAsia="Times New Roman" w:hAnsi="Times New Roman"/>
          <w:sz w:val="15"/>
          <w:szCs w:val="15"/>
          <w:b w:val="1"/>
          <w:bCs w:val="1"/>
          <w:color w:val="auto"/>
        </w:rPr>
        <w:t>XENCOR Product Specific Patent Rights, Licensee Patent Rights, and Joint Patent Rights</w:t>
      </w:r>
      <w:r>
        <w:rPr>
          <w:rFonts w:ascii="Times New Roman" w:cs="Times New Roman" w:eastAsia="Times New Roman" w:hAnsi="Times New Roman"/>
          <w:sz w:val="15"/>
          <w:szCs w:val="15"/>
          <w:color w:val="auto"/>
        </w:rPr>
        <w:t>. Each Party will promptly notify the other Party in writing of its becoming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aware of initiation by a Third Party of a challenge to the validity, scope, or enforceability of or a post-grant review proceeding against any Licensee Controlled Patent Right in the Licensed Territory (each, a “</w:t>
      </w:r>
      <w:r>
        <w:rPr>
          <w:rFonts w:ascii="Times New Roman" w:cs="Times New Roman" w:eastAsia="Times New Roman" w:hAnsi="Times New Roman"/>
          <w:sz w:val="15"/>
          <w:szCs w:val="15"/>
          <w:u w:val="single" w:color="auto"/>
          <w:color w:val="auto"/>
        </w:rPr>
        <w:t>Third Party Patent Challenge</w:t>
      </w:r>
      <w:r>
        <w:rPr>
          <w:rFonts w:ascii="Times New Roman" w:cs="Times New Roman" w:eastAsia="Times New Roman" w:hAnsi="Times New Roman"/>
          <w:sz w:val="15"/>
          <w:szCs w:val="15"/>
          <w:color w:val="auto"/>
        </w:rPr>
        <w:t>”). [***].</w:t>
      </w:r>
    </w:p>
    <w:p>
      <w:pPr>
        <w:spacing w:after="0" w:line="149" w:lineRule="exact"/>
        <w:rPr>
          <w:sz w:val="20"/>
          <w:szCs w:val="20"/>
          <w:color w:val="auto"/>
        </w:rPr>
      </w:pPr>
    </w:p>
    <w:p>
      <w:pPr>
        <w:jc w:val="both"/>
        <w:ind w:left="1060" w:hanging="526"/>
        <w:spacing w:after="0" w:line="267" w:lineRule="auto"/>
        <w:tabs>
          <w:tab w:leader="none" w:pos="1040" w:val="left"/>
        </w:tabs>
        <w:rPr>
          <w:sz w:val="20"/>
          <w:szCs w:val="20"/>
          <w:color w:val="auto"/>
        </w:rPr>
      </w:pPr>
      <w:r>
        <w:rPr>
          <w:rFonts w:ascii="Times New Roman" w:cs="Times New Roman" w:eastAsia="Times New Roman" w:hAnsi="Times New Roman"/>
          <w:sz w:val="15"/>
          <w:szCs w:val="15"/>
          <w:color w:val="auto"/>
        </w:rPr>
        <w:t>11.7.3</w:t>
      </w:r>
      <w:r>
        <w:rPr>
          <w:sz w:val="20"/>
          <w:szCs w:val="20"/>
          <w:color w:val="auto"/>
        </w:rPr>
        <w:tab/>
      </w:r>
      <w:r>
        <w:rPr>
          <w:rFonts w:ascii="Times New Roman" w:cs="Times New Roman" w:eastAsia="Times New Roman" w:hAnsi="Times New Roman"/>
          <w:sz w:val="14"/>
          <w:szCs w:val="14"/>
          <w:color w:val="auto"/>
        </w:rPr>
        <w:t>The Party defending the Third Party Patent Challenge will keep the other Party timely informed of the proceedings and filings, and provide the other Party with copies of all material communications, pertaining to each Third Party Patent Challenge. The Party defending the Third Party Patent Challenge will not settle, stipulate to any facts, or make any admission with respect to any Third Party Patent Challenge without the other Party’s prior written consent (not to be unreasonably withheld) if such settlement, stipulation, or admission would (i) adversely affect the validity, enforceability or scope, or admit infringement, of any Joint Patent Rights or Patent Rights of the other Party;</w:t>
      </w:r>
    </w:p>
    <w:p>
      <w:pPr>
        <w:spacing w:after="0" w:line="1" w:lineRule="exact"/>
        <w:rPr>
          <w:sz w:val="20"/>
          <w:szCs w:val="20"/>
          <w:color w:val="auto"/>
        </w:rPr>
      </w:pPr>
    </w:p>
    <w:p>
      <w:pPr>
        <w:jc w:val="both"/>
        <w:ind w:left="1060" w:firstLine="3"/>
        <w:spacing w:after="0" w:line="269" w:lineRule="auto"/>
        <w:tabs>
          <w:tab w:leader="none" w:pos="1281"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 rise to liability of the other Party or its Affiliates; (iii) grant to a Third Party a license or covenant not to sue under, or with respect to, Joint Patent Rights or Patent Rights of the other Party; or (iv) otherwise impair the other Party’s or any of its Affiliates’ rights in any Joint Patent Rights, Patent Rights of such other Party, or such other Party’s rights under this Agreement. Upon the defending Party’s request, the other Party will reasonably cooperate with the defending Party, to the extent necessary to defend the Third Party Patent Challenge. The enforcing Party shall bear all costs and expenses incurred by itself during the course of defending any Third Party Patent Challenge.</w:t>
      </w:r>
    </w:p>
    <w:p>
      <w:pPr>
        <w:spacing w:after="0" w:line="140" w:lineRule="exact"/>
        <w:rPr>
          <w:sz w:val="20"/>
          <w:szCs w:val="20"/>
          <w:color w:val="auto"/>
        </w:rPr>
      </w:pPr>
    </w:p>
    <w:p>
      <w:pPr>
        <w:jc w:val="both"/>
        <w:ind w:left="540" w:hanging="526"/>
        <w:spacing w:after="0" w:line="248" w:lineRule="auto"/>
        <w:tabs>
          <w:tab w:leader="none" w:pos="520" w:val="left"/>
        </w:tabs>
        <w:rPr>
          <w:sz w:val="20"/>
          <w:szCs w:val="20"/>
          <w:color w:val="auto"/>
        </w:rPr>
      </w:pPr>
      <w:r>
        <w:rPr>
          <w:rFonts w:ascii="Times New Roman" w:cs="Times New Roman" w:eastAsia="Times New Roman" w:hAnsi="Times New Roman"/>
          <w:sz w:val="15"/>
          <w:szCs w:val="15"/>
          <w:color w:val="auto"/>
        </w:rPr>
        <w:t>11.8</w:t>
      </w:r>
      <w:r>
        <w:rPr>
          <w:sz w:val="20"/>
          <w:szCs w:val="20"/>
          <w:color w:val="auto"/>
        </w:rPr>
        <w:tab/>
      </w:r>
      <w:r>
        <w:rPr>
          <w:rFonts w:ascii="Times New Roman" w:cs="Times New Roman" w:eastAsia="Times New Roman" w:hAnsi="Times New Roman"/>
          <w:sz w:val="15"/>
          <w:szCs w:val="15"/>
          <w:b w:val="1"/>
          <w:bCs w:val="1"/>
          <w:color w:val="auto"/>
        </w:rPr>
        <w:t>Patent Term Extensions</w:t>
      </w:r>
      <w:r>
        <w:rPr>
          <w:rFonts w:ascii="Times New Roman" w:cs="Times New Roman" w:eastAsia="Times New Roman" w:hAnsi="Times New Roman"/>
          <w:sz w:val="15"/>
          <w:szCs w:val="15"/>
          <w:color w:val="auto"/>
        </w:rPr>
        <w:t>. As between XENCOR and Licensee, (a) XENCOR shall have the exclusive right, but not the obligation, to seek, in Licensee’s name if so required, Patent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 Extensions (including any supplemental protection certificates and the like available under Applicable Law) in any country in relation to all XENCOR General Patent Rights; and (b) Licensee shall have the sole right, but not the obligation, to seek Patent Term Extensions (including any supplemental protection certificates and the like available under Applicable Law) in any country in relation to Licensee Controlled Patent Rights. Licensee and XENCOR shall cooperate in connection with all such activities relating to the Licensee Controlled Patent Rights, and if more than one of such Patent Rights is eligible for Patent Term Extension, the Parties shall discuss in good faith a strategy that shall maximize commercial value, and protection afforded under Patent Rights, for each Product. Licensee, its agents and attorneys will give due consideration to all suggestions and comments of XENCOR regarding any such activities, but in the event of a disagreement between the Parties with respect to which Licensee Controlled Patent Rights to extend, Licensee will have the final decision making authority.</w:t>
      </w:r>
    </w:p>
    <w:p>
      <w:pPr>
        <w:spacing w:after="0" w:line="3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11" w:name="page312"/>
    <w:bookmarkEnd w:id="311"/>
    <w:p>
      <w:pPr>
        <w:jc w:val="both"/>
        <w:ind w:left="54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11.9</w:t>
      </w:r>
      <w:r>
        <w:rPr>
          <w:sz w:val="20"/>
          <w:szCs w:val="20"/>
          <w:color w:val="auto"/>
        </w:rPr>
        <w:tab/>
      </w:r>
      <w:r>
        <w:rPr>
          <w:rFonts w:ascii="Times New Roman" w:cs="Times New Roman" w:eastAsia="Times New Roman" w:hAnsi="Times New Roman"/>
          <w:sz w:val="15"/>
          <w:szCs w:val="15"/>
          <w:b w:val="1"/>
          <w:bCs w:val="1"/>
          <w:color w:val="auto"/>
        </w:rPr>
        <w:t>Patent Marking</w:t>
      </w:r>
      <w:r>
        <w:rPr>
          <w:rFonts w:ascii="Times New Roman" w:cs="Times New Roman" w:eastAsia="Times New Roman" w:hAnsi="Times New Roman"/>
          <w:sz w:val="15"/>
          <w:szCs w:val="15"/>
          <w:color w:val="auto"/>
        </w:rPr>
        <w:t>. Licensee agrees to mark, and to cause its Affiliates and Sublicensees to mark, all Products (or their containers or labels) in accordance with, and to the extent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required by, Applicable Laws in the Licensed Territory.</w:t>
      </w:r>
    </w:p>
    <w:p>
      <w:pPr>
        <w:spacing w:after="0" w:line="136" w:lineRule="exact"/>
        <w:rPr>
          <w:sz w:val="20"/>
          <w:szCs w:val="20"/>
          <w:color w:val="auto"/>
        </w:rPr>
      </w:pPr>
    </w:p>
    <w:p>
      <w:pPr>
        <w:jc w:val="both"/>
        <w:ind w:left="540" w:hanging="526"/>
        <w:spacing w:after="0" w:line="248" w:lineRule="auto"/>
        <w:tabs>
          <w:tab w:leader="none" w:pos="520" w:val="left"/>
        </w:tabs>
        <w:rPr>
          <w:sz w:val="20"/>
          <w:szCs w:val="20"/>
          <w:color w:val="auto"/>
        </w:rPr>
      </w:pPr>
      <w:r>
        <w:rPr>
          <w:rFonts w:ascii="Times New Roman" w:cs="Times New Roman" w:eastAsia="Times New Roman" w:hAnsi="Times New Roman"/>
          <w:sz w:val="15"/>
          <w:szCs w:val="15"/>
          <w:color w:val="auto"/>
        </w:rPr>
        <w:t>11.10</w:t>
      </w:r>
      <w:r>
        <w:rPr>
          <w:sz w:val="20"/>
          <w:szCs w:val="20"/>
          <w:color w:val="auto"/>
        </w:rPr>
        <w:tab/>
      </w:r>
      <w:r>
        <w:rPr>
          <w:rFonts w:ascii="Times New Roman" w:cs="Times New Roman" w:eastAsia="Times New Roman" w:hAnsi="Times New Roman"/>
          <w:sz w:val="15"/>
          <w:szCs w:val="15"/>
          <w:b w:val="1"/>
          <w:bCs w:val="1"/>
          <w:color w:val="auto"/>
        </w:rPr>
        <w:t>Publication Strategy</w:t>
      </w:r>
      <w:r>
        <w:rPr>
          <w:rFonts w:ascii="Times New Roman" w:cs="Times New Roman" w:eastAsia="Times New Roman" w:hAnsi="Times New Roman"/>
          <w:sz w:val="15"/>
          <w:szCs w:val="15"/>
          <w:color w:val="auto"/>
        </w:rPr>
        <w:t>. If either Party, or any of their respective Affiliates or sublicensees (each, a “</w:t>
      </w:r>
      <w:r>
        <w:rPr>
          <w:rFonts w:ascii="Times New Roman" w:cs="Times New Roman" w:eastAsia="Times New Roman" w:hAnsi="Times New Roman"/>
          <w:sz w:val="15"/>
          <w:szCs w:val="15"/>
          <w:u w:val="single" w:color="auto"/>
          <w:color w:val="auto"/>
        </w:rPr>
        <w:t>Proposing Party</w:t>
      </w:r>
      <w:r>
        <w:rPr>
          <w:rFonts w:ascii="Times New Roman" w:cs="Times New Roman" w:eastAsia="Times New Roman" w:hAnsi="Times New Roman"/>
          <w:sz w:val="15"/>
          <w:szCs w:val="15"/>
          <w:color w:val="auto"/>
        </w:rPr>
        <w:t>”), proposes the publication, presentation or distribution of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scientific paper or presentation (i) with respect to any Product, or (ii) which otherwise may reasonably contain Know-How or other Intellectual Property of the other Party, then the Licensee (if the Proposing Party is XENCOR or its Affiliate or sublicensee) or XENCOR (if the Proposing Party is Licensee or its Affiliate or Sublicensee) shall be afforded the opportunity to review and approve such scientific paper or presentation and shall have no less than [***] to complete such review and approval (or such shorter period as may reasonably be required by applicable publication deadlines promptly communicated to the reviewing Party). The Proposing Party shall (a) not unreasonably reject comments furnished by the reviewing Party; (b) comply with the reviewing Party’s request to delete references to its Confidential Information in any such publication or presentation; and (c) delay publication for such reasonable period requested by the reviewing Party to permit the filing of patent applications concerning any XENCOR Intellectual Property, Licensee Intellectual Property or Joint Intellectual Property disclosed in material proposed for such publication or presentation. For the avoidance of doubt, in no event will Confidential Information of a Party be published without the written consent of such Party.</w:t>
      </w:r>
    </w:p>
    <w:p>
      <w:pPr>
        <w:spacing w:after="0" w:line="154" w:lineRule="exact"/>
        <w:rPr>
          <w:sz w:val="20"/>
          <w:szCs w:val="20"/>
          <w:color w:val="auto"/>
        </w:rPr>
      </w:pPr>
    </w:p>
    <w:p>
      <w:pPr>
        <w:jc w:val="both"/>
        <w:ind w:left="540" w:hanging="526"/>
        <w:spacing w:after="0" w:line="251" w:lineRule="auto"/>
        <w:tabs>
          <w:tab w:leader="none" w:pos="520" w:val="left"/>
        </w:tabs>
        <w:rPr>
          <w:sz w:val="20"/>
          <w:szCs w:val="20"/>
          <w:color w:val="auto"/>
        </w:rPr>
      </w:pPr>
      <w:r>
        <w:rPr>
          <w:rFonts w:ascii="Times New Roman" w:cs="Times New Roman" w:eastAsia="Times New Roman" w:hAnsi="Times New Roman"/>
          <w:sz w:val="15"/>
          <w:szCs w:val="15"/>
          <w:color w:val="auto"/>
        </w:rPr>
        <w:t>11.11</w:t>
      </w:r>
      <w:r>
        <w:rPr>
          <w:sz w:val="20"/>
          <w:szCs w:val="20"/>
          <w:color w:val="auto"/>
        </w:rPr>
        <w:tab/>
      </w:r>
      <w:r>
        <w:rPr>
          <w:rFonts w:ascii="Times New Roman" w:cs="Times New Roman" w:eastAsia="Times New Roman" w:hAnsi="Times New Roman"/>
          <w:sz w:val="15"/>
          <w:szCs w:val="15"/>
          <w:b w:val="1"/>
          <w:bCs w:val="1"/>
          <w:color w:val="auto"/>
        </w:rPr>
        <w:t>Privileged Communications</w:t>
      </w:r>
      <w:r>
        <w:rPr>
          <w:rFonts w:ascii="Times New Roman" w:cs="Times New Roman" w:eastAsia="Times New Roman" w:hAnsi="Times New Roman"/>
          <w:sz w:val="15"/>
          <w:szCs w:val="15"/>
          <w:color w:val="auto"/>
        </w:rPr>
        <w:t>. In furtherance of this Agreement, it is expected that the Parties shall, from time to time, disclose to one another privileged communications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counsel, including patent prosecution matters, opinions, memoranda, letters and other written, electronic and verbal communications. Such disclosures are made with the understanding that they shall remain confidential, they will not be deemed to waive any applicable attorney-client privilege and that they are made in connection with the shared community of legal interests existing between the Parties, including the community of legal interests in avoiding infringement of any valid, enforceable patents of Third Parties and maintaining the validity of the XENCOR Patent Rights, the Licensee Patent Rights and the Joint Patent Rights.</w:t>
      </w:r>
    </w:p>
    <w:p>
      <w:pPr>
        <w:spacing w:after="0" w:line="153" w:lineRule="exact"/>
        <w:rPr>
          <w:sz w:val="20"/>
          <w:szCs w:val="20"/>
          <w:color w:val="auto"/>
        </w:rPr>
      </w:pPr>
    </w:p>
    <w:p>
      <w:pPr>
        <w:jc w:val="both"/>
        <w:ind w:left="540" w:hanging="526"/>
        <w:spacing w:after="0" w:line="247" w:lineRule="auto"/>
        <w:tabs>
          <w:tab w:leader="none" w:pos="520" w:val="left"/>
        </w:tabs>
        <w:rPr>
          <w:sz w:val="20"/>
          <w:szCs w:val="20"/>
          <w:color w:val="auto"/>
        </w:rPr>
      </w:pPr>
      <w:r>
        <w:rPr>
          <w:rFonts w:ascii="Times New Roman" w:cs="Times New Roman" w:eastAsia="Times New Roman" w:hAnsi="Times New Roman"/>
          <w:sz w:val="15"/>
          <w:szCs w:val="15"/>
          <w:color w:val="auto"/>
        </w:rPr>
        <w:t>11.12</w:t>
      </w:r>
      <w:r>
        <w:rPr>
          <w:sz w:val="20"/>
          <w:szCs w:val="20"/>
          <w:color w:val="auto"/>
        </w:rPr>
        <w:tab/>
      </w:r>
      <w:r>
        <w:rPr>
          <w:rFonts w:ascii="Times New Roman" w:cs="Times New Roman" w:eastAsia="Times New Roman" w:hAnsi="Times New Roman"/>
          <w:sz w:val="15"/>
          <w:szCs w:val="15"/>
          <w:b w:val="1"/>
          <w:bCs w:val="1"/>
          <w:color w:val="auto"/>
        </w:rPr>
        <w:t>Registration and Submission of Agreement</w:t>
      </w:r>
      <w:r>
        <w:rPr>
          <w:rFonts w:ascii="Times New Roman" w:cs="Times New Roman" w:eastAsia="Times New Roman" w:hAnsi="Times New Roman"/>
          <w:sz w:val="15"/>
          <w:szCs w:val="15"/>
          <w:color w:val="auto"/>
        </w:rPr>
        <w:t>. Subject to the provisions herein and notwithstanding any provision to the contrary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9.1.3</w:t>
      </w:r>
      <w:r>
        <w:rPr>
          <w:rFonts w:ascii="Times New Roman" w:cs="Times New Roman" w:eastAsia="Times New Roman" w:hAnsi="Times New Roman"/>
          <w:sz w:val="15"/>
          <w:szCs w:val="15"/>
          <w:color w:val="auto"/>
        </w:rPr>
        <w:t>, to the extent legally permissible,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Licensee hereby agrees and covenants that Licensee shall not disclose, and will direct its Affiliates and representatives to not disclose, to any Government Authority in the Licensed Territory, including the Ministry of Science and Technology, the Ministry of Commerce (“</w:t>
      </w:r>
      <w:r>
        <w:rPr>
          <w:rFonts w:ascii="Times New Roman" w:cs="Times New Roman" w:eastAsia="Times New Roman" w:hAnsi="Times New Roman"/>
          <w:sz w:val="15"/>
          <w:szCs w:val="15"/>
          <w:u w:val="single" w:color="auto"/>
          <w:color w:val="auto"/>
        </w:rPr>
        <w:t>MOFCOM</w:t>
      </w:r>
      <w:r>
        <w:rPr>
          <w:rFonts w:ascii="Times New Roman" w:cs="Times New Roman" w:eastAsia="Times New Roman" w:hAnsi="Times New Roman"/>
          <w:sz w:val="15"/>
          <w:szCs w:val="15"/>
          <w:color w:val="auto"/>
        </w:rPr>
        <w:t>”), or the China National Intellectual Property Administration (“</w:t>
      </w:r>
      <w:r>
        <w:rPr>
          <w:rFonts w:ascii="Times New Roman" w:cs="Times New Roman" w:eastAsia="Times New Roman" w:hAnsi="Times New Roman"/>
          <w:sz w:val="15"/>
          <w:szCs w:val="15"/>
          <w:u w:val="single" w:color="auto"/>
          <w:color w:val="auto"/>
        </w:rPr>
        <w:t>CNIPA</w:t>
      </w:r>
      <w:r>
        <w:rPr>
          <w:rFonts w:ascii="Times New Roman" w:cs="Times New Roman" w:eastAsia="Times New Roman" w:hAnsi="Times New Roman"/>
          <w:sz w:val="15"/>
          <w:szCs w:val="15"/>
          <w:color w:val="auto"/>
        </w:rPr>
        <w:t>”) (or any agency or bureau thereof), (a) this Agreement or any portion of this Agreement or (b) any of the terms, conditions or other facts contained in this Agreement, in each instance without the prior written approval of XENCOR (such approval not to be unreasonably withheld). In the event that Licensee or Sublicensee is required, upon advice of counsel, to disclose this Agreement (or any portion of this Agreement) to MOFCOM or CNIPA under the Measures on the Administration of the Registration of Technology Import and Export Contracts adopted on February 1, 2009 by MOFCOM (or any other Applicable Law that requires disclosure to or recordation with a Government Authority in the Licensed Territory), Licensee shall, and shall cause its Sublicensees to, provide prior written notice to XENCOR of such disclosure requirement and cooperate in good faith to prepare and execute an abbreviated license agreement in form and substance reasonably acceptable to XENCOR, solely for purposes of such disclosure, with the understanding that the terms and conditions of this Agreement shall control in the event of any dispute regarding the interpretation, applicability or enforcement of the abbreviated license agreement, and submit such abbreviated license agreement.</w:t>
      </w:r>
    </w:p>
    <w:p>
      <w:pPr>
        <w:spacing w:after="0" w:line="3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12" w:name="page313"/>
    <w:bookmarkEnd w:id="312"/>
    <w:p>
      <w:pPr>
        <w:jc w:val="both"/>
        <w:ind w:left="540" w:hanging="526"/>
        <w:spacing w:after="0" w:line="267" w:lineRule="auto"/>
        <w:tabs>
          <w:tab w:leader="none" w:pos="520" w:val="left"/>
        </w:tabs>
        <w:rPr>
          <w:sz w:val="20"/>
          <w:szCs w:val="20"/>
          <w:color w:val="auto"/>
        </w:rPr>
      </w:pPr>
      <w:r>
        <w:rPr>
          <w:rFonts w:ascii="Times New Roman" w:cs="Times New Roman" w:eastAsia="Times New Roman" w:hAnsi="Times New Roman"/>
          <w:sz w:val="15"/>
          <w:szCs w:val="15"/>
          <w:color w:val="auto"/>
        </w:rPr>
        <w:t>11.13</w:t>
      </w:r>
      <w:r>
        <w:rPr>
          <w:sz w:val="20"/>
          <w:szCs w:val="20"/>
          <w:color w:val="auto"/>
        </w:rPr>
        <w:tab/>
      </w:r>
      <w:r>
        <w:rPr>
          <w:rFonts w:ascii="Times New Roman" w:cs="Times New Roman" w:eastAsia="Times New Roman" w:hAnsi="Times New Roman"/>
          <w:sz w:val="14"/>
          <w:szCs w:val="14"/>
          <w:b w:val="1"/>
          <w:bCs w:val="1"/>
          <w:color w:val="auto"/>
        </w:rPr>
        <w:t>Patent Challenge</w:t>
      </w:r>
      <w:r>
        <w:rPr>
          <w:rFonts w:ascii="Times New Roman" w:cs="Times New Roman" w:eastAsia="Times New Roman" w:hAnsi="Times New Roman"/>
          <w:sz w:val="14"/>
          <w:szCs w:val="14"/>
          <w:color w:val="auto"/>
        </w:rPr>
        <w:t>. Unless prohibited by Applicable Law, upon [***] prior written notice to Licensee, XENCOR may terminate this Agreement if Licensee or any of its Affiliates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Sublicensees, directly or indirectly, challenges the validity, patentability, enforceability of, files an invalidation action, reissue, reexamination, inter partes reexamination, post-grant review or opposition proceeding, or revocation proceeding or any similar action, or opposes any extension of, or the grant of a supplementary protection certificate with respect to any XENCOR Patent Rights (collectively, “</w:t>
      </w:r>
      <w:r>
        <w:rPr>
          <w:rFonts w:ascii="Times New Roman" w:cs="Times New Roman" w:eastAsia="Times New Roman" w:hAnsi="Times New Roman"/>
          <w:sz w:val="14"/>
          <w:szCs w:val="14"/>
          <w:u w:val="single" w:color="auto"/>
          <w:color w:val="auto"/>
        </w:rPr>
        <w:t>Patent Challenge</w:t>
      </w:r>
      <w:r>
        <w:rPr>
          <w:rFonts w:ascii="Times New Roman" w:cs="Times New Roman" w:eastAsia="Times New Roman" w:hAnsi="Times New Roman"/>
          <w:sz w:val="14"/>
          <w:szCs w:val="14"/>
          <w:color w:val="auto"/>
        </w:rPr>
        <w:t xml:space="preserve">”), and such act shall be deemed a material breach by Licensee for purposes of </w:t>
      </w:r>
      <w:r>
        <w:rPr>
          <w:rFonts w:ascii="Times New Roman" w:cs="Times New Roman" w:eastAsia="Times New Roman" w:hAnsi="Times New Roman"/>
          <w:sz w:val="14"/>
          <w:szCs w:val="14"/>
          <w:u w:val="single" w:color="auto"/>
          <w:color w:val="auto"/>
        </w:rPr>
        <w:t>Section 13.2.1</w:t>
      </w:r>
      <w:r>
        <w:rPr>
          <w:rFonts w:ascii="Times New Roman" w:cs="Times New Roman" w:eastAsia="Times New Roman" w:hAnsi="Times New Roman"/>
          <w:sz w:val="14"/>
          <w:szCs w:val="14"/>
          <w:color w:val="auto"/>
        </w:rPr>
        <w:t xml:space="preserve">. Notwithstanding the foregoing, XENCOR shall not have the right to terminate this Agreement in accordance with this </w:t>
      </w:r>
      <w:r>
        <w:rPr>
          <w:rFonts w:ascii="Times New Roman" w:cs="Times New Roman" w:eastAsia="Times New Roman" w:hAnsi="Times New Roman"/>
          <w:sz w:val="14"/>
          <w:szCs w:val="14"/>
          <w:u w:val="single" w:color="auto"/>
          <w:color w:val="auto"/>
        </w:rPr>
        <w:t>Section 11.13</w:t>
      </w:r>
      <w:r>
        <w:rPr>
          <w:rFonts w:ascii="Times New Roman" w:cs="Times New Roman" w:eastAsia="Times New Roman" w:hAnsi="Times New Roman"/>
          <w:sz w:val="14"/>
          <w:szCs w:val="14"/>
          <w:color w:val="auto"/>
        </w:rPr>
        <w:t xml:space="preserve"> if (a) Licensee or its Affiliate or Sublicensee is required by legal process to be joined as a party in any Patent Challenge by a Third Party; (b) the Patent Challenge was brought by Licensee or its Affiliates or Sublicensees in response to any claim or action brought in the first instance by, or on behalf of, XENCOR against Licensee or its Affiliates or Sublicensees; or (c) any Patent Challenge that is commenced by a Sublicensee of Licensee,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Licensee demands that such Sublicensee withdraw such Patent Challenge promptly after Licensee becomes aware of such Patent Challenge and terminates the sublicense agreement with the applicable Sublicensee if such Sublicensee does not withdraw such Patent Challenge within [***] after receipt of notice from Licensee.</w:t>
      </w:r>
    </w:p>
    <w:p>
      <w:pPr>
        <w:spacing w:after="0" w:line="146" w:lineRule="exact"/>
        <w:rPr>
          <w:sz w:val="20"/>
          <w:szCs w:val="20"/>
          <w:color w:val="auto"/>
        </w:rPr>
      </w:pPr>
    </w:p>
    <w:p>
      <w:pPr>
        <w:ind w:left="540" w:hanging="532"/>
        <w:spacing w:after="0"/>
        <w:tabs>
          <w:tab w:leader="none" w:pos="540" w:val="left"/>
        </w:tabs>
        <w:numPr>
          <w:ilvl w:val="0"/>
          <w:numId w:val="1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Government Approvals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left="540" w:hanging="526"/>
        <w:spacing w:after="0" w:line="253" w:lineRule="auto"/>
        <w:tabs>
          <w:tab w:leader="none" w:pos="520" w:val="left"/>
        </w:tabs>
        <w:rPr>
          <w:sz w:val="20"/>
          <w:szCs w:val="20"/>
          <w:color w:val="auto"/>
        </w:rPr>
      </w:pPr>
      <w:r>
        <w:rPr>
          <w:rFonts w:ascii="Times New Roman" w:cs="Times New Roman" w:eastAsia="Times New Roman" w:hAnsi="Times New Roman"/>
          <w:sz w:val="15"/>
          <w:szCs w:val="15"/>
          <w:color w:val="auto"/>
        </w:rPr>
        <w:t>12.1</w:t>
      </w:r>
      <w:r>
        <w:rPr>
          <w:sz w:val="20"/>
          <w:szCs w:val="20"/>
          <w:color w:val="auto"/>
        </w:rPr>
        <w:tab/>
      </w:r>
      <w:r>
        <w:rPr>
          <w:rFonts w:ascii="Times New Roman" w:cs="Times New Roman" w:eastAsia="Times New Roman" w:hAnsi="Times New Roman"/>
          <w:sz w:val="15"/>
          <w:szCs w:val="15"/>
          <w:b w:val="1"/>
          <w:bCs w:val="1"/>
          <w:color w:val="auto"/>
        </w:rPr>
        <w:t>XENCOR’s and Licensee’s Obligations</w:t>
      </w:r>
      <w:r>
        <w:rPr>
          <w:rFonts w:ascii="Times New Roman" w:cs="Times New Roman" w:eastAsia="Times New Roman" w:hAnsi="Times New Roman"/>
          <w:sz w:val="15"/>
          <w:szCs w:val="15"/>
          <w:color w:val="auto"/>
        </w:rPr>
        <w:t>. Each of XENCOR and Licensee shall use its good faith efforts to eliminate any concern on the part of any court or Government Authority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regarding the legality of the proposed transaction, including, if required by federal or state antitrust authorities, promptly taking all steps to secure government antitrust clearance, including cooperating in good faith with any government investigation including the prompt production of documents and information demanded by a second request for documents and of witnesses if requested.</w:t>
      </w:r>
    </w:p>
    <w:p>
      <w:pPr>
        <w:spacing w:after="0" w:line="152" w:lineRule="exact"/>
        <w:rPr>
          <w:sz w:val="20"/>
          <w:szCs w:val="20"/>
          <w:color w:val="auto"/>
        </w:rPr>
      </w:pPr>
    </w:p>
    <w:p>
      <w:pPr>
        <w:jc w:val="both"/>
        <w:ind w:left="54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12.2</w:t>
      </w:r>
      <w:r>
        <w:rPr>
          <w:sz w:val="20"/>
          <w:szCs w:val="20"/>
          <w:color w:val="auto"/>
        </w:rPr>
        <w:tab/>
      </w:r>
      <w:r>
        <w:rPr>
          <w:rFonts w:ascii="Times New Roman" w:cs="Times New Roman" w:eastAsia="Times New Roman" w:hAnsi="Times New Roman"/>
          <w:sz w:val="15"/>
          <w:szCs w:val="15"/>
          <w:b w:val="1"/>
          <w:bCs w:val="1"/>
          <w:color w:val="auto"/>
        </w:rPr>
        <w:t>Additional Approvals</w:t>
      </w:r>
      <w:r>
        <w:rPr>
          <w:rFonts w:ascii="Times New Roman" w:cs="Times New Roman" w:eastAsia="Times New Roman" w:hAnsi="Times New Roman"/>
          <w:sz w:val="15"/>
          <w:szCs w:val="15"/>
          <w:color w:val="auto"/>
        </w:rPr>
        <w:t>. Licensee and XENCOR shall cooperate and shall use Commercially Reasonable Efforts to make all other registrations, filings and applications, to give 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notices, to obtain as soon as practicable all governmental or other consents, transfers, approvals, orders, qualifications authorizations, permits and waivers, if any, and to do all other things necessary or desirable for the consummation of the transactions as contemplated hereby.</w:t>
      </w:r>
    </w:p>
    <w:p>
      <w:pPr>
        <w:spacing w:after="0" w:line="147" w:lineRule="exact"/>
        <w:rPr>
          <w:sz w:val="20"/>
          <w:szCs w:val="20"/>
          <w:color w:val="auto"/>
        </w:rPr>
      </w:pPr>
    </w:p>
    <w:p>
      <w:pPr>
        <w:ind w:left="540" w:hanging="532"/>
        <w:spacing w:after="0"/>
        <w:tabs>
          <w:tab w:leader="none" w:pos="540" w:val="left"/>
        </w:tabs>
        <w:numPr>
          <w:ilvl w:val="0"/>
          <w:numId w:val="1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Term and Termination</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13.1</w:t>
      </w:r>
      <w:r>
        <w:rPr>
          <w:sz w:val="20"/>
          <w:szCs w:val="20"/>
          <w:color w:val="auto"/>
        </w:rPr>
        <w:tab/>
      </w:r>
      <w:r>
        <w:rPr>
          <w:rFonts w:ascii="Times New Roman" w:cs="Times New Roman" w:eastAsia="Times New Roman" w:hAnsi="Times New Roman"/>
          <w:sz w:val="14"/>
          <w:szCs w:val="14"/>
          <w:b w:val="1"/>
          <w:bCs w:val="1"/>
          <w:color w:val="auto"/>
        </w:rPr>
        <w:t>License Term and Effectiveness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060" w:hanging="526"/>
        <w:spacing w:after="0" w:line="249" w:lineRule="auto"/>
        <w:tabs>
          <w:tab w:leader="none" w:pos="1040" w:val="left"/>
        </w:tabs>
        <w:rPr>
          <w:sz w:val="20"/>
          <w:szCs w:val="20"/>
          <w:color w:val="auto"/>
        </w:rPr>
      </w:pPr>
      <w:r>
        <w:rPr>
          <w:rFonts w:ascii="Times New Roman" w:cs="Times New Roman" w:eastAsia="Times New Roman" w:hAnsi="Times New Roman"/>
          <w:sz w:val="15"/>
          <w:szCs w:val="15"/>
          <w:color w:val="auto"/>
        </w:rPr>
        <w:t>13.1.1</w:t>
      </w:r>
      <w:r>
        <w:rPr>
          <w:sz w:val="20"/>
          <w:szCs w:val="20"/>
          <w:color w:val="auto"/>
        </w:rPr>
        <w:tab/>
      </w:r>
      <w:r>
        <w:rPr>
          <w:rFonts w:ascii="Times New Roman" w:cs="Times New Roman" w:eastAsia="Times New Roman" w:hAnsi="Times New Roman"/>
          <w:sz w:val="15"/>
          <w:szCs w:val="15"/>
          <w:b w:val="1"/>
          <w:bCs w:val="1"/>
          <w:color w:val="auto"/>
        </w:rPr>
        <w:t>License Term</w:t>
      </w:r>
      <w:r>
        <w:rPr>
          <w:rFonts w:ascii="Times New Roman" w:cs="Times New Roman" w:eastAsia="Times New Roman" w:hAnsi="Times New Roman"/>
          <w:sz w:val="15"/>
          <w:szCs w:val="15"/>
          <w:color w:val="auto"/>
        </w:rPr>
        <w:t>. This Agreement shall be effective as provided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13.1.2</w:t>
      </w:r>
      <w:r>
        <w:rPr>
          <w:rFonts w:ascii="Times New Roman" w:cs="Times New Roman" w:eastAsia="Times New Roman" w:hAnsi="Times New Roman"/>
          <w:sz w:val="15"/>
          <w:szCs w:val="15"/>
          <w:color w:val="auto"/>
        </w:rPr>
        <w:t>, and shall continue, on a Licensed Asset-by-Licensed Asset basis, until the expiration of 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Royalty Terms for all Products relating to such Licensed Asset in all Regions in the Licensed Territory (the “</w:t>
      </w:r>
      <w:r>
        <w:rPr>
          <w:rFonts w:ascii="Times New Roman" w:cs="Times New Roman" w:eastAsia="Times New Roman" w:hAnsi="Times New Roman"/>
          <w:sz w:val="15"/>
          <w:szCs w:val="15"/>
          <w:u w:val="single" w:color="auto"/>
          <w:color w:val="auto"/>
        </w:rPr>
        <w:t>License Term</w:t>
      </w:r>
      <w:r>
        <w:rPr>
          <w:rFonts w:ascii="Times New Roman" w:cs="Times New Roman" w:eastAsia="Times New Roman" w:hAnsi="Times New Roman"/>
          <w:sz w:val="15"/>
          <w:szCs w:val="15"/>
          <w:color w:val="auto"/>
        </w:rPr>
        <w:t xml:space="preserve">” for such Licensed Asset), or unless terminated earlier pursuant to this </w:t>
      </w:r>
      <w:r>
        <w:rPr>
          <w:rFonts w:ascii="Times New Roman" w:cs="Times New Roman" w:eastAsia="Times New Roman" w:hAnsi="Times New Roman"/>
          <w:sz w:val="15"/>
          <w:szCs w:val="15"/>
          <w:u w:val="single" w:color="auto"/>
          <w:color w:val="auto"/>
        </w:rPr>
        <w:t>Article 13</w:t>
      </w:r>
      <w:r>
        <w:rPr>
          <w:rFonts w:ascii="Times New Roman" w:cs="Times New Roman" w:eastAsia="Times New Roman" w:hAnsi="Times New Roman"/>
          <w:sz w:val="15"/>
          <w:szCs w:val="15"/>
          <w:color w:val="auto"/>
        </w:rPr>
        <w:t>. On a Region-by-Region basis and Product-by-Product basis, upon the natural expiration (i.e., not pursuant to any termination) of the Royalty Term for such Product in such Region, the licenses granted to Licensee under this Agreement with respect to such Product in such Region shall become fully paid-up, perpetual, irrevocable, non-exclusive, and fully sublicenseable in multiple tiers. For clarify, any Product manufactured in a Region where the Royalty Term has expired but sold in a Region where the Royalty Term still persists will still be subject to royalty payment in such latter Region for the remainder of the Royalty Term in such latter Region.</w:t>
      </w: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13" w:name="page314"/>
    <w:bookmarkEnd w:id="313"/>
    <w:p>
      <w:pPr>
        <w:jc w:val="both"/>
        <w:ind w:left="1060" w:hanging="526"/>
        <w:spacing w:after="0" w:line="258" w:lineRule="auto"/>
        <w:tabs>
          <w:tab w:leader="none" w:pos="1040" w:val="left"/>
        </w:tabs>
        <w:rPr>
          <w:sz w:val="20"/>
          <w:szCs w:val="20"/>
          <w:color w:val="auto"/>
        </w:rPr>
      </w:pPr>
      <w:r>
        <w:rPr>
          <w:rFonts w:ascii="Times New Roman" w:cs="Times New Roman" w:eastAsia="Times New Roman" w:hAnsi="Times New Roman"/>
          <w:sz w:val="15"/>
          <w:szCs w:val="15"/>
          <w:color w:val="auto"/>
        </w:rPr>
        <w:t>13.1.2</w:t>
      </w:r>
      <w:r>
        <w:rPr>
          <w:sz w:val="20"/>
          <w:szCs w:val="20"/>
          <w:color w:val="auto"/>
        </w:rPr>
        <w:tab/>
      </w:r>
      <w:r>
        <w:rPr>
          <w:rFonts w:ascii="Times New Roman" w:cs="Times New Roman" w:eastAsia="Times New Roman" w:hAnsi="Times New Roman"/>
          <w:sz w:val="15"/>
          <w:szCs w:val="15"/>
          <w:b w:val="1"/>
          <w:bCs w:val="1"/>
          <w:color w:val="auto"/>
        </w:rPr>
        <w:t>Effectiveness</w:t>
      </w:r>
      <w:r>
        <w:rPr>
          <w:rFonts w:ascii="Times New Roman" w:cs="Times New Roman" w:eastAsia="Times New Roman" w:hAnsi="Times New Roman"/>
          <w:sz w:val="15"/>
          <w:szCs w:val="15"/>
          <w:color w:val="auto"/>
        </w:rPr>
        <w:t>. This Agreement shall be automatically deemed effective on the date when the following conditions are satisfied or waived in writing by XENCOR (such date,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w:t>
      </w:r>
      <w:r>
        <w:rPr>
          <w:rFonts w:ascii="Times New Roman" w:cs="Times New Roman" w:eastAsia="Times New Roman" w:hAnsi="Times New Roman"/>
          <w:sz w:val="15"/>
          <w:szCs w:val="15"/>
          <w:u w:val="single" w:color="auto"/>
          <w:color w:val="auto"/>
        </w:rPr>
        <w:t>Effective Date</w:t>
      </w:r>
      <w:r>
        <w:rPr>
          <w:rFonts w:ascii="Times New Roman" w:cs="Times New Roman" w:eastAsia="Times New Roman" w:hAnsi="Times New Roman"/>
          <w:sz w:val="15"/>
          <w:szCs w:val="15"/>
          <w:color w:val="auto"/>
        </w:rPr>
        <w:t xml:space="preserve">”), with the exception that </w:t>
      </w:r>
      <w:r>
        <w:rPr>
          <w:rFonts w:ascii="Times New Roman" w:cs="Times New Roman" w:eastAsia="Times New Roman" w:hAnsi="Times New Roman"/>
          <w:sz w:val="15"/>
          <w:szCs w:val="15"/>
          <w:u w:val="single" w:color="auto"/>
          <w:color w:val="auto"/>
        </w:rPr>
        <w:t>Article 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9.1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Article 12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11.3.3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11.3.4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11.3.5</w:t>
      </w:r>
      <w:r>
        <w:rPr>
          <w:rFonts w:ascii="Times New Roman" w:cs="Times New Roman" w:eastAsia="Times New Roman" w:hAnsi="Times New Roman"/>
          <w:sz w:val="15"/>
          <w:szCs w:val="15"/>
          <w:color w:val="auto"/>
        </w:rPr>
        <w:t xml:space="preserve">, this </w:t>
      </w:r>
      <w:r>
        <w:rPr>
          <w:rFonts w:ascii="Times New Roman" w:cs="Times New Roman" w:eastAsia="Times New Roman" w:hAnsi="Times New Roman"/>
          <w:sz w:val="15"/>
          <w:szCs w:val="15"/>
          <w:u w:val="single" w:color="auto"/>
          <w:color w:val="auto"/>
        </w:rPr>
        <w:t>Section 13.1.2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13.1.3</w:t>
      </w:r>
      <w:r>
        <w:rPr>
          <w:rFonts w:ascii="Times New Roman" w:cs="Times New Roman" w:eastAsia="Times New Roman" w:hAnsi="Times New Roman"/>
          <w:sz w:val="15"/>
          <w:szCs w:val="15"/>
          <w:color w:val="auto"/>
        </w:rPr>
        <w:t xml:space="preserve"> will be effective as of the Execution Date:</w:t>
      </w:r>
    </w:p>
    <w:p>
      <w:pPr>
        <w:spacing w:after="0" w:line="149" w:lineRule="exact"/>
        <w:rPr>
          <w:sz w:val="20"/>
          <w:szCs w:val="20"/>
          <w:color w:val="auto"/>
        </w:rPr>
      </w:pPr>
    </w:p>
    <w:p>
      <w:pPr>
        <w:ind w:left="1600" w:hanging="537"/>
        <w:spacing w:after="0" w:line="269" w:lineRule="auto"/>
        <w:tabs>
          <w:tab w:leader="none" w:pos="1600"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consummation (the “</w:t>
      </w:r>
      <w:r>
        <w:rPr>
          <w:rFonts w:ascii="Times New Roman" w:cs="Times New Roman" w:eastAsia="Times New Roman" w:hAnsi="Times New Roman"/>
          <w:sz w:val="15"/>
          <w:szCs w:val="15"/>
          <w:u w:val="single" w:color="auto"/>
          <w:color w:val="auto"/>
        </w:rPr>
        <w:t>Financing Closing</w:t>
      </w:r>
      <w:r>
        <w:rPr>
          <w:rFonts w:ascii="Times New Roman" w:cs="Times New Roman" w:eastAsia="Times New Roman" w:hAnsi="Times New Roman"/>
          <w:sz w:val="15"/>
          <w:szCs w:val="15"/>
          <w:color w:val="auto"/>
        </w:rPr>
        <w:t>”) by Licensee of an equity financing transaction consummated following the date hereof pursuant to which Licensee has raised equity financing from one or more investors (the “</w:t>
      </w:r>
      <w:r>
        <w:rPr>
          <w:rFonts w:ascii="Times New Roman" w:cs="Times New Roman" w:eastAsia="Times New Roman" w:hAnsi="Times New Roman"/>
          <w:sz w:val="15"/>
          <w:szCs w:val="15"/>
          <w:u w:val="single" w:color="auto"/>
          <w:color w:val="auto"/>
        </w:rPr>
        <w:t>Investors</w:t>
      </w:r>
      <w:r>
        <w:rPr>
          <w:rFonts w:ascii="Times New Roman" w:cs="Times New Roman" w:eastAsia="Times New Roman" w:hAnsi="Times New Roman"/>
          <w:sz w:val="15"/>
          <w:szCs w:val="15"/>
          <w:color w:val="auto"/>
        </w:rPr>
        <w:t>”) equaling an aggregate gross amount of [***] or more (the “</w:t>
      </w:r>
      <w:r>
        <w:rPr>
          <w:rFonts w:ascii="Times New Roman" w:cs="Times New Roman" w:eastAsia="Times New Roman" w:hAnsi="Times New Roman"/>
          <w:sz w:val="15"/>
          <w:szCs w:val="15"/>
          <w:u w:val="single" w:color="auto"/>
          <w:color w:val="auto"/>
        </w:rPr>
        <w:t>Financing</w:t>
      </w:r>
      <w:r>
        <w:rPr>
          <w:rFonts w:ascii="Times New Roman" w:cs="Times New Roman" w:eastAsia="Times New Roman" w:hAnsi="Times New Roman"/>
          <w:sz w:val="15"/>
          <w:szCs w:val="15"/>
          <w:color w:val="auto"/>
        </w:rPr>
        <w:t>”); and</w:t>
      </w:r>
    </w:p>
    <w:p>
      <w:pPr>
        <w:spacing w:after="0" w:line="140" w:lineRule="exact"/>
        <w:rPr>
          <w:rFonts w:ascii="Times New Roman" w:cs="Times New Roman" w:eastAsia="Times New Roman" w:hAnsi="Times New Roman"/>
          <w:sz w:val="15"/>
          <w:szCs w:val="15"/>
          <w:color w:val="auto"/>
        </w:rPr>
      </w:pPr>
    </w:p>
    <w:p>
      <w:pPr>
        <w:jc w:val="both"/>
        <w:ind w:left="1600" w:hanging="537"/>
        <w:spacing w:after="0" w:line="248" w:lineRule="auto"/>
        <w:tabs>
          <w:tab w:leader="none" w:pos="1600"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by Licensee to XENCOR of fully paid and non-assessable shares of the same class and series of equity securities originally issued or issuable to the Investors in connection with the Financing (the “</w:t>
      </w:r>
      <w:r>
        <w:rPr>
          <w:rFonts w:ascii="Times New Roman" w:cs="Times New Roman" w:eastAsia="Times New Roman" w:hAnsi="Times New Roman"/>
          <w:sz w:val="15"/>
          <w:szCs w:val="15"/>
          <w:u w:val="single" w:color="auto"/>
          <w:color w:val="auto"/>
        </w:rPr>
        <w:t>Financing Securities</w:t>
      </w:r>
      <w:r>
        <w:rPr>
          <w:rFonts w:ascii="Times New Roman" w:cs="Times New Roman" w:eastAsia="Times New Roman" w:hAnsi="Times New Roman"/>
          <w:sz w:val="15"/>
          <w:szCs w:val="15"/>
          <w:color w:val="auto"/>
        </w:rPr>
        <w:t>”), which shares shall represent fifteen percent (15%) of the Fully Diluted Capitalization (as defined below) of Licensee (calculated on an as-converted basis) (the “</w:t>
      </w:r>
      <w:r>
        <w:rPr>
          <w:rFonts w:ascii="Times New Roman" w:cs="Times New Roman" w:eastAsia="Times New Roman" w:hAnsi="Times New Roman"/>
          <w:sz w:val="15"/>
          <w:szCs w:val="15"/>
          <w:u w:val="single" w:color="auto"/>
          <w:color w:val="auto"/>
        </w:rPr>
        <w:t>Equity Consideration</w:t>
      </w:r>
      <w:r>
        <w:rPr>
          <w:rFonts w:ascii="Times New Roman" w:cs="Times New Roman" w:eastAsia="Times New Roman" w:hAnsi="Times New Roman"/>
          <w:sz w:val="15"/>
          <w:szCs w:val="15"/>
          <w:color w:val="auto"/>
        </w:rPr>
        <w:t>”). For purposes hereof, “</w:t>
      </w:r>
      <w:r>
        <w:rPr>
          <w:rFonts w:ascii="Times New Roman" w:cs="Times New Roman" w:eastAsia="Times New Roman" w:hAnsi="Times New Roman"/>
          <w:sz w:val="15"/>
          <w:szCs w:val="15"/>
          <w:u w:val="single" w:color="auto"/>
          <w:color w:val="auto"/>
        </w:rPr>
        <w:t>Fully Diluted Capitalization</w:t>
      </w:r>
      <w:r>
        <w:rPr>
          <w:rFonts w:ascii="Times New Roman" w:cs="Times New Roman" w:eastAsia="Times New Roman" w:hAnsi="Times New Roman"/>
          <w:sz w:val="15"/>
          <w:szCs w:val="15"/>
          <w:color w:val="auto"/>
        </w:rPr>
        <w:t>” means all shares of common stock of Licensee that are (i) issued and outstanding, (ii) issuable upon the exercise and/or conversion of any outstanding options, warrants or other derivative securities and shares reserved for issuance and available for grant or to be reserved for issuance and available for grant at or prior to the final closing of the Financing under any equity incentive plan or similar plan of Licensee, and (iii) assuming the issuance of all Financing Securities to the Investors in connection with the Financing.</w:t>
      </w:r>
    </w:p>
    <w:p>
      <w:pPr>
        <w:spacing w:after="0" w:line="157" w:lineRule="exact"/>
        <w:rPr>
          <w:sz w:val="20"/>
          <w:szCs w:val="20"/>
          <w:color w:val="auto"/>
        </w:rPr>
      </w:pPr>
    </w:p>
    <w:p>
      <w:pPr>
        <w:jc w:val="both"/>
        <w:ind w:left="1060" w:hanging="526"/>
        <w:spacing w:after="0" w:line="258" w:lineRule="auto"/>
        <w:tabs>
          <w:tab w:leader="none" w:pos="1040" w:val="left"/>
        </w:tabs>
        <w:rPr>
          <w:sz w:val="20"/>
          <w:szCs w:val="20"/>
          <w:color w:val="auto"/>
        </w:rPr>
      </w:pPr>
      <w:r>
        <w:rPr>
          <w:rFonts w:ascii="Times New Roman" w:cs="Times New Roman" w:eastAsia="Times New Roman" w:hAnsi="Times New Roman"/>
          <w:sz w:val="15"/>
          <w:szCs w:val="15"/>
          <w:color w:val="auto"/>
        </w:rPr>
        <w:t>13.1.3</w:t>
      </w:r>
      <w:r>
        <w:rPr>
          <w:sz w:val="20"/>
          <w:szCs w:val="20"/>
          <w:color w:val="auto"/>
        </w:rPr>
        <w:tab/>
      </w:r>
      <w:r>
        <w:rPr>
          <w:rFonts w:ascii="Times New Roman" w:cs="Times New Roman" w:eastAsia="Times New Roman" w:hAnsi="Times New Roman"/>
          <w:sz w:val="15"/>
          <w:szCs w:val="15"/>
          <w:b w:val="1"/>
          <w:bCs w:val="1"/>
          <w:color w:val="auto"/>
        </w:rPr>
        <w:t>Record of Effectiveness</w:t>
      </w:r>
      <w:r>
        <w:rPr>
          <w:rFonts w:ascii="Times New Roman" w:cs="Times New Roman" w:eastAsia="Times New Roman" w:hAnsi="Times New Roman"/>
          <w:sz w:val="15"/>
          <w:szCs w:val="15"/>
          <w:color w:val="auto"/>
        </w:rPr>
        <w:t>. To record the occurrence of the Effective Date, upon satisfaction or waiver of the conditions above, the Parties shall date (with the Effective Date)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and execute the “Conditions for Effectiveness” form as set forth in </w:t>
      </w:r>
      <w:r>
        <w:rPr>
          <w:rFonts w:ascii="Times New Roman" w:cs="Times New Roman" w:eastAsia="Times New Roman" w:hAnsi="Times New Roman"/>
          <w:sz w:val="15"/>
          <w:szCs w:val="15"/>
          <w:u w:val="single" w:color="auto"/>
          <w:color w:val="auto"/>
        </w:rPr>
        <w:t>Schedule 13.1.3</w:t>
      </w:r>
      <w:r>
        <w:rPr>
          <w:rFonts w:ascii="Times New Roman" w:cs="Times New Roman" w:eastAsia="Times New Roman" w:hAnsi="Times New Roman"/>
          <w:sz w:val="15"/>
          <w:szCs w:val="15"/>
          <w:color w:val="auto"/>
        </w:rPr>
        <w:t xml:space="preserve"> and amend this Agreement in writing to amend the current </w:t>
      </w:r>
      <w:r>
        <w:rPr>
          <w:rFonts w:ascii="Times New Roman" w:cs="Times New Roman" w:eastAsia="Times New Roman" w:hAnsi="Times New Roman"/>
          <w:sz w:val="15"/>
          <w:szCs w:val="15"/>
          <w:u w:val="single" w:color="auto"/>
          <w:color w:val="auto"/>
        </w:rPr>
        <w:t>Schedule 13.1.3</w:t>
      </w:r>
      <w:r>
        <w:rPr>
          <w:rFonts w:ascii="Times New Roman" w:cs="Times New Roman" w:eastAsia="Times New Roman" w:hAnsi="Times New Roman"/>
          <w:sz w:val="15"/>
          <w:szCs w:val="15"/>
          <w:color w:val="auto"/>
        </w:rPr>
        <w:t xml:space="preserve"> with a dated and executed version of </w:t>
      </w:r>
      <w:r>
        <w:rPr>
          <w:rFonts w:ascii="Times New Roman" w:cs="Times New Roman" w:eastAsia="Times New Roman" w:hAnsi="Times New Roman"/>
          <w:sz w:val="15"/>
          <w:szCs w:val="15"/>
          <w:u w:val="single" w:color="auto"/>
          <w:color w:val="auto"/>
        </w:rPr>
        <w:t>Schedule 13.1.3</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jc w:val="both"/>
        <w:ind w:left="1060" w:hanging="526"/>
        <w:spacing w:after="0" w:line="251" w:lineRule="auto"/>
        <w:tabs>
          <w:tab w:leader="none" w:pos="1040" w:val="left"/>
        </w:tabs>
        <w:rPr>
          <w:sz w:val="20"/>
          <w:szCs w:val="20"/>
          <w:color w:val="auto"/>
        </w:rPr>
      </w:pPr>
      <w:r>
        <w:rPr>
          <w:rFonts w:ascii="Times New Roman" w:cs="Times New Roman" w:eastAsia="Times New Roman" w:hAnsi="Times New Roman"/>
          <w:sz w:val="15"/>
          <w:szCs w:val="15"/>
          <w:color w:val="auto"/>
        </w:rPr>
        <w:t>13.1.4</w:t>
      </w:r>
      <w:r>
        <w:rPr>
          <w:sz w:val="20"/>
          <w:szCs w:val="20"/>
          <w:color w:val="auto"/>
        </w:rPr>
        <w:tab/>
      </w:r>
      <w:r>
        <w:rPr>
          <w:rFonts w:ascii="Times New Roman" w:cs="Times New Roman" w:eastAsia="Times New Roman" w:hAnsi="Times New Roman"/>
          <w:sz w:val="15"/>
          <w:szCs w:val="15"/>
          <w:b w:val="1"/>
          <w:bCs w:val="1"/>
          <w:color w:val="auto"/>
        </w:rPr>
        <w:t>True-Up at Final Closing of the Financing</w:t>
      </w:r>
      <w:r>
        <w:rPr>
          <w:rFonts w:ascii="Times New Roman" w:cs="Times New Roman" w:eastAsia="Times New Roman" w:hAnsi="Times New Roman"/>
          <w:sz w:val="15"/>
          <w:szCs w:val="15"/>
          <w:color w:val="auto"/>
        </w:rPr>
        <w:t>. Without limiting the foregoing, Licensee covenants and agrees that if, at the final closing of the Financing (the “</w:t>
      </w:r>
      <w:r>
        <w:rPr>
          <w:rFonts w:ascii="Times New Roman" w:cs="Times New Roman" w:eastAsia="Times New Roman" w:hAnsi="Times New Roman"/>
          <w:sz w:val="15"/>
          <w:szCs w:val="15"/>
          <w:u w:val="single" w:color="auto"/>
          <w:color w:val="auto"/>
        </w:rPr>
        <w:t>Final Closing</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number of shares of Financing Securities that were issued to XENCOR at the Effective Date does not represent fifteen percent (15%) of the Fully Diluted Capitalization of Licensee as of the Final Closing, then at the Final Closing, Licensee shall issue to XENCOR additional shares of Financing Securities (the “</w:t>
      </w:r>
      <w:r>
        <w:rPr>
          <w:rFonts w:ascii="Times New Roman" w:cs="Times New Roman" w:eastAsia="Times New Roman" w:hAnsi="Times New Roman"/>
          <w:sz w:val="15"/>
          <w:szCs w:val="15"/>
          <w:u w:val="single" w:color="auto"/>
          <w:color w:val="auto"/>
        </w:rPr>
        <w:t>True-Up Shares</w:t>
      </w:r>
      <w:r>
        <w:rPr>
          <w:rFonts w:ascii="Times New Roman" w:cs="Times New Roman" w:eastAsia="Times New Roman" w:hAnsi="Times New Roman"/>
          <w:sz w:val="15"/>
          <w:szCs w:val="15"/>
          <w:color w:val="auto"/>
        </w:rPr>
        <w:t>”) such that the sum of the number of Financing Securities issued at the Effective Date plus the True-Up Shares shall equal fifteen percent (15%) of the Fully Diluted Capitalization of Licensee as of the Final Closing.</w:t>
      </w:r>
    </w:p>
    <w:p>
      <w:pPr>
        <w:spacing w:after="0" w:line="15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13.2</w:t>
      </w:r>
      <w:r>
        <w:rPr>
          <w:sz w:val="20"/>
          <w:szCs w:val="20"/>
          <w:color w:val="auto"/>
        </w:rPr>
        <w:tab/>
      </w:r>
      <w:r>
        <w:rPr>
          <w:rFonts w:ascii="Times New Roman" w:cs="Times New Roman" w:eastAsia="Times New Roman" w:hAnsi="Times New Roman"/>
          <w:sz w:val="14"/>
          <w:szCs w:val="14"/>
          <w:b w:val="1"/>
          <w:bCs w:val="1"/>
          <w:color w:val="auto"/>
        </w:rPr>
        <w:t>General Termination Rights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060" w:hanging="526"/>
        <w:spacing w:after="0" w:line="246" w:lineRule="auto"/>
        <w:tabs>
          <w:tab w:leader="none" w:pos="1040" w:val="left"/>
        </w:tabs>
        <w:rPr>
          <w:sz w:val="20"/>
          <w:szCs w:val="20"/>
          <w:color w:val="auto"/>
        </w:rPr>
      </w:pPr>
      <w:r>
        <w:rPr>
          <w:rFonts w:ascii="Times New Roman" w:cs="Times New Roman" w:eastAsia="Times New Roman" w:hAnsi="Times New Roman"/>
          <w:sz w:val="15"/>
          <w:szCs w:val="15"/>
          <w:color w:val="auto"/>
        </w:rPr>
        <w:t>13.2.1</w:t>
      </w:r>
      <w:r>
        <w:rPr>
          <w:sz w:val="20"/>
          <w:szCs w:val="20"/>
          <w:color w:val="auto"/>
        </w:rPr>
        <w:tab/>
      </w:r>
      <w:r>
        <w:rPr>
          <w:rFonts w:ascii="Times New Roman" w:cs="Times New Roman" w:eastAsia="Times New Roman" w:hAnsi="Times New Roman"/>
          <w:sz w:val="15"/>
          <w:szCs w:val="15"/>
          <w:b w:val="1"/>
          <w:bCs w:val="1"/>
          <w:color w:val="auto"/>
        </w:rPr>
        <w:t>Termination for Material Breach</w:t>
      </w:r>
      <w:r>
        <w:rPr>
          <w:rFonts w:ascii="Times New Roman" w:cs="Times New Roman" w:eastAsia="Times New Roman" w:hAnsi="Times New Roman"/>
          <w:sz w:val="15"/>
          <w:szCs w:val="15"/>
          <w:color w:val="auto"/>
        </w:rPr>
        <w:t>. This Agreement may be terminated effective immediately by either Party at any time during the License Term if the other Party (or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employee of such other Party) materially breaches this Agreement and such other Party fails to cure, if curable, such material breach to the satisfaction of the non-breaching Party within [***] ([***] in the event of non-payment) after receiving written notice of such material breach from the non-breaching Party, which notice shall specify the nature of the breach and demand its cure, if curable. Such termination will be solely with respect to the Licensed Asset and its corresponding Products to which such material breach relates, or in its entirety in the event of any material breach of this Agreement that relates to all Licensed Assets and all Products. In the event that such material breach is curable but the breaching Party demonstrates that it cannot be reasonably cured within [***] despite Licensee’s diligent efforts to cure within the such period, Licensee shall be allowed an additional [***] to cure such material breach. If the alleged breaching Party disputes in good faith the existence or materiality of a breach specified in a notice provided by the other Party in accordance with </w:t>
      </w:r>
      <w:r>
        <w:rPr>
          <w:rFonts w:ascii="Times New Roman" w:cs="Times New Roman" w:eastAsia="Times New Roman" w:hAnsi="Times New Roman"/>
          <w:sz w:val="15"/>
          <w:szCs w:val="15"/>
          <w:u w:val="single" w:color="auto"/>
          <w:color w:val="auto"/>
        </w:rPr>
        <w:t>Section 13.2.1</w:t>
      </w:r>
      <w:r>
        <w:rPr>
          <w:rFonts w:ascii="Times New Roman" w:cs="Times New Roman" w:eastAsia="Times New Roman" w:hAnsi="Times New Roman"/>
          <w:sz w:val="15"/>
          <w:szCs w:val="15"/>
          <w:color w:val="auto"/>
        </w:rPr>
        <w:t xml:space="preserve"> and such alleged breaching Party provides the other Party notice of such Dispute within such [***] ([***] in the event of non-payment) period, then the such cure period set forth in this </w:t>
      </w:r>
      <w:r>
        <w:rPr>
          <w:rFonts w:ascii="Times New Roman" w:cs="Times New Roman" w:eastAsia="Times New Roman" w:hAnsi="Times New Roman"/>
          <w:sz w:val="15"/>
          <w:szCs w:val="15"/>
          <w:u w:val="single" w:color="auto"/>
          <w:color w:val="auto"/>
        </w:rPr>
        <w:t>Section 13.2.1</w:t>
      </w:r>
      <w:r>
        <w:rPr>
          <w:rFonts w:ascii="Times New Roman" w:cs="Times New Roman" w:eastAsia="Times New Roman" w:hAnsi="Times New Roman"/>
          <w:sz w:val="15"/>
          <w:szCs w:val="15"/>
          <w:color w:val="auto"/>
        </w:rPr>
        <w:t xml:space="preserve"> will be tolled during the pendency of the dispute resolution process set forth in </w:t>
      </w:r>
      <w:r>
        <w:rPr>
          <w:rFonts w:ascii="Times New Roman" w:cs="Times New Roman" w:eastAsia="Times New Roman" w:hAnsi="Times New Roman"/>
          <w:sz w:val="15"/>
          <w:szCs w:val="15"/>
          <w:u w:val="single" w:color="auto"/>
          <w:color w:val="auto"/>
        </w:rPr>
        <w:t>Section 15.3</w:t>
      </w:r>
      <w:r>
        <w:rPr>
          <w:rFonts w:ascii="Times New Roman" w:cs="Times New Roman" w:eastAsia="Times New Roman" w:hAnsi="Times New Roman"/>
          <w:sz w:val="15"/>
          <w:szCs w:val="15"/>
          <w:color w:val="auto"/>
        </w:rPr>
        <w:t xml:space="preserve"> and the non-breaching Party will not have the right to terminate this Agreement under this </w:t>
      </w:r>
      <w:r>
        <w:rPr>
          <w:rFonts w:ascii="Times New Roman" w:cs="Times New Roman" w:eastAsia="Times New Roman" w:hAnsi="Times New Roman"/>
          <w:sz w:val="15"/>
          <w:szCs w:val="15"/>
          <w:u w:val="single" w:color="auto"/>
          <w:color w:val="auto"/>
        </w:rPr>
        <w:t>Section 13.2.1</w:t>
      </w:r>
      <w:r>
        <w:rPr>
          <w:rFonts w:ascii="Times New Roman" w:cs="Times New Roman" w:eastAsia="Times New Roman" w:hAnsi="Times New Roman"/>
          <w:sz w:val="15"/>
          <w:szCs w:val="15"/>
          <w:color w:val="auto"/>
        </w:rPr>
        <w:t xml:space="preserve"> unless and until such dispute resolution process has been completed and it has been determined that the alleged breaching Party has materially breached this Agreement and such Party has failed to cure such breach as of the date of such determination. Notwithstanding the foregoing, in the event that Licensee as the breaching Party has materially breached or defaulted in the performance of any of its payment obligations under this Agreement a [***] period, then XENCOR shall have the right to terminate this Agreement immediately by providing written notice Licensee, without Licensee having opportunity to cure such breach or default.</w:t>
      </w:r>
    </w:p>
    <w:p>
      <w:pPr>
        <w:spacing w:after="0" w:line="3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14" w:name="page315"/>
    <w:bookmarkEnd w:id="314"/>
    <w:p>
      <w:pPr>
        <w:jc w:val="both"/>
        <w:ind w:hanging="526"/>
        <w:spacing w:after="0" w:line="268" w:lineRule="auto"/>
        <w:rPr>
          <w:sz w:val="20"/>
          <w:szCs w:val="20"/>
          <w:color w:val="auto"/>
        </w:rPr>
      </w:pPr>
      <w:r>
        <w:rPr>
          <w:rFonts w:ascii="Times New Roman" w:cs="Times New Roman" w:eastAsia="Times New Roman" w:hAnsi="Times New Roman"/>
          <w:sz w:val="15"/>
          <w:szCs w:val="15"/>
          <w:color w:val="auto"/>
        </w:rPr>
        <w:t>13.2.2</w:t>
      </w:r>
      <w:r>
        <w:rPr>
          <w:sz w:val="20"/>
          <w:szCs w:val="20"/>
          <w:color w:val="auto"/>
        </w:rPr>
        <w:t xml:space="preserve"> </w:t>
      </w:r>
      <w:r>
        <w:rPr>
          <w:rFonts w:ascii="Times New Roman" w:cs="Times New Roman" w:eastAsia="Times New Roman" w:hAnsi="Times New Roman"/>
          <w:sz w:val="14"/>
          <w:szCs w:val="14"/>
          <w:b w:val="1"/>
          <w:bCs w:val="1"/>
          <w:color w:val="auto"/>
        </w:rPr>
        <w:t>Termination for Bankruptcy</w:t>
      </w:r>
      <w:r>
        <w:rPr>
          <w:rFonts w:ascii="Times New Roman" w:cs="Times New Roman" w:eastAsia="Times New Roman" w:hAnsi="Times New Roman"/>
          <w:sz w:val="14"/>
          <w:szCs w:val="14"/>
          <w:color w:val="auto"/>
        </w:rPr>
        <w:t>. This Agreement may be terminated by written notice by either Party at any time during the License Term if (a) the other Party files in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court or agency, pursuant to any statute or regulation of any state or country or jurisdiction, a petition in bankruptcy or insolvency or for reorganization or for an arrangement or for the appointment of a receiver or trustee of such other Party or of its assets, or (b) such other Party is served with an involuntary petition against it, filed in any insolvency proceeding, and such petition is not dismissed within [***] after the filing thereof, (c) such other Party becomes a party to any dissolution or liquidation,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 such other Party makes an assignment for the benefit of its creditors.</w:t>
      </w:r>
    </w:p>
    <w:p>
      <w:pPr>
        <w:spacing w:after="0" w:line="162" w:lineRule="exact"/>
        <w:rPr>
          <w:sz w:val="20"/>
          <w:szCs w:val="20"/>
          <w:color w:val="auto"/>
        </w:rPr>
      </w:pPr>
    </w:p>
    <w:p>
      <w:pPr>
        <w:jc w:val="both"/>
        <w:ind w:hanging="526"/>
        <w:spacing w:after="0" w:line="247" w:lineRule="auto"/>
        <w:rPr>
          <w:sz w:val="20"/>
          <w:szCs w:val="20"/>
          <w:color w:val="auto"/>
        </w:rPr>
      </w:pPr>
      <w:r>
        <w:rPr>
          <w:rFonts w:ascii="Times New Roman" w:cs="Times New Roman" w:eastAsia="Times New Roman" w:hAnsi="Times New Roman"/>
          <w:sz w:val="15"/>
          <w:szCs w:val="15"/>
          <w:color w:val="auto"/>
        </w:rPr>
        <w:t>13.2.3</w:t>
      </w:r>
      <w:r>
        <w:rPr>
          <w:sz w:val="20"/>
          <w:szCs w:val="20"/>
          <w:color w:val="auto"/>
        </w:rPr>
        <w:t xml:space="preserve"> </w:t>
      </w:r>
      <w:r>
        <w:rPr>
          <w:rFonts w:ascii="Times New Roman" w:cs="Times New Roman" w:eastAsia="Times New Roman" w:hAnsi="Times New Roman"/>
          <w:sz w:val="15"/>
          <w:szCs w:val="15"/>
          <w:b w:val="1"/>
          <w:bCs w:val="1"/>
          <w:color w:val="auto"/>
        </w:rPr>
        <w:t>Rights in Bankruptcy</w:t>
      </w:r>
      <w:r>
        <w:rPr>
          <w:rFonts w:ascii="Times New Roman" w:cs="Times New Roman" w:eastAsia="Times New Roman" w:hAnsi="Times New Roman"/>
          <w:sz w:val="15"/>
          <w:szCs w:val="15"/>
          <w:color w:val="auto"/>
        </w:rPr>
        <w:t>. All rights and licenses granted under or pursuant to this Agreement by Licensee and XENCOR are and shall otherwise be deemed to be, for purposes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Section 365(n) of the U.S. Bankruptcy Code or any analogous provisions in any other country or jurisdiction, licenses of right to “intellectual property” as defined under Section 101 of the U.S. Bankruptcy Code. The Parties agree that the Parties, as licensees of such rights under this Agreement, shall retain and may fully exercise all of their rights and elections under the U.S. Bankruptcy Code or any analogous provisions in any other country or jurisdiction. The Parties further agree that, in the event of the commencement of a bankruptcy proceeding by or against either Party under the U.S. Bankruptcy Code or any analogous provisions in any other country or jurisdiction, the Party hereto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(i) upon any such commencement of a bankruptcy proceeding upon the non-subject Party’s written request therefor, unless the Party subject to such proceeding elects to continue to perform all of its obligations under this Agreement or (ii) if not delivered under clause (i) above, following the rejection of this Agreement by or on behalf of the Party subject to such proceeding upon written request therefor by the non-subject Party.</w:t>
      </w:r>
    </w:p>
    <w:p>
      <w:pPr>
        <w:spacing w:after="0" w:line="3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11430</wp:posOffset>
            </wp:positionV>
            <wp:extent cx="7157720"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220"/>
          </w:cols>
          <w:pgMar w:left="1360" w:top="760" w:right="319"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178"/>
        </w:trPr>
        <w:tc>
          <w:tcPr>
            <w:tcW w:w="4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91"/>
              </w:rPr>
              <w:t>13.3</w:t>
            </w:r>
          </w:p>
        </w:tc>
        <w:tc>
          <w:tcPr>
            <w:tcW w:w="10880" w:type="dxa"/>
            <w:vAlign w:val="bottom"/>
            <w:gridSpan w:val="7"/>
          </w:tcPr>
          <w:p>
            <w:pPr>
              <w:ind w:left="140"/>
              <w:spacing w:after="0"/>
              <w:rPr>
                <w:sz w:val="20"/>
                <w:szCs w:val="20"/>
                <w:color w:val="auto"/>
              </w:rPr>
            </w:pPr>
            <w:r>
              <w:rPr>
                <w:rFonts w:ascii="Times New Roman" w:cs="Times New Roman" w:eastAsia="Times New Roman" w:hAnsi="Times New Roman"/>
                <w:sz w:val="15"/>
                <w:szCs w:val="15"/>
                <w:b w:val="1"/>
                <w:bCs w:val="1"/>
                <w:color w:val="auto"/>
                <w:w w:val="98"/>
              </w:rPr>
              <w:t>Termination by Licensee</w:t>
            </w:r>
            <w:r>
              <w:rPr>
                <w:rFonts w:ascii="Times New Roman" w:cs="Times New Roman" w:eastAsia="Times New Roman" w:hAnsi="Times New Roman"/>
                <w:sz w:val="15"/>
                <w:szCs w:val="15"/>
                <w:color w:val="auto"/>
                <w:w w:val="98"/>
              </w:rPr>
              <w:t>. Licensee shall have the right to terminate this Agreement in its entirety, or with respect to certain Licensed Asset and its corresponding Products, (a) prior</w:t>
            </w:r>
          </w:p>
        </w:tc>
      </w:tr>
      <w:tr>
        <w:trPr>
          <w:trHeight w:val="176"/>
        </w:trPr>
        <w:tc>
          <w:tcPr>
            <w:tcW w:w="400" w:type="dxa"/>
            <w:vAlign w:val="bottom"/>
          </w:tcPr>
          <w:p>
            <w:pPr>
              <w:spacing w:after="0"/>
              <w:rPr>
                <w:sz w:val="15"/>
                <w:szCs w:val="15"/>
                <w:color w:val="auto"/>
              </w:rPr>
            </w:pPr>
          </w:p>
        </w:tc>
        <w:tc>
          <w:tcPr>
            <w:tcW w:w="10880" w:type="dxa"/>
            <w:vAlign w:val="bottom"/>
            <w:gridSpan w:val="7"/>
          </w:tcPr>
          <w:p>
            <w:pPr>
              <w:ind w:left="140"/>
              <w:spacing w:after="0"/>
              <w:rPr>
                <w:sz w:val="20"/>
                <w:szCs w:val="20"/>
                <w:color w:val="auto"/>
              </w:rPr>
            </w:pPr>
            <w:r>
              <w:rPr>
                <w:rFonts w:ascii="Times New Roman" w:cs="Times New Roman" w:eastAsia="Times New Roman" w:hAnsi="Times New Roman"/>
                <w:sz w:val="15"/>
                <w:szCs w:val="15"/>
                <w:color w:val="auto"/>
                <w:w w:val="99"/>
              </w:rPr>
              <w:t>to [***] of any such Product, at any time upon [***] advance written notice to XENCOR, and (b) after [***] of any such Product, at any time upon [***] advance written notice to</w:t>
            </w:r>
          </w:p>
        </w:tc>
      </w:tr>
      <w:tr>
        <w:trPr>
          <w:trHeight w:val="190"/>
        </w:trPr>
        <w:tc>
          <w:tcPr>
            <w:tcW w:w="400" w:type="dxa"/>
            <w:vAlign w:val="bottom"/>
          </w:tcPr>
          <w:p>
            <w:pPr>
              <w:spacing w:after="0"/>
              <w:rPr>
                <w:sz w:val="16"/>
                <w:szCs w:val="16"/>
                <w:color w:val="auto"/>
              </w:rPr>
            </w:pPr>
          </w:p>
        </w:tc>
        <w:tc>
          <w:tcPr>
            <w:tcW w:w="10880" w:type="dxa"/>
            <w:vAlign w:val="bottom"/>
            <w:gridSpan w:val="7"/>
          </w:tcPr>
          <w:p>
            <w:pPr>
              <w:ind w:left="140"/>
              <w:spacing w:after="0"/>
              <w:rPr>
                <w:sz w:val="20"/>
                <w:szCs w:val="20"/>
                <w:color w:val="auto"/>
              </w:rPr>
            </w:pPr>
            <w:r>
              <w:rPr>
                <w:rFonts w:ascii="Times New Roman" w:cs="Times New Roman" w:eastAsia="Times New Roman" w:hAnsi="Times New Roman"/>
                <w:sz w:val="15"/>
                <w:szCs w:val="15"/>
                <w:color w:val="auto"/>
              </w:rPr>
              <w:t>XENCOR.</w:t>
            </w:r>
          </w:p>
        </w:tc>
      </w:tr>
      <w:tr>
        <w:trPr>
          <w:trHeight w:val="370"/>
        </w:trPr>
        <w:tc>
          <w:tcPr>
            <w:tcW w:w="4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91"/>
              </w:rPr>
              <w:t>13.4</w:t>
            </w:r>
          </w:p>
        </w:tc>
        <w:tc>
          <w:tcPr>
            <w:tcW w:w="10880" w:type="dxa"/>
            <w:vAlign w:val="bottom"/>
            <w:gridSpan w:val="7"/>
          </w:tcPr>
          <w:p>
            <w:pPr>
              <w:ind w:left="140"/>
              <w:spacing w:after="0"/>
              <w:rPr>
                <w:sz w:val="20"/>
                <w:szCs w:val="20"/>
                <w:color w:val="auto"/>
              </w:rPr>
            </w:pPr>
            <w:r>
              <w:rPr>
                <w:rFonts w:ascii="Times New Roman" w:cs="Times New Roman" w:eastAsia="Times New Roman" w:hAnsi="Times New Roman"/>
                <w:sz w:val="15"/>
                <w:szCs w:val="15"/>
                <w:b w:val="1"/>
                <w:bCs w:val="1"/>
                <w:color w:val="auto"/>
                <w:w w:val="97"/>
              </w:rPr>
              <w:t>Termination by XENCOR</w:t>
            </w:r>
            <w:r>
              <w:rPr>
                <w:rFonts w:ascii="Times New Roman" w:cs="Times New Roman" w:eastAsia="Times New Roman" w:hAnsi="Times New Roman"/>
                <w:sz w:val="15"/>
                <w:szCs w:val="15"/>
                <w:color w:val="auto"/>
                <w:w w:val="97"/>
              </w:rPr>
              <w:t>. XENCOR shall have the right to terminate this Agreement in its entirety if the Effective Date has not occurred on or prior to the first (1</w:t>
            </w:r>
            <w:r>
              <w:rPr>
                <w:rFonts w:ascii="Times New Roman" w:cs="Times New Roman" w:eastAsia="Times New Roman" w:hAnsi="Times New Roman"/>
                <w:sz w:val="24"/>
                <w:szCs w:val="24"/>
                <w:color w:val="auto"/>
                <w:w w:val="97"/>
                <w:vertAlign w:val="superscript"/>
              </w:rPr>
              <w:t>st</w:t>
            </w:r>
            <w:r>
              <w:rPr>
                <w:rFonts w:ascii="Times New Roman" w:cs="Times New Roman" w:eastAsia="Times New Roman" w:hAnsi="Times New Roman"/>
                <w:sz w:val="15"/>
                <w:szCs w:val="15"/>
                <w:color w:val="auto"/>
                <w:w w:val="97"/>
              </w:rPr>
              <w:t>) anniversary of</w:t>
            </w:r>
          </w:p>
        </w:tc>
      </w:tr>
      <w:tr>
        <w:trPr>
          <w:trHeight w:val="157"/>
        </w:trPr>
        <w:tc>
          <w:tcPr>
            <w:tcW w:w="400" w:type="dxa"/>
            <w:vAlign w:val="bottom"/>
          </w:tcPr>
          <w:p>
            <w:pPr>
              <w:spacing w:after="0"/>
              <w:rPr>
                <w:sz w:val="13"/>
                <w:szCs w:val="13"/>
                <w:color w:val="auto"/>
              </w:rPr>
            </w:pPr>
          </w:p>
        </w:tc>
        <w:tc>
          <w:tcPr>
            <w:tcW w:w="10880" w:type="dxa"/>
            <w:vAlign w:val="bottom"/>
            <w:gridSpan w:val="7"/>
          </w:tcPr>
          <w:p>
            <w:pPr>
              <w:ind w:left="140"/>
              <w:spacing w:after="0" w:line="158" w:lineRule="exact"/>
              <w:rPr>
                <w:sz w:val="20"/>
                <w:szCs w:val="20"/>
                <w:color w:val="auto"/>
              </w:rPr>
            </w:pPr>
            <w:r>
              <w:rPr>
                <w:rFonts w:ascii="Times New Roman" w:cs="Times New Roman" w:eastAsia="Times New Roman" w:hAnsi="Times New Roman"/>
                <w:sz w:val="15"/>
                <w:szCs w:val="15"/>
                <w:color w:val="auto"/>
              </w:rPr>
              <w:t>the Execution Date. XENCOR may also terminate this Agreement in its entirety pursuant to the provisions of Section 11.13.</w:t>
            </w:r>
          </w:p>
        </w:tc>
      </w:tr>
      <w:tr>
        <w:trPr>
          <w:trHeight w:val="20"/>
        </w:trPr>
        <w:tc>
          <w:tcPr>
            <w:tcW w:w="4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32"/>
        </w:trPr>
        <w:tc>
          <w:tcPr>
            <w:tcW w:w="4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91"/>
              </w:rPr>
              <w:t>13.5</w:t>
            </w:r>
          </w:p>
        </w:tc>
        <w:tc>
          <w:tcPr>
            <w:tcW w:w="10880" w:type="dxa"/>
            <w:vAlign w:val="bottom"/>
            <w:gridSpan w:val="7"/>
          </w:tcPr>
          <w:p>
            <w:pPr>
              <w:ind w:left="140"/>
              <w:spacing w:after="0"/>
              <w:rPr>
                <w:sz w:val="20"/>
                <w:szCs w:val="20"/>
                <w:color w:val="auto"/>
              </w:rPr>
            </w:pPr>
            <w:r>
              <w:rPr>
                <w:rFonts w:ascii="Times New Roman" w:cs="Times New Roman" w:eastAsia="Times New Roman" w:hAnsi="Times New Roman"/>
                <w:sz w:val="15"/>
                <w:szCs w:val="15"/>
                <w:b w:val="1"/>
                <w:bCs w:val="1"/>
                <w:color w:val="auto"/>
                <w:w w:val="97"/>
              </w:rPr>
              <w:t>Effects of Termination</w:t>
            </w:r>
            <w:r>
              <w:rPr>
                <w:rFonts w:ascii="Times New Roman" w:cs="Times New Roman" w:eastAsia="Times New Roman" w:hAnsi="Times New Roman"/>
                <w:sz w:val="15"/>
                <w:szCs w:val="15"/>
                <w:color w:val="auto"/>
                <w:w w:val="97"/>
              </w:rPr>
              <w:t>. If this Agreement is terminated by either Party, then the provisions of this Section 13.5 shall apply upon the effective date of such termination with respect to</w:t>
            </w:r>
          </w:p>
        </w:tc>
      </w:tr>
      <w:tr>
        <w:trPr>
          <w:trHeight w:val="20"/>
        </w:trPr>
        <w:tc>
          <w:tcPr>
            <w:tcW w:w="4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156"/>
        </w:trPr>
        <w:tc>
          <w:tcPr>
            <w:tcW w:w="400" w:type="dxa"/>
            <w:vAlign w:val="bottom"/>
          </w:tcPr>
          <w:p>
            <w:pPr>
              <w:spacing w:after="0"/>
              <w:rPr>
                <w:sz w:val="13"/>
                <w:szCs w:val="13"/>
                <w:color w:val="auto"/>
              </w:rPr>
            </w:pPr>
          </w:p>
        </w:tc>
        <w:tc>
          <w:tcPr>
            <w:tcW w:w="10880" w:type="dxa"/>
            <w:vAlign w:val="bottom"/>
            <w:gridSpan w:val="7"/>
          </w:tcPr>
          <w:p>
            <w:pPr>
              <w:ind w:left="140"/>
              <w:spacing w:after="0" w:line="156" w:lineRule="exact"/>
              <w:rPr>
                <w:sz w:val="20"/>
                <w:szCs w:val="20"/>
                <w:color w:val="auto"/>
              </w:rPr>
            </w:pPr>
            <w:r>
              <w:rPr>
                <w:rFonts w:ascii="Times New Roman" w:cs="Times New Roman" w:eastAsia="Times New Roman" w:hAnsi="Times New Roman"/>
                <w:sz w:val="15"/>
                <w:szCs w:val="15"/>
                <w:color w:val="auto"/>
              </w:rPr>
              <w:t>the Licensed Asset(s) for which this Agreement is terminated (the “Terminated Assets”) and the corresponding Products.</w:t>
            </w:r>
          </w:p>
        </w:tc>
      </w:tr>
      <w:tr>
        <w:trPr>
          <w:trHeight w:val="20"/>
        </w:trPr>
        <w:tc>
          <w:tcPr>
            <w:tcW w:w="4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1060" w:hanging="526"/>
        <w:spacing w:after="0" w:line="277" w:lineRule="auto"/>
        <w:tabs>
          <w:tab w:leader="none" w:pos="1040" w:val="left"/>
        </w:tabs>
        <w:rPr>
          <w:sz w:val="20"/>
          <w:szCs w:val="20"/>
          <w:color w:val="auto"/>
        </w:rPr>
      </w:pPr>
      <w:r>
        <w:rPr>
          <w:rFonts w:ascii="Times New Roman" w:cs="Times New Roman" w:eastAsia="Times New Roman" w:hAnsi="Times New Roman"/>
          <w:sz w:val="15"/>
          <w:szCs w:val="15"/>
          <w:color w:val="auto"/>
        </w:rPr>
        <w:t>13.5.1</w:t>
      </w:r>
      <w:r>
        <w:rPr>
          <w:sz w:val="20"/>
          <w:szCs w:val="20"/>
          <w:color w:val="auto"/>
        </w:rPr>
        <w:tab/>
      </w:r>
      <w:r>
        <w:rPr>
          <w:rFonts w:ascii="Times New Roman" w:cs="Times New Roman" w:eastAsia="Times New Roman" w:hAnsi="Times New Roman"/>
          <w:sz w:val="14"/>
          <w:szCs w:val="14"/>
          <w:b w:val="1"/>
          <w:bCs w:val="1"/>
          <w:color w:val="auto"/>
        </w:rPr>
        <w:t>Termination of Certain Licenses</w:t>
      </w:r>
      <w:r>
        <w:rPr>
          <w:rFonts w:ascii="Times New Roman" w:cs="Times New Roman" w:eastAsia="Times New Roman" w:hAnsi="Times New Roman"/>
          <w:sz w:val="14"/>
          <w:szCs w:val="14"/>
          <w:color w:val="auto"/>
        </w:rPr>
        <w:t>. All licenses granted by XENCOR to Licensee in accordance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automatically terminate upon termination of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Agreement for any reason, with respect to the Terminated Asset(s) and the corresponding Products, and Licensee shall cease Developing, Manufacturing, and Commercializing such Terminated Asset(s) and its corresponding Products in and for all countries, except for termination by Licensee pursuant to </w:t>
      </w:r>
      <w:r>
        <w:rPr>
          <w:rFonts w:ascii="Times New Roman" w:cs="Times New Roman" w:eastAsia="Times New Roman" w:hAnsi="Times New Roman"/>
          <w:sz w:val="14"/>
          <w:szCs w:val="14"/>
          <w:u w:val="single" w:color="auto"/>
          <w:color w:val="auto"/>
        </w:rPr>
        <w:t>Section 13.2.2</w:t>
      </w:r>
      <w:r>
        <w:rPr>
          <w:rFonts w:ascii="Times New Roman" w:cs="Times New Roman" w:eastAsia="Times New Roman" w:hAnsi="Times New Roman"/>
          <w:sz w:val="14"/>
          <w:szCs w:val="14"/>
          <w:color w:val="auto"/>
        </w:rPr>
        <w:t>, in which case Licensee may retain and fully exercise all of its rights and elections under the U.S. Bankruptcy Code or any analogous provisions in any other country or jurisdiction.</w:t>
      </w:r>
    </w:p>
    <w:p>
      <w:pPr>
        <w:spacing w:after="0" w:line="136"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13.5.2</w:t>
      </w:r>
      <w:r>
        <w:rPr>
          <w:sz w:val="20"/>
          <w:szCs w:val="20"/>
          <w:color w:val="auto"/>
        </w:rPr>
        <w:tab/>
      </w:r>
      <w:r>
        <w:rPr>
          <w:rFonts w:ascii="Times New Roman" w:cs="Times New Roman" w:eastAsia="Times New Roman" w:hAnsi="Times New Roman"/>
          <w:sz w:val="14"/>
          <w:szCs w:val="14"/>
          <w:b w:val="1"/>
          <w:bCs w:val="1"/>
          <w:color w:val="auto"/>
        </w:rPr>
        <w:t>Transfer of Regulatory Approvals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600" w:hanging="537"/>
        <w:spacing w:after="0" w:line="265" w:lineRule="auto"/>
        <w:tabs>
          <w:tab w:leader="none" w:pos="160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Transfer</w:t>
      </w:r>
      <w:r>
        <w:rPr>
          <w:rFonts w:ascii="Times New Roman" w:cs="Times New Roman" w:eastAsia="Times New Roman" w:hAnsi="Times New Roman"/>
          <w:sz w:val="14"/>
          <w:szCs w:val="14"/>
          <w:color w:val="auto"/>
        </w:rPr>
        <w:t>.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13.5.2(b)</w:t>
      </w:r>
      <w:r>
        <w:rPr>
          <w:rFonts w:ascii="Times New Roman" w:cs="Times New Roman" w:eastAsia="Times New Roman" w:hAnsi="Times New Roman"/>
          <w:sz w:val="14"/>
          <w:szCs w:val="14"/>
          <w:color w:val="auto"/>
        </w:rPr>
        <w:t>, Licensee shall and hereby does, and shall cause its Sublicensees to (i) assign to XENCOR or, at the direction of XENCOR,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its Affiliate or designee (such Affiliate or designee, the “</w:t>
      </w:r>
      <w:r>
        <w:rPr>
          <w:rFonts w:ascii="Times New Roman" w:cs="Times New Roman" w:eastAsia="Times New Roman" w:hAnsi="Times New Roman"/>
          <w:sz w:val="14"/>
          <w:szCs w:val="14"/>
          <w:u w:val="single" w:color="auto"/>
          <w:color w:val="auto"/>
        </w:rPr>
        <w:t>XENCOR Transferee</w:t>
      </w:r>
      <w:r>
        <w:rPr>
          <w:rFonts w:ascii="Times New Roman" w:cs="Times New Roman" w:eastAsia="Times New Roman" w:hAnsi="Times New Roman"/>
          <w:sz w:val="14"/>
          <w:szCs w:val="14"/>
          <w:color w:val="auto"/>
        </w:rPr>
        <w:t xml:space="preserve">”), all rights, title and interests in and to all Regulatory Submissions or Regulatory Approvals specifically related to the Terminated Assets(s) or the corresponding Products in the Field in the Licensed Territory, unless such assignment is prohibited by Applicable Laws or XENCOR requests that Licensee or Sublicensee continue to hold any such Regulatory Submission or Regulatory Approval for a reasonable transition period following the effective date of termination; and (ii) if requested by XENCOR, assist XENCOR or the XENCOR Transferee in submitting any such Regulatory Submission or applying for any such Regulatory Approval that cannot be transferred. Licensee agrees and covenants that it shall, and shall cause its Sublicensees to, promptly take any and all actions necessary to effectuate the prompt assignment of such Regulatory Submissions and Regulatory Approvals, or to enable XENCOR or the XENCOR Transferee to obtain new Regulatory Submissions or Regulatory Approvals, including executing and delivering all documents or instruments, and providing all copies of documents or information, that may be necessary, required or which XENCOR or the XENCOR Transferee may request. Upon termination of this Agreement for any reason other than by Licensee pursuant to </w:t>
      </w:r>
      <w:r>
        <w:rPr>
          <w:rFonts w:ascii="Times New Roman" w:cs="Times New Roman" w:eastAsia="Times New Roman" w:hAnsi="Times New Roman"/>
          <w:sz w:val="14"/>
          <w:szCs w:val="14"/>
          <w:u w:val="single" w:color="auto"/>
          <w:color w:val="auto"/>
        </w:rPr>
        <w:t>Section 13.2.1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13.2.2</w:t>
      </w:r>
      <w:r>
        <w:rPr>
          <w:rFonts w:ascii="Times New Roman" w:cs="Times New Roman" w:eastAsia="Times New Roman" w:hAnsi="Times New Roman"/>
          <w:sz w:val="14"/>
          <w:szCs w:val="14"/>
          <w:color w:val="auto"/>
        </w:rPr>
        <w:t xml:space="preserve">, Licensee shall conduct all acts and fulfill all obligations set forth in this </w:t>
      </w:r>
      <w:r>
        <w:rPr>
          <w:rFonts w:ascii="Times New Roman" w:cs="Times New Roman" w:eastAsia="Times New Roman" w:hAnsi="Times New Roman"/>
          <w:sz w:val="14"/>
          <w:szCs w:val="14"/>
          <w:u w:val="single" w:color="auto"/>
          <w:color w:val="auto"/>
        </w:rPr>
        <w:t>Section 13.5.2(a)</w:t>
      </w:r>
      <w:r>
        <w:rPr>
          <w:rFonts w:ascii="Times New Roman" w:cs="Times New Roman" w:eastAsia="Times New Roman" w:hAnsi="Times New Roman"/>
          <w:sz w:val="14"/>
          <w:szCs w:val="14"/>
          <w:color w:val="auto"/>
        </w:rPr>
        <w:t xml:space="preserve"> at Licensee’s sole cost, except for the cost relating to Licensee’s holding, submitting or applying any Regulatory Submission or Regulatory Approval that cannot be assigned or transferred or at XENCOR’s request, with such actions being at XENCOR’s cost. Notwithstanding anything to the contrary contained in this Agreement, upon termination of this Agreement by Licensee pursuant to </w:t>
      </w:r>
      <w:r>
        <w:rPr>
          <w:rFonts w:ascii="Times New Roman" w:cs="Times New Roman" w:eastAsia="Times New Roman" w:hAnsi="Times New Roman"/>
          <w:sz w:val="14"/>
          <w:szCs w:val="14"/>
          <w:u w:val="single" w:color="auto"/>
          <w:color w:val="auto"/>
        </w:rPr>
        <w:t>Section 13.2.1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13.2.2</w:t>
      </w:r>
      <w:r>
        <w:rPr>
          <w:rFonts w:ascii="Times New Roman" w:cs="Times New Roman" w:eastAsia="Times New Roman" w:hAnsi="Times New Roman"/>
          <w:sz w:val="14"/>
          <w:szCs w:val="14"/>
          <w:color w:val="auto"/>
        </w:rPr>
        <w:t xml:space="preserve">, Licensee shall conduct all acts and fulfill all obligations set forth in </w:t>
      </w:r>
      <w:r>
        <w:rPr>
          <w:rFonts w:ascii="Times New Roman" w:cs="Times New Roman" w:eastAsia="Times New Roman" w:hAnsi="Times New Roman"/>
          <w:sz w:val="14"/>
          <w:szCs w:val="14"/>
          <w:u w:val="single" w:color="auto"/>
          <w:color w:val="auto"/>
        </w:rPr>
        <w:t>Section 13.5.2</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Section 13.5.9</w:t>
      </w:r>
      <w:r>
        <w:rPr>
          <w:rFonts w:ascii="Times New Roman" w:cs="Times New Roman" w:eastAsia="Times New Roman" w:hAnsi="Times New Roman"/>
          <w:sz w:val="14"/>
          <w:szCs w:val="14"/>
          <w:color w:val="auto"/>
        </w:rPr>
        <w:t xml:space="preserve"> at XENCOR’s cost.</w:t>
      </w: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16" w:name="page317"/>
    <w:bookmarkEnd w:id="316"/>
    <w:p>
      <w:pPr>
        <w:jc w:val="both"/>
        <w:ind w:left="540" w:hanging="537"/>
        <w:spacing w:after="0" w:line="248" w:lineRule="auto"/>
        <w:tabs>
          <w:tab w:leader="none" w:pos="54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Regulatory Transition Period</w:t>
      </w:r>
      <w:r>
        <w:rPr>
          <w:rFonts w:ascii="Times New Roman" w:cs="Times New Roman" w:eastAsia="Times New Roman" w:hAnsi="Times New Roman"/>
          <w:sz w:val="15"/>
          <w:szCs w:val="15"/>
          <w:color w:val="auto"/>
        </w:rPr>
        <w:t>. In the event that Licensee or its Sublicensees cannot assign to XENCOR or the XENCOR Transferee any Regulatory Submissions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 Regulatory Approvals related to the Terminated Asset(s) or the corresponding Products in the Field in the Licensed Territory pursuant to Applicable Laws, or XENCOR reasonably requests that Licensee or its Sublicensee continue to hold any such Regulatory Submissions or Regulatory Approvals, then, during any period after the effective date of termination in which Licensee or a Sublicensee holds any Regulatory Submissions or Regulatory Approvals related to the Licensed Assets or Products in the Field in the Licensed Territory (the “</w:t>
      </w:r>
      <w:r>
        <w:rPr>
          <w:rFonts w:ascii="Times New Roman" w:cs="Times New Roman" w:eastAsia="Times New Roman" w:hAnsi="Times New Roman"/>
          <w:sz w:val="15"/>
          <w:szCs w:val="15"/>
          <w:u w:val="single" w:color="auto"/>
          <w:color w:val="auto"/>
        </w:rPr>
        <w:t>Non-Transferred Regulatory Approvals</w:t>
      </w:r>
      <w:r>
        <w:rPr>
          <w:rFonts w:ascii="Times New Roman" w:cs="Times New Roman" w:eastAsia="Times New Roman" w:hAnsi="Times New Roman"/>
          <w:sz w:val="15"/>
          <w:szCs w:val="15"/>
          <w:color w:val="auto"/>
        </w:rPr>
        <w:t>”), Licensee shall take all lawful actions reasonably requested by XENCOR with respect to the Non-Transferred Regulatory Approvals and continue to perform its regulatory obligations under the Development Plan then in effect unless Licensee in good faith believes that such action may reasonably be likely to have a material detrimental effect on the health of study subjects. XENCOR shall reimburse Licensee for all costs incurred in connection with such actions.</w:t>
      </w:r>
    </w:p>
    <w:p>
      <w:pPr>
        <w:spacing w:after="0" w:line="156" w:lineRule="exact"/>
        <w:rPr>
          <w:sz w:val="20"/>
          <w:szCs w:val="20"/>
          <w:color w:val="auto"/>
        </w:rPr>
      </w:pPr>
    </w:p>
    <w:p>
      <w:pPr>
        <w:jc w:val="both"/>
        <w:ind w:hanging="526"/>
        <w:spacing w:after="0" w:line="249" w:lineRule="auto"/>
        <w:rPr>
          <w:sz w:val="20"/>
          <w:szCs w:val="20"/>
          <w:color w:val="auto"/>
        </w:rPr>
      </w:pPr>
      <w:r>
        <w:rPr>
          <w:rFonts w:ascii="Times New Roman" w:cs="Times New Roman" w:eastAsia="Times New Roman" w:hAnsi="Times New Roman"/>
          <w:sz w:val="15"/>
          <w:szCs w:val="15"/>
          <w:color w:val="auto"/>
        </w:rPr>
        <w:t>13.5.3</w:t>
      </w:r>
      <w:r>
        <w:rPr>
          <w:sz w:val="20"/>
          <w:szCs w:val="20"/>
          <w:color w:val="auto"/>
        </w:rPr>
        <w:t xml:space="preserve"> </w:t>
      </w:r>
      <w:r>
        <w:rPr>
          <w:rFonts w:ascii="Times New Roman" w:cs="Times New Roman" w:eastAsia="Times New Roman" w:hAnsi="Times New Roman"/>
          <w:sz w:val="15"/>
          <w:szCs w:val="15"/>
          <w:b w:val="1"/>
          <w:bCs w:val="1"/>
          <w:color w:val="auto"/>
        </w:rPr>
        <w:t>Transition Assistance</w:t>
      </w:r>
      <w:r>
        <w:rPr>
          <w:rFonts w:ascii="Times New Roman" w:cs="Times New Roman" w:eastAsia="Times New Roman" w:hAnsi="Times New Roman"/>
          <w:sz w:val="15"/>
          <w:szCs w:val="15"/>
          <w:color w:val="auto"/>
        </w:rPr>
        <w:t>. Until the effective date of termination, Licensee shall continue to perform its obligations under the Development Plan then in effect and pay all costs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allocated for it to pay in accordance with this Agreement, except with respect to activities that XENCOR elects to discontinue. Licensee shall reasonably cooperate with XENCOR to assure a smooth transition of any clinical trials or other Development activities related to the Terminated Assets or the corresponding Products in progress on the effective date of termination that XENCOR determines to continue in its sole discretion;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Licensee continues performance of any Development, (a) Licensee shall provide Development related data to XENCOR, and (b) XENCOR shall assume full financial responsibility from and after the effective date of such termination. In the event that XENCOR informs Licensee that it does not intend to continue specific Development activities in progress on the date of notice of termination, costs incurred in closing out such activities shall be borne by Licensee.</w:t>
      </w:r>
    </w:p>
    <w:p>
      <w:pPr>
        <w:spacing w:after="0" w:line="154" w:lineRule="exact"/>
        <w:rPr>
          <w:sz w:val="20"/>
          <w:szCs w:val="20"/>
          <w:color w:val="auto"/>
        </w:rPr>
      </w:pPr>
    </w:p>
    <w:p>
      <w:pPr>
        <w:jc w:val="both"/>
        <w:ind w:hanging="526"/>
        <w:spacing w:after="0" w:line="253" w:lineRule="auto"/>
        <w:rPr>
          <w:sz w:val="20"/>
          <w:szCs w:val="20"/>
          <w:color w:val="auto"/>
        </w:rPr>
      </w:pPr>
      <w:r>
        <w:rPr>
          <w:rFonts w:ascii="Times New Roman" w:cs="Times New Roman" w:eastAsia="Times New Roman" w:hAnsi="Times New Roman"/>
          <w:sz w:val="15"/>
          <w:szCs w:val="15"/>
          <w:color w:val="auto"/>
        </w:rPr>
        <w:t>13.5.4</w:t>
      </w:r>
      <w:r>
        <w:rPr>
          <w:sz w:val="20"/>
          <w:szCs w:val="20"/>
          <w:color w:val="auto"/>
        </w:rPr>
        <w:t xml:space="preserve"> </w:t>
      </w:r>
      <w:r>
        <w:rPr>
          <w:rFonts w:ascii="Times New Roman" w:cs="Times New Roman" w:eastAsia="Times New Roman" w:hAnsi="Times New Roman"/>
          <w:sz w:val="15"/>
          <w:szCs w:val="15"/>
          <w:b w:val="1"/>
          <w:bCs w:val="1"/>
          <w:color w:val="auto"/>
        </w:rPr>
        <w:t>Assignment of Third Party Agreements</w:t>
      </w:r>
      <w:r>
        <w:rPr>
          <w:rFonts w:ascii="Times New Roman" w:cs="Times New Roman" w:eastAsia="Times New Roman" w:hAnsi="Times New Roman"/>
          <w:sz w:val="15"/>
          <w:szCs w:val="15"/>
          <w:color w:val="auto"/>
        </w:rPr>
        <w:t>. At XENCOR’s sole discretion and direction, Licensee shall assign all of Licensee’s right, title and interest in and to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agreements (or portions thereof) between Licensee and Third Parties that solely relate to the Development, Commercialization or Manufacture of the Terminated Assets or the corresponding Products, where such assignment is permitted without charge to Licensee or its Affiliates and where XENCOR shall assume all future payments due under any agreement assigned pursuant to this subsection.</w:t>
      </w:r>
    </w:p>
    <w:p>
      <w:pPr>
        <w:spacing w:after="0" w:line="152" w:lineRule="exact"/>
        <w:rPr>
          <w:sz w:val="20"/>
          <w:szCs w:val="20"/>
          <w:color w:val="auto"/>
        </w:rPr>
      </w:pPr>
    </w:p>
    <w:p>
      <w:pPr>
        <w:jc w:val="both"/>
        <w:ind w:hanging="526"/>
        <w:spacing w:after="0" w:line="249" w:lineRule="auto"/>
        <w:rPr>
          <w:sz w:val="20"/>
          <w:szCs w:val="20"/>
          <w:color w:val="auto"/>
        </w:rPr>
      </w:pPr>
      <w:r>
        <w:rPr>
          <w:rFonts w:ascii="Times New Roman" w:cs="Times New Roman" w:eastAsia="Times New Roman" w:hAnsi="Times New Roman"/>
          <w:sz w:val="15"/>
          <w:szCs w:val="15"/>
          <w:color w:val="auto"/>
        </w:rPr>
        <w:t>13.5.5</w:t>
      </w:r>
      <w:r>
        <w:rPr>
          <w:sz w:val="20"/>
          <w:szCs w:val="20"/>
          <w:color w:val="auto"/>
        </w:rPr>
        <w:t xml:space="preserve"> </w:t>
      </w:r>
      <w:r>
        <w:rPr>
          <w:rFonts w:ascii="Times New Roman" w:cs="Times New Roman" w:eastAsia="Times New Roman" w:hAnsi="Times New Roman"/>
          <w:sz w:val="15"/>
          <w:szCs w:val="15"/>
          <w:b w:val="1"/>
          <w:bCs w:val="1"/>
          <w:color w:val="auto"/>
        </w:rPr>
        <w:t>Transfer of Commercialization Documentation</w:t>
      </w:r>
      <w:r>
        <w:rPr>
          <w:rFonts w:ascii="Times New Roman" w:cs="Times New Roman" w:eastAsia="Times New Roman" w:hAnsi="Times New Roman"/>
          <w:sz w:val="15"/>
          <w:szCs w:val="15"/>
          <w:color w:val="auto"/>
        </w:rPr>
        <w:t>. At XENCOR’s sole discretion and direction, Licensee shall, and shall cause its Sublicensees to transfer to XENCOR 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XENCOR Transferee a copy of all materials being developed, used, or which Licensee intends to or may use in relation to Commercialization of the Terminated Assets or the corresponding Products in the Licensed Territory including all customer lists, promotional or marketing materials, written sales and advertising materials, marketing and commercialization data, detail aids, brochures, hand-outs, reprints, booth panels and any other promotional support items, and medical education materials, which may include educational aids, visit aids, brochures, hand-outs, reprints, booth panels, scientific and research articles, and any other medical education support items;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Licensee may redact the foregoing Commercialization documentation for any confidential or proprietary information of Licensee, its Affiliates or Sublicensees that is not related to the Commercialization of the Terminated Assets and the corresponding Products.</w:t>
      </w:r>
    </w:p>
    <w:p>
      <w:pPr>
        <w:spacing w:after="0" w:line="3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11430</wp:posOffset>
            </wp:positionV>
            <wp:extent cx="7157720" cy="69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220"/>
          </w:cols>
          <w:pgMar w:left="1360" w:top="760" w:right="319" w:bottom="1440" w:gutter="0" w:footer="0" w:header="0"/>
        </w:sectPr>
      </w:pPr>
    </w:p>
    <w:bookmarkStart w:id="317" w:name="page318"/>
    <w:bookmarkEnd w:id="317"/>
    <w:p>
      <w:pPr>
        <w:jc w:val="both"/>
        <w:ind w:hanging="526"/>
        <w:spacing w:after="0" w:line="272" w:lineRule="auto"/>
        <w:rPr>
          <w:sz w:val="20"/>
          <w:szCs w:val="20"/>
          <w:color w:val="auto"/>
        </w:rPr>
      </w:pPr>
      <w:r>
        <w:rPr>
          <w:rFonts w:ascii="Times New Roman" w:cs="Times New Roman" w:eastAsia="Times New Roman" w:hAnsi="Times New Roman"/>
          <w:sz w:val="15"/>
          <w:szCs w:val="15"/>
          <w:color w:val="auto"/>
        </w:rPr>
        <w:t>13.5.6</w:t>
      </w:r>
      <w:r>
        <w:rPr>
          <w:sz w:val="20"/>
          <w:szCs w:val="20"/>
          <w:color w:val="auto"/>
        </w:rPr>
        <w:t xml:space="preserve"> </w:t>
      </w:r>
      <w:r>
        <w:rPr>
          <w:rFonts w:ascii="Times New Roman" w:cs="Times New Roman" w:eastAsia="Times New Roman" w:hAnsi="Times New Roman"/>
          <w:sz w:val="15"/>
          <w:szCs w:val="15"/>
          <w:b w:val="1"/>
          <w:bCs w:val="1"/>
          <w:color w:val="auto"/>
        </w:rPr>
        <w:t>Transfer of Product Trademark</w:t>
      </w:r>
      <w:r>
        <w:rPr>
          <w:rFonts w:ascii="Times New Roman" w:cs="Times New Roman" w:eastAsia="Times New Roman" w:hAnsi="Times New Roman"/>
          <w:sz w:val="15"/>
          <w:szCs w:val="15"/>
          <w:color w:val="auto"/>
        </w:rPr>
        <w:t>. At XENCOR’s sole discretion and direction, Licensee shall transfer and assign all rights and interests in any Product Trademark in relation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the Terminated Assets or corresponding Products, other than a Product Trademark XENCOR already owns.</w:t>
      </w:r>
    </w:p>
    <w:p>
      <w:pPr>
        <w:spacing w:after="0" w:line="136" w:lineRule="exact"/>
        <w:rPr>
          <w:sz w:val="20"/>
          <w:szCs w:val="20"/>
          <w:color w:val="auto"/>
        </w:rPr>
      </w:pPr>
    </w:p>
    <w:p>
      <w:pPr>
        <w:jc w:val="both"/>
        <w:ind w:hanging="526"/>
        <w:spacing w:after="0" w:line="272" w:lineRule="auto"/>
        <w:rPr>
          <w:sz w:val="20"/>
          <w:szCs w:val="20"/>
          <w:color w:val="auto"/>
        </w:rPr>
      </w:pPr>
      <w:r>
        <w:rPr>
          <w:rFonts w:ascii="Times New Roman" w:cs="Times New Roman" w:eastAsia="Times New Roman" w:hAnsi="Times New Roman"/>
          <w:sz w:val="15"/>
          <w:szCs w:val="15"/>
          <w:color w:val="auto"/>
        </w:rPr>
        <w:t>13.5.7</w:t>
      </w:r>
      <w:r>
        <w:rPr>
          <w:sz w:val="20"/>
          <w:szCs w:val="20"/>
          <w:color w:val="auto"/>
        </w:rPr>
        <w:t xml:space="preserve"> </w:t>
      </w:r>
      <w:r>
        <w:rPr>
          <w:rFonts w:ascii="Times New Roman" w:cs="Times New Roman" w:eastAsia="Times New Roman" w:hAnsi="Times New Roman"/>
          <w:sz w:val="15"/>
          <w:szCs w:val="15"/>
          <w:b w:val="1"/>
          <w:bCs w:val="1"/>
          <w:color w:val="auto"/>
        </w:rPr>
        <w:t>Return or Destruction of Confidential Information</w:t>
      </w:r>
      <w:r>
        <w:rPr>
          <w:rFonts w:ascii="Times New Roman" w:cs="Times New Roman" w:eastAsia="Times New Roman" w:hAnsi="Times New Roman"/>
          <w:sz w:val="15"/>
          <w:szCs w:val="15"/>
          <w:color w:val="auto"/>
        </w:rPr>
        <w:t>. Each Party shall return or destroy, at the other Party’s reasonable discretion, the other Party’s Confidential Information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in accordance with </w:t>
      </w:r>
      <w:r>
        <w:rPr>
          <w:rFonts w:ascii="Times New Roman" w:cs="Times New Roman" w:eastAsia="Times New Roman" w:hAnsi="Times New Roman"/>
          <w:sz w:val="15"/>
          <w:szCs w:val="15"/>
          <w:u w:val="single" w:color="auto"/>
          <w:color w:val="auto"/>
        </w:rPr>
        <w:t>Section 9.1.5</w:t>
      </w:r>
      <w:r>
        <w:rPr>
          <w:rFonts w:ascii="Times New Roman" w:cs="Times New Roman" w:eastAsia="Times New Roman" w:hAnsi="Times New Roman"/>
          <w:sz w:val="15"/>
          <w:szCs w:val="15"/>
          <w:color w:val="auto"/>
        </w:rPr>
        <w:t>, to the extent related to the Terminated Assets or corresponding Products.</w:t>
      </w:r>
    </w:p>
    <w:p>
      <w:pPr>
        <w:spacing w:after="0" w:line="136" w:lineRule="exact"/>
        <w:rPr>
          <w:sz w:val="20"/>
          <w:szCs w:val="20"/>
          <w:color w:val="auto"/>
        </w:rPr>
      </w:pPr>
    </w:p>
    <w:p>
      <w:pPr>
        <w:jc w:val="both"/>
        <w:ind w:hanging="526"/>
        <w:spacing w:after="0" w:line="272" w:lineRule="auto"/>
        <w:rPr>
          <w:sz w:val="20"/>
          <w:szCs w:val="20"/>
          <w:color w:val="auto"/>
        </w:rPr>
      </w:pPr>
      <w:r>
        <w:rPr>
          <w:rFonts w:ascii="Times New Roman" w:cs="Times New Roman" w:eastAsia="Times New Roman" w:hAnsi="Times New Roman"/>
          <w:sz w:val="15"/>
          <w:szCs w:val="15"/>
          <w:color w:val="auto"/>
        </w:rPr>
        <w:t>13.5.8</w:t>
      </w:r>
      <w:r>
        <w:rPr>
          <w:sz w:val="20"/>
          <w:szCs w:val="20"/>
          <w:color w:val="auto"/>
        </w:rPr>
        <w:t xml:space="preserve"> </w:t>
      </w:r>
      <w:r>
        <w:rPr>
          <w:rFonts w:ascii="Times New Roman" w:cs="Times New Roman" w:eastAsia="Times New Roman" w:hAnsi="Times New Roman"/>
          <w:sz w:val="15"/>
          <w:szCs w:val="15"/>
          <w:b w:val="1"/>
          <w:bCs w:val="1"/>
          <w:color w:val="auto"/>
        </w:rPr>
        <w:t>Return or Destruction of XENCOR Materials</w:t>
      </w:r>
      <w:r>
        <w:rPr>
          <w:rFonts w:ascii="Times New Roman" w:cs="Times New Roman" w:eastAsia="Times New Roman" w:hAnsi="Times New Roman"/>
          <w:sz w:val="15"/>
          <w:szCs w:val="15"/>
          <w:color w:val="auto"/>
        </w:rPr>
        <w:t>. Licensee shall promptly return to XENCOR or destroy, at XENCOR’s reasonable election, all Materials received from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XENCOR in its possession or Control that are related to the Terminated Assets or corresponding Products.</w:t>
      </w:r>
    </w:p>
    <w:p>
      <w:pPr>
        <w:spacing w:after="0" w:line="136" w:lineRule="exact"/>
        <w:rPr>
          <w:sz w:val="20"/>
          <w:szCs w:val="20"/>
          <w:color w:val="auto"/>
        </w:rPr>
      </w:pPr>
    </w:p>
    <w:p>
      <w:pPr>
        <w:jc w:val="both"/>
        <w:ind w:hanging="526"/>
        <w:spacing w:after="0" w:line="248" w:lineRule="auto"/>
        <w:rPr>
          <w:sz w:val="20"/>
          <w:szCs w:val="20"/>
          <w:color w:val="auto"/>
        </w:rPr>
      </w:pPr>
      <w:r>
        <w:rPr>
          <w:rFonts w:ascii="Times New Roman" w:cs="Times New Roman" w:eastAsia="Times New Roman" w:hAnsi="Times New Roman"/>
          <w:sz w:val="15"/>
          <w:szCs w:val="15"/>
          <w:color w:val="auto"/>
        </w:rPr>
        <w:t>13.5.9</w:t>
      </w:r>
      <w:r>
        <w:rPr>
          <w:sz w:val="20"/>
          <w:szCs w:val="20"/>
          <w:color w:val="auto"/>
        </w:rPr>
        <w:t xml:space="preserve"> </w:t>
      </w:r>
      <w:r>
        <w:rPr>
          <w:rFonts w:ascii="Times New Roman" w:cs="Times New Roman" w:eastAsia="Times New Roman" w:hAnsi="Times New Roman"/>
          <w:sz w:val="15"/>
          <w:szCs w:val="15"/>
          <w:b w:val="1"/>
          <w:bCs w:val="1"/>
          <w:color w:val="auto"/>
        </w:rPr>
        <w:t>Disclosure and Delivery</w:t>
      </w:r>
      <w:r>
        <w:rPr>
          <w:rFonts w:ascii="Times New Roman" w:cs="Times New Roman" w:eastAsia="Times New Roman" w:hAnsi="Times New Roman"/>
          <w:sz w:val="15"/>
          <w:szCs w:val="15"/>
          <w:color w:val="auto"/>
        </w:rPr>
        <w:t>. Upon the termination of this Agreement with respect to the Terminated Assets and the corresponding Products and upon XENCOR providing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Licensee with a written notice that XENCOR elects to continue the Development and Commercialization of such Terminated Assets or the corresponding Products in the Field in the Licensed Territory, Licensee will promptly transfer to XENCOR copies of any physical embodiment of any Licensee Know-How relating to the Terminated Assets and the corresponding Products, to the extent used by Licensee or its Affiliates in connection with the Development, Manufacture or Commercialization of the Terminated Assets or the corresponding Products. The foregoing transfer shall be effected by the delivery of material documents, to the extent such Licensee Know-How is embodied in such documents, and to the extent that such Licensee Know-How is not fully embodied in such documents, Licensee shall, upon the reasonable request of XENCOR, make its employees and agents who have knowledge of such Licensee Know-How in addition to that embodied in documents available to XENCOR for interviews, demonstrations and training to effect such transfer in a manner sufficient to enable XENCOR to practice such Licensee Know-How, either at Licensee’s facilities or through teleconferences.</w:t>
      </w:r>
    </w:p>
    <w:p>
      <w:pPr>
        <w:spacing w:after="0" w:line="154" w:lineRule="exact"/>
        <w:rPr>
          <w:sz w:val="20"/>
          <w:szCs w:val="20"/>
          <w:color w:val="auto"/>
        </w:rPr>
      </w:pPr>
    </w:p>
    <w:p>
      <w:pPr>
        <w:jc w:val="both"/>
        <w:ind w:hanging="526"/>
        <w:spacing w:after="0" w:line="251" w:lineRule="auto"/>
        <w:rPr>
          <w:sz w:val="20"/>
          <w:szCs w:val="20"/>
          <w:color w:val="auto"/>
        </w:rPr>
      </w:pPr>
      <w:r>
        <w:rPr>
          <w:rFonts w:ascii="Times New Roman" w:cs="Times New Roman" w:eastAsia="Times New Roman" w:hAnsi="Times New Roman"/>
          <w:sz w:val="15"/>
          <w:szCs w:val="15"/>
          <w:color w:val="auto"/>
        </w:rPr>
        <w:t xml:space="preserve">13.5.10 </w:t>
      </w:r>
      <w:r>
        <w:rPr>
          <w:rFonts w:ascii="Times New Roman" w:cs="Times New Roman" w:eastAsia="Times New Roman" w:hAnsi="Times New Roman"/>
          <w:sz w:val="15"/>
          <w:szCs w:val="15"/>
          <w:b w:val="1"/>
          <w:bCs w:val="1"/>
          <w:color w:val="auto"/>
        </w:rPr>
        <w:t>Inventory</w:t>
      </w:r>
      <w:r>
        <w:rPr>
          <w:rFonts w:ascii="Times New Roman" w:cs="Times New Roman" w:eastAsia="Times New Roman" w:hAnsi="Times New Roman"/>
          <w:sz w:val="15"/>
          <w:szCs w:val="15"/>
          <w:color w:val="auto"/>
        </w:rPr>
        <w:t xml:space="preserve">. At XENCOR’s request, XENCOR may purchase at [***] all of the inventory of the Terminated Assets and the corresponding Products held by Licensee on the effective date of termination (including finished, unfinished, or partially finished goods) in the Licensed Territory. XENCOR shall notify Licensee within [***] after the effective date of termination whether XENCOR wishes to purchase such inventory. In the event XENCOR does not purchase such inventory, then Licensee shall be permitted to sell such inventory,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such sales occur within [***] after the effective date of termination and, </w:t>
      </w:r>
      <w:r>
        <w:rPr>
          <w:rFonts w:ascii="Times New Roman" w:cs="Times New Roman" w:eastAsia="Times New Roman" w:hAnsi="Times New Roman"/>
          <w:sz w:val="15"/>
          <w:szCs w:val="15"/>
          <w:u w:val="single" w:color="auto"/>
          <w:color w:val="auto"/>
        </w:rPr>
        <w:t>provided further</w:t>
      </w:r>
      <w:r>
        <w:rPr>
          <w:rFonts w:ascii="Times New Roman" w:cs="Times New Roman" w:eastAsia="Times New Roman" w:hAnsi="Times New Roman"/>
          <w:sz w:val="15"/>
          <w:szCs w:val="15"/>
          <w:color w:val="auto"/>
        </w:rPr>
        <w:t xml:space="preserve"> that Licensee shall remain obligated to pay royalties and report to XENCOR with respect to Net Sales of such inventory in accordance with </w:t>
      </w:r>
      <w:r>
        <w:rPr>
          <w:rFonts w:ascii="Times New Roman" w:cs="Times New Roman" w:eastAsia="Times New Roman" w:hAnsi="Times New Roman"/>
          <w:sz w:val="15"/>
          <w:szCs w:val="15"/>
          <w:u w:val="single" w:color="auto"/>
          <w:color w:val="auto"/>
        </w:rPr>
        <w:t>Article 8</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jc w:val="both"/>
        <w:ind w:hanging="526"/>
        <w:spacing w:after="0" w:line="246" w:lineRule="auto"/>
        <w:rPr>
          <w:sz w:val="20"/>
          <w:szCs w:val="20"/>
          <w:color w:val="auto"/>
        </w:rPr>
      </w:pPr>
      <w:r>
        <w:rPr>
          <w:rFonts w:ascii="Times New Roman" w:cs="Times New Roman" w:eastAsia="Times New Roman" w:hAnsi="Times New Roman"/>
          <w:sz w:val="15"/>
          <w:szCs w:val="15"/>
          <w:color w:val="auto"/>
        </w:rPr>
        <w:t xml:space="preserve">13.5.11 </w:t>
      </w:r>
      <w:r>
        <w:rPr>
          <w:rFonts w:ascii="Times New Roman" w:cs="Times New Roman" w:eastAsia="Times New Roman" w:hAnsi="Times New Roman"/>
          <w:sz w:val="15"/>
          <w:szCs w:val="15"/>
          <w:b w:val="1"/>
          <w:bCs w:val="1"/>
          <w:color w:val="auto"/>
        </w:rPr>
        <w:t>License Grant by and Payment to Licensee</w:t>
      </w:r>
      <w:r>
        <w:rPr>
          <w:rFonts w:ascii="Times New Roman" w:cs="Times New Roman" w:eastAsia="Times New Roman" w:hAnsi="Times New Roman"/>
          <w:sz w:val="15"/>
          <w:szCs w:val="15"/>
          <w:color w:val="auto"/>
        </w:rPr>
        <w:t xml:space="preserve">. If the license to Licensee under </w:t>
      </w:r>
      <w:r>
        <w:rPr>
          <w:rFonts w:ascii="Times New Roman" w:cs="Times New Roman" w:eastAsia="Times New Roman" w:hAnsi="Times New Roman"/>
          <w:sz w:val="15"/>
          <w:szCs w:val="15"/>
          <w:u w:val="single" w:color="auto"/>
          <w:color w:val="auto"/>
        </w:rPr>
        <w:t>Section 2.1.1</w:t>
      </w:r>
      <w:r>
        <w:rPr>
          <w:rFonts w:ascii="Times New Roman" w:cs="Times New Roman" w:eastAsia="Times New Roman" w:hAnsi="Times New Roman"/>
          <w:sz w:val="15"/>
          <w:szCs w:val="15"/>
          <w:color w:val="auto"/>
        </w:rPr>
        <w:t xml:space="preserve"> terminates with respect to any Terminated Asset(s) and the corresponding Products and XENCOR elects, pursuant to </w:t>
      </w:r>
      <w:r>
        <w:rPr>
          <w:rFonts w:ascii="Times New Roman" w:cs="Times New Roman" w:eastAsia="Times New Roman" w:hAnsi="Times New Roman"/>
          <w:sz w:val="15"/>
          <w:szCs w:val="15"/>
          <w:u w:val="single" w:color="auto"/>
          <w:color w:val="auto"/>
        </w:rPr>
        <w:t>Section 13.5.9</w:t>
      </w:r>
      <w:r>
        <w:rPr>
          <w:rFonts w:ascii="Times New Roman" w:cs="Times New Roman" w:eastAsia="Times New Roman" w:hAnsi="Times New Roman"/>
          <w:sz w:val="15"/>
          <w:szCs w:val="15"/>
          <w:color w:val="auto"/>
        </w:rPr>
        <w:t xml:space="preserve">, to continue the Development and Commercialization of such Terminated Asset(s) or the corresponding Products in the Field in the Licensed Territory, then, effective upon the effective date of such termination with respect to such Terminated Asset(s), (a) Licensee hereby grants to XENCOR (i) an exclusive license under and with respect to the Licensee Patent Rights, and (ii) a non-exclusive license under and with respect to Licensee Know-How, in each case (i) and (ii), to the extent used by Licensee or its Affiliates (or their sublicensees) in connection with the Development, Manufacture or Commercialization of the Terminated Assets and the corresponding Products, where such license is an irrevocable, perpetual, royalty-bearing license, with the right to sublicense (through multiple tiers), solely to Develop, Manufacture, and Commercialize the applicable Terminated Assets and any corresponding Products; and (b) XENCOR shall pay to Licensee (1) in the case XENCOR or its Affiliate Commercializes such Products, [***] of XENCOR’s (or its Affiliate’s) Net Sales of such Products (applied </w:t>
      </w:r>
      <w:r>
        <w:rPr>
          <w:rFonts w:ascii="Times New Roman" w:cs="Times New Roman" w:eastAsia="Times New Roman" w:hAnsi="Times New Roman"/>
          <w:sz w:val="15"/>
          <w:szCs w:val="15"/>
          <w:i w:val="1"/>
          <w:iCs w:val="1"/>
          <w:color w:val="auto"/>
        </w:rPr>
        <w:t>mutatis</w:t>
      </w:r>
      <w:r>
        <w:rPr>
          <w:rFonts w:ascii="Times New Roman" w:cs="Times New Roman" w:eastAsia="Times New Roman" w:hAnsi="Times New Roman"/>
          <w:sz w:val="15"/>
          <w:szCs w:val="15"/>
          <w:color w:val="auto"/>
        </w:rPr>
        <w:t xml:space="preserve"> mutandis with payment terms hereunder applicable to royalty payments from Licensee to XENCOR, including any applicable royalty reductions), on a Region-by-Region basis, or (2) in the case XENCOR sublicenses the rights granted to XENCOR under the foregoing clause (a), [***] of all payments (including upfront payments, milestone payments, or royalties) XENCOR actually receives from Third Party sublicensees in consideration for the sublicense of the rights granted under the foregoing clause (a). XENCOR’s obligation to make such payments to Licensee shall continue on a Product-by-Product basis and Region-by-Region basis until the expiration of the last Valid Claim of a Licensee Patent Right that Covers the Development, Manufacture or Commercialization of the applicable Products in the Region in the Licensed Territory where such Product is sold. XENCOR shall make such payments on a quarterly basis and the definition of “Net Sales,” </w:t>
      </w:r>
      <w:r>
        <w:rPr>
          <w:rFonts w:ascii="Times New Roman" w:cs="Times New Roman" w:eastAsia="Times New Roman" w:hAnsi="Times New Roman"/>
          <w:sz w:val="15"/>
          <w:szCs w:val="15"/>
          <w:u w:val="single" w:color="auto"/>
          <w:color w:val="auto"/>
        </w:rPr>
        <w:t>Section 8.2.3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8.3</w:t>
      </w:r>
      <w:r>
        <w:rPr>
          <w:rFonts w:ascii="Times New Roman" w:cs="Times New Roman" w:eastAsia="Times New Roman" w:hAnsi="Times New Roman"/>
          <w:sz w:val="15"/>
          <w:szCs w:val="15"/>
          <w:color w:val="auto"/>
        </w:rPr>
        <w:t xml:space="preserve"> to </w:t>
      </w:r>
      <w:r>
        <w:rPr>
          <w:rFonts w:ascii="Times New Roman" w:cs="Times New Roman" w:eastAsia="Times New Roman" w:hAnsi="Times New Roman"/>
          <w:sz w:val="15"/>
          <w:szCs w:val="15"/>
          <w:u w:val="single" w:color="auto"/>
          <w:color w:val="auto"/>
        </w:rPr>
        <w:t>Section 8.9</w:t>
      </w:r>
      <w:r>
        <w:rPr>
          <w:rFonts w:ascii="Times New Roman" w:cs="Times New Roman" w:eastAsia="Times New Roman" w:hAnsi="Times New Roman"/>
          <w:sz w:val="15"/>
          <w:szCs w:val="15"/>
          <w:color w:val="auto"/>
        </w:rPr>
        <w:t xml:space="preserve"> shall apply </w:t>
      </w:r>
      <w:r>
        <w:rPr>
          <w:rFonts w:ascii="Times New Roman" w:cs="Times New Roman" w:eastAsia="Times New Roman" w:hAnsi="Times New Roman"/>
          <w:sz w:val="15"/>
          <w:szCs w:val="15"/>
          <w:i w:val="1"/>
          <w:iCs w:val="1"/>
          <w:color w:val="auto"/>
        </w:rPr>
        <w:t>mutatis mutandis</w:t>
      </w:r>
      <w:r>
        <w:rPr>
          <w:rFonts w:ascii="Times New Roman" w:cs="Times New Roman" w:eastAsia="Times New Roman" w:hAnsi="Times New Roman"/>
          <w:sz w:val="15"/>
          <w:szCs w:val="15"/>
          <w:color w:val="auto"/>
        </w:rPr>
        <w:t xml:space="preserve"> to XENCOR with respect to such royalty payments.</w:t>
      </w:r>
    </w:p>
    <w:p>
      <w:pPr>
        <w:spacing w:after="0" w:line="3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11430</wp:posOffset>
            </wp:positionV>
            <wp:extent cx="7157720"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220"/>
          </w:cols>
          <w:pgMar w:left="1360" w:top="760" w:right="319" w:bottom="1440" w:gutter="0" w:footer="0" w:header="0"/>
        </w:sectPr>
      </w:pPr>
    </w:p>
    <w:bookmarkStart w:id="318" w:name="page319"/>
    <w:bookmarkEnd w:id="318"/>
    <w:p>
      <w:pPr>
        <w:jc w:val="both"/>
        <w:ind w:left="1060" w:hanging="526"/>
        <w:spacing w:after="0" w:line="251" w:lineRule="auto"/>
        <w:rPr>
          <w:sz w:val="20"/>
          <w:szCs w:val="20"/>
          <w:color w:val="auto"/>
        </w:rPr>
      </w:pPr>
      <w:r>
        <w:rPr>
          <w:rFonts w:ascii="Times New Roman" w:cs="Times New Roman" w:eastAsia="Times New Roman" w:hAnsi="Times New Roman"/>
          <w:sz w:val="15"/>
          <w:szCs w:val="15"/>
          <w:color w:val="auto"/>
        </w:rPr>
        <w:t xml:space="preserve">13.5.12 </w:t>
      </w:r>
      <w:r>
        <w:rPr>
          <w:rFonts w:ascii="Times New Roman" w:cs="Times New Roman" w:eastAsia="Times New Roman" w:hAnsi="Times New Roman"/>
          <w:sz w:val="15"/>
          <w:szCs w:val="15"/>
          <w:b w:val="1"/>
          <w:bCs w:val="1"/>
          <w:color w:val="auto"/>
        </w:rPr>
        <w:t>Survival of Certain Obligations</w:t>
      </w:r>
      <w:r>
        <w:rPr>
          <w:rFonts w:ascii="Times New Roman" w:cs="Times New Roman" w:eastAsia="Times New Roman" w:hAnsi="Times New Roman"/>
          <w:sz w:val="15"/>
          <w:szCs w:val="15"/>
          <w:color w:val="auto"/>
        </w:rPr>
        <w:t xml:space="preserve">. Expiration or termination of this Agreement shall not relieve the Parties of any obligation accruing before or at the time of such expiration or termination. The provisions of this Agreement that must, by their nature, survive expiration or termination of this Agreement to give effect to their intent, shall so survive, including </w:t>
      </w:r>
      <w:r>
        <w:rPr>
          <w:rFonts w:ascii="Times New Roman" w:cs="Times New Roman" w:eastAsia="Times New Roman" w:hAnsi="Times New Roman"/>
          <w:sz w:val="15"/>
          <w:szCs w:val="15"/>
          <w:u w:val="single" w:color="auto"/>
          <w:color w:val="auto"/>
        </w:rPr>
        <w:t>Article 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2.6</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Sections 8.2 through 8.9</w:t>
      </w:r>
      <w:r>
        <w:rPr>
          <w:rFonts w:ascii="Times New Roman" w:cs="Times New Roman" w:eastAsia="Times New Roman" w:hAnsi="Times New Roman"/>
          <w:sz w:val="15"/>
          <w:szCs w:val="15"/>
          <w:color w:val="auto"/>
        </w:rPr>
        <w:t xml:space="preserve"> (only with respect to payments accrued before expiration or termination of this Agreement), </w:t>
      </w:r>
      <w:r>
        <w:rPr>
          <w:rFonts w:ascii="Times New Roman" w:cs="Times New Roman" w:eastAsia="Times New Roman" w:hAnsi="Times New Roman"/>
          <w:sz w:val="15"/>
          <w:szCs w:val="15"/>
          <w:u w:val="single" w:color="auto"/>
          <w:color w:val="auto"/>
        </w:rPr>
        <w:t>Section 9.1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10.5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11.2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13.5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Article 14</w:t>
      </w:r>
      <w:r>
        <w:rPr>
          <w:rFonts w:ascii="Times New Roman" w:cs="Times New Roman" w:eastAsia="Times New Roman" w:hAnsi="Times New Roman"/>
          <w:sz w:val="15"/>
          <w:szCs w:val="15"/>
          <w:color w:val="auto"/>
        </w:rPr>
        <w:t xml:space="preserve"> (other than </w:t>
      </w:r>
      <w:r>
        <w:rPr>
          <w:rFonts w:ascii="Times New Roman" w:cs="Times New Roman" w:eastAsia="Times New Roman" w:hAnsi="Times New Roman"/>
          <w:sz w:val="15"/>
          <w:szCs w:val="15"/>
          <w:u w:val="single" w:color="auto"/>
          <w:color w:val="auto"/>
        </w:rPr>
        <w:t>Section 14.4</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Article 15</w:t>
      </w:r>
      <w:r>
        <w:rPr>
          <w:rFonts w:ascii="Times New Roman" w:cs="Times New Roman" w:eastAsia="Times New Roman" w:hAnsi="Times New Roman"/>
          <w:sz w:val="15"/>
          <w:szCs w:val="15"/>
          <w:color w:val="auto"/>
        </w:rPr>
        <w:t>. Any expiration or early termination of this Agreement shall be without prejudice to the rights or remedies either Party may have at law or in equity against the other accrued or accruing under this Agreement before termination.</w:t>
      </w:r>
    </w:p>
    <w:p>
      <w:pPr>
        <w:spacing w:after="0" w:line="153" w:lineRule="exact"/>
        <w:rPr>
          <w:sz w:val="20"/>
          <w:szCs w:val="20"/>
          <w:color w:val="auto"/>
        </w:rPr>
      </w:pPr>
    </w:p>
    <w:p>
      <w:pPr>
        <w:ind w:left="540" w:hanging="532"/>
        <w:spacing w:after="0"/>
        <w:tabs>
          <w:tab w:leader="none" w:pos="540" w:val="left"/>
        </w:tabs>
        <w:numPr>
          <w:ilvl w:val="0"/>
          <w:numId w:val="18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Indemnification and Insurance</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left="540" w:hanging="526"/>
        <w:spacing w:after="0" w:line="253" w:lineRule="auto"/>
        <w:tabs>
          <w:tab w:leader="none" w:pos="520" w:val="left"/>
        </w:tabs>
        <w:rPr>
          <w:sz w:val="20"/>
          <w:szCs w:val="20"/>
          <w:color w:val="auto"/>
        </w:rPr>
      </w:pPr>
      <w:r>
        <w:rPr>
          <w:rFonts w:ascii="Times New Roman" w:cs="Times New Roman" w:eastAsia="Times New Roman" w:hAnsi="Times New Roman"/>
          <w:sz w:val="15"/>
          <w:szCs w:val="15"/>
          <w:color w:val="auto"/>
        </w:rPr>
        <w:t>14.1</w:t>
      </w:r>
      <w:r>
        <w:rPr>
          <w:sz w:val="20"/>
          <w:szCs w:val="20"/>
          <w:color w:val="auto"/>
        </w:rPr>
        <w:tab/>
      </w:r>
      <w:r>
        <w:rPr>
          <w:rFonts w:ascii="Times New Roman" w:cs="Times New Roman" w:eastAsia="Times New Roman" w:hAnsi="Times New Roman"/>
          <w:sz w:val="15"/>
          <w:szCs w:val="15"/>
          <w:b w:val="1"/>
          <w:bCs w:val="1"/>
          <w:color w:val="auto"/>
        </w:rPr>
        <w:t>Indemnification by XENCOR</w:t>
      </w:r>
      <w:r>
        <w:rPr>
          <w:rFonts w:ascii="Times New Roman" w:cs="Times New Roman" w:eastAsia="Times New Roman" w:hAnsi="Times New Roman"/>
          <w:sz w:val="15"/>
          <w:szCs w:val="15"/>
          <w:color w:val="auto"/>
        </w:rPr>
        <w:t>. XENCOR shall indemnify, defend and hold harmless Licensee, its Affiliates and its Sublicensees, and each of its and their respective employees,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officers, directors, agents and assigns (each, a “</w:t>
      </w:r>
      <w:r>
        <w:rPr>
          <w:rFonts w:ascii="Times New Roman" w:cs="Times New Roman" w:eastAsia="Times New Roman" w:hAnsi="Times New Roman"/>
          <w:sz w:val="15"/>
          <w:szCs w:val="15"/>
          <w:u w:val="single" w:color="auto"/>
          <w:color w:val="auto"/>
        </w:rPr>
        <w:t>Licensee Indemnified Party</w:t>
      </w:r>
      <w:r>
        <w:rPr>
          <w:rFonts w:ascii="Times New Roman" w:cs="Times New Roman" w:eastAsia="Times New Roman" w:hAnsi="Times New Roman"/>
          <w:sz w:val="15"/>
          <w:szCs w:val="15"/>
          <w:color w:val="auto"/>
        </w:rPr>
        <w:t>”) from and against any and all losses, damages, liabilities, settlements, penalties, fines and expenses (including reasonable attorneys’ fees and expenses) (collectively, “</w:t>
      </w:r>
      <w:r>
        <w:rPr>
          <w:rFonts w:ascii="Times New Roman" w:cs="Times New Roman" w:eastAsia="Times New Roman" w:hAnsi="Times New Roman"/>
          <w:sz w:val="15"/>
          <w:szCs w:val="15"/>
          <w:u w:val="single" w:color="auto"/>
          <w:color w:val="auto"/>
        </w:rPr>
        <w:t>Liability</w:t>
      </w:r>
      <w:r>
        <w:rPr>
          <w:rFonts w:ascii="Times New Roman" w:cs="Times New Roman" w:eastAsia="Times New Roman" w:hAnsi="Times New Roman"/>
          <w:sz w:val="15"/>
          <w:szCs w:val="15"/>
          <w:color w:val="auto"/>
        </w:rPr>
        <w:t>”) that the Licensee Indemnified Party may be required to pay to one or more Third Parties as a result of Third Party claims resulting from or arising out of:</w:t>
      </w:r>
    </w:p>
    <w:p>
      <w:pPr>
        <w:spacing w:after="0" w:line="154" w:lineRule="exact"/>
        <w:rPr>
          <w:sz w:val="20"/>
          <w:szCs w:val="20"/>
          <w:color w:val="auto"/>
        </w:rPr>
      </w:pPr>
    </w:p>
    <w:p>
      <w:pPr>
        <w:ind w:left="1600" w:hanging="537"/>
        <w:spacing w:after="0" w:line="269" w:lineRule="auto"/>
        <w:tabs>
          <w:tab w:leader="none" w:pos="1600"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XENCOR representation or warranty set forth herein being untrue in any material respect when made or any material breach by XENCOR of any of its covenants or obligations hereunder; or</w:t>
      </w: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19" w:name="page320"/>
    <w:bookmarkEnd w:id="319"/>
    <w:p>
      <w:pPr>
        <w:ind w:left="1600" w:hanging="537"/>
        <w:spacing w:after="0" w:line="269" w:lineRule="auto"/>
        <w:tabs>
          <w:tab w:leader="none" w:pos="160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gross negligence or willful misconduct by or of XENCOR or its Affiliates or (sub)licensees, or any of its or their respective employees, officers, directors, and agents under this Agreement;</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except in each case, to the extent such Liability is subject to indemnification by Licensee pursuant to </w:t>
      </w:r>
      <w:r>
        <w:rPr>
          <w:rFonts w:ascii="Times New Roman" w:cs="Times New Roman" w:eastAsia="Times New Roman" w:hAnsi="Times New Roman"/>
          <w:sz w:val="15"/>
          <w:szCs w:val="15"/>
          <w:u w:val="single" w:color="auto"/>
          <w:color w:val="auto"/>
        </w:rPr>
        <w:t>Section 14.2</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jc w:val="both"/>
        <w:ind w:left="54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14.2</w:t>
      </w:r>
      <w:r>
        <w:rPr>
          <w:sz w:val="20"/>
          <w:szCs w:val="20"/>
          <w:color w:val="auto"/>
        </w:rPr>
        <w:tab/>
      </w:r>
      <w:r>
        <w:rPr>
          <w:rFonts w:ascii="Times New Roman" w:cs="Times New Roman" w:eastAsia="Times New Roman" w:hAnsi="Times New Roman"/>
          <w:sz w:val="15"/>
          <w:szCs w:val="15"/>
          <w:b w:val="1"/>
          <w:bCs w:val="1"/>
          <w:color w:val="auto"/>
        </w:rPr>
        <w:t>Indemnification by Licensee</w:t>
      </w:r>
      <w:r>
        <w:rPr>
          <w:rFonts w:ascii="Times New Roman" w:cs="Times New Roman" w:eastAsia="Times New Roman" w:hAnsi="Times New Roman"/>
          <w:sz w:val="15"/>
          <w:szCs w:val="15"/>
          <w:color w:val="auto"/>
        </w:rPr>
        <w:t>. Licensee shall indemnify, defend and hold harmless XENCOR and its Affiliates, and each of its and their respective employees, officers, directors,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agents and assigns (each, a “</w:t>
      </w:r>
      <w:r>
        <w:rPr>
          <w:rFonts w:ascii="Times New Roman" w:cs="Times New Roman" w:eastAsia="Times New Roman" w:hAnsi="Times New Roman"/>
          <w:sz w:val="15"/>
          <w:szCs w:val="15"/>
          <w:u w:val="single" w:color="auto"/>
          <w:color w:val="auto"/>
        </w:rPr>
        <w:t>XENCOR Indemnified Party</w:t>
      </w:r>
      <w:r>
        <w:rPr>
          <w:rFonts w:ascii="Times New Roman" w:cs="Times New Roman" w:eastAsia="Times New Roman" w:hAnsi="Times New Roman"/>
          <w:sz w:val="15"/>
          <w:szCs w:val="15"/>
          <w:color w:val="auto"/>
        </w:rPr>
        <w:t>”) from and against any and all Liabilities that the XENCOR Indemnified Party may be required to pay to one or more Third Parties as a result of Third Party claims resulting from or arising out of:</w:t>
      </w:r>
    </w:p>
    <w:p>
      <w:pPr>
        <w:spacing w:after="0" w:line="149" w:lineRule="exact"/>
        <w:rPr>
          <w:sz w:val="20"/>
          <w:szCs w:val="20"/>
          <w:color w:val="auto"/>
        </w:rPr>
      </w:pPr>
    </w:p>
    <w:p>
      <w:pPr>
        <w:ind w:left="1600" w:hanging="537"/>
        <w:spacing w:after="0" w:line="269" w:lineRule="auto"/>
        <w:tabs>
          <w:tab w:leader="none" w:pos="160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Licensee representation or warranty set forth herein being untrue in any material respect when made or a material breach by Licensee of any of its covenants or obligations hereunder;</w:t>
      </w:r>
    </w:p>
    <w:p>
      <w:pPr>
        <w:spacing w:after="0" w:line="140" w:lineRule="exact"/>
        <w:rPr>
          <w:rFonts w:ascii="Times New Roman" w:cs="Times New Roman" w:eastAsia="Times New Roman" w:hAnsi="Times New Roman"/>
          <w:sz w:val="15"/>
          <w:szCs w:val="15"/>
          <w:color w:val="auto"/>
        </w:rPr>
      </w:pPr>
    </w:p>
    <w:p>
      <w:pPr>
        <w:ind w:left="1600" w:hanging="537"/>
        <w:spacing w:after="0" w:line="269" w:lineRule="auto"/>
        <w:tabs>
          <w:tab w:leader="none" w:pos="160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gross negligence or willful misconduct by or of Licensee, its Affiliates or its Sublicensees, or any of its or their respective employees, officers, directors, and agents under this Agreement; or</w:t>
      </w:r>
    </w:p>
    <w:p>
      <w:pPr>
        <w:spacing w:after="0" w:line="140" w:lineRule="exact"/>
        <w:rPr>
          <w:rFonts w:ascii="Times New Roman" w:cs="Times New Roman" w:eastAsia="Times New Roman" w:hAnsi="Times New Roman"/>
          <w:sz w:val="15"/>
          <w:szCs w:val="15"/>
          <w:color w:val="auto"/>
        </w:rPr>
      </w:pPr>
    </w:p>
    <w:p>
      <w:pPr>
        <w:ind w:left="1600" w:hanging="537"/>
        <w:spacing w:after="0" w:line="269" w:lineRule="auto"/>
        <w:tabs>
          <w:tab w:leader="none" w:pos="160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Development, Manufacture or Commercialization of the Licensed Assets or Products by Licensee or its Affiliates or Sublicensees in the Field in the Licensed Territory (including, for clarity, any product liability resulting therefrom).</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except in each case, to the extent such Liability is subject to indemnification by XENCOR pursuant to </w:t>
      </w:r>
      <w:r>
        <w:rPr>
          <w:rFonts w:ascii="Times New Roman" w:cs="Times New Roman" w:eastAsia="Times New Roman" w:hAnsi="Times New Roman"/>
          <w:sz w:val="15"/>
          <w:szCs w:val="15"/>
          <w:u w:val="single" w:color="auto"/>
          <w:color w:val="auto"/>
        </w:rPr>
        <w:t>Section 14.1</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jc w:val="both"/>
        <w:ind w:left="540" w:hanging="526"/>
        <w:spacing w:after="0" w:line="264" w:lineRule="auto"/>
        <w:tabs>
          <w:tab w:leader="none" w:pos="520" w:val="left"/>
        </w:tabs>
        <w:rPr>
          <w:sz w:val="20"/>
          <w:szCs w:val="20"/>
          <w:color w:val="auto"/>
        </w:rPr>
      </w:pPr>
      <w:r>
        <w:rPr>
          <w:rFonts w:ascii="Times New Roman" w:cs="Times New Roman" w:eastAsia="Times New Roman" w:hAnsi="Times New Roman"/>
          <w:sz w:val="15"/>
          <w:szCs w:val="15"/>
          <w:color w:val="auto"/>
        </w:rPr>
        <w:t>14.3</w:t>
      </w:r>
      <w:r>
        <w:rPr>
          <w:sz w:val="20"/>
          <w:szCs w:val="20"/>
          <w:color w:val="auto"/>
        </w:rPr>
        <w:tab/>
      </w:r>
      <w:r>
        <w:rPr>
          <w:rFonts w:ascii="Times New Roman" w:cs="Times New Roman" w:eastAsia="Times New Roman" w:hAnsi="Times New Roman"/>
          <w:sz w:val="14"/>
          <w:szCs w:val="14"/>
          <w:b w:val="1"/>
          <w:bCs w:val="1"/>
          <w:color w:val="auto"/>
        </w:rPr>
        <w:t>Procedure</w:t>
      </w:r>
      <w:r>
        <w:rPr>
          <w:rFonts w:ascii="Times New Roman" w:cs="Times New Roman" w:eastAsia="Times New Roman" w:hAnsi="Times New Roman"/>
          <w:sz w:val="14"/>
          <w:szCs w:val="14"/>
          <w:color w:val="auto"/>
        </w:rPr>
        <w:t>. Each Party shall notify the other in the event it becomes aware of a claim for which indemnification may be sought hereunder or for which Liability is shared pursuant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u w:val="single" w:color="auto"/>
          <w:color w:val="auto"/>
        </w:rPr>
        <w:t>Article 14</w:t>
      </w:r>
      <w:r>
        <w:rPr>
          <w:rFonts w:ascii="Times New Roman" w:cs="Times New Roman" w:eastAsia="Times New Roman" w:hAnsi="Times New Roman"/>
          <w:sz w:val="14"/>
          <w:szCs w:val="14"/>
          <w:color w:val="auto"/>
        </w:rPr>
        <w:t xml:space="preserve">. In case any proceeding (including any governmental investigation) shall be instituted involving either Party in respect of which indemnity may be sought pursuant to this </w:t>
      </w:r>
      <w:r>
        <w:rPr>
          <w:rFonts w:ascii="Times New Roman" w:cs="Times New Roman" w:eastAsia="Times New Roman" w:hAnsi="Times New Roman"/>
          <w:sz w:val="14"/>
          <w:szCs w:val="14"/>
          <w:u w:val="single" w:color="auto"/>
          <w:color w:val="auto"/>
        </w:rPr>
        <w:t>Article 14</w:t>
      </w:r>
      <w:r>
        <w:rPr>
          <w:rFonts w:ascii="Times New Roman" w:cs="Times New Roman" w:eastAsia="Times New Roman" w:hAnsi="Times New Roman"/>
          <w:sz w:val="14"/>
          <w:szCs w:val="14"/>
          <w:color w:val="auto"/>
        </w:rPr>
        <w:t>, such Party (the “</w:t>
      </w:r>
      <w:r>
        <w:rPr>
          <w:rFonts w:ascii="Times New Roman" w:cs="Times New Roman" w:eastAsia="Times New Roman" w:hAnsi="Times New Roman"/>
          <w:sz w:val="14"/>
          <w:szCs w:val="14"/>
          <w:u w:val="single" w:color="auto"/>
          <w:color w:val="auto"/>
        </w:rPr>
        <w:t>Indemnified Party</w:t>
      </w:r>
      <w:r>
        <w:rPr>
          <w:rFonts w:ascii="Times New Roman" w:cs="Times New Roman" w:eastAsia="Times New Roman" w:hAnsi="Times New Roman"/>
          <w:sz w:val="14"/>
          <w:szCs w:val="14"/>
          <w:color w:val="auto"/>
        </w:rPr>
        <w:t xml:space="preserve">”) shall promptly notify the Party obligated to indemnify such Party pursuant to </w:t>
      </w:r>
      <w:r>
        <w:rPr>
          <w:rFonts w:ascii="Times New Roman" w:cs="Times New Roman" w:eastAsia="Times New Roman" w:hAnsi="Times New Roman"/>
          <w:sz w:val="14"/>
          <w:szCs w:val="14"/>
          <w:u w:val="single" w:color="auto"/>
          <w:color w:val="auto"/>
        </w:rPr>
        <w:t>Section 14.1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14.2</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Indemnifying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color w:val="auto"/>
        </w:rPr>
        <w:t xml:space="preserve">”) in writing and the Indemnifying Party and Indemnified Party shall meet to discuss how to respond to any claims that are the subject matter of such proceeding,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delay in providing such notification shall only limit the Indemnifying Party’s obligation to the extent of the actual prejudice caused to the Indemnifying Party by such delay. The Indemnifying Party, upon request of the Indemnified Party, shall retain counsel reasonably satisfactory to the Indemnified Party to represent the Indemnified Party and shall pay the fees and expenses of such counsel related to such proceeding. If the Indemnifying Party assumes the defense of the Liability, it shall keep the Indemnified Party advised of the status of such Liability and the defense thereof and shall consider recommendations made by the Indemnified Party with respect thereto. In any such proceeding, the Indemnified Party shall have the right to retain its own counsel, but the fees and expenses of such counsel shall be at the expense of the Indemnified Party unless (a) the Indemnifying Party and the Indemnified Party shall have mutually agreed to the retention of such counsel or (b) the named parties to any such proceeding (including any impleaded parties) include both the Indemnifying Party and the Indemnified Party and representation of both the Indemnifying Party and the Indemnified Party by the same counsel would be inappropriate due to actual or potential differing interests between them. All such fees and expenses incurred pursuant to </w:t>
      </w:r>
      <w:r>
        <w:rPr>
          <w:rFonts w:ascii="Times New Roman" w:cs="Times New Roman" w:eastAsia="Times New Roman" w:hAnsi="Times New Roman"/>
          <w:sz w:val="14"/>
          <w:szCs w:val="14"/>
          <w:u w:val="single" w:color="auto"/>
          <w:color w:val="auto"/>
        </w:rPr>
        <w:t>Section 14.1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14.2</w:t>
      </w:r>
      <w:r>
        <w:rPr>
          <w:rFonts w:ascii="Times New Roman" w:cs="Times New Roman" w:eastAsia="Times New Roman" w:hAnsi="Times New Roman"/>
          <w:sz w:val="14"/>
          <w:szCs w:val="14"/>
          <w:color w:val="auto"/>
        </w:rPr>
        <w:t xml:space="preserve"> shall be reimbursed as they are incurred. The Indemnifying Party shall not be liable for any settlement of any proceeding unless effected with its written consent, which shall not be unreasonably withheld. The Indemnifying Party shall not, without the written consent of the Indemnified Party, effect any settlement of any pending or threatened proceeding in respect of which the Indemnified Party is, or arising out of the same set of facts could have been, a party and indemnity could have been sought hereunder by the Indemnified Party, unless such settlement includes an unconditional release of the Indemnified Party from all liability on claims to which the indemnity relates that are the subject matter of such proceeding. If the Parties cannot agree as to the application of </w:t>
      </w:r>
      <w:r>
        <w:rPr>
          <w:rFonts w:ascii="Times New Roman" w:cs="Times New Roman" w:eastAsia="Times New Roman" w:hAnsi="Times New Roman"/>
          <w:sz w:val="14"/>
          <w:szCs w:val="14"/>
          <w:u w:val="single" w:color="auto"/>
          <w:color w:val="auto"/>
        </w:rPr>
        <w:t>Section 14.1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14.2</w:t>
      </w:r>
      <w:r>
        <w:rPr>
          <w:rFonts w:ascii="Times New Roman" w:cs="Times New Roman" w:eastAsia="Times New Roman" w:hAnsi="Times New Roman"/>
          <w:sz w:val="14"/>
          <w:szCs w:val="14"/>
          <w:color w:val="auto"/>
        </w:rPr>
        <w:t xml:space="preserve"> to any particular claim, the Parties may conduct separate defenses of such claim and reserve the right to claim indemnity from the other Party in accordance with </w:t>
      </w:r>
      <w:r>
        <w:rPr>
          <w:rFonts w:ascii="Times New Roman" w:cs="Times New Roman" w:eastAsia="Times New Roman" w:hAnsi="Times New Roman"/>
          <w:sz w:val="14"/>
          <w:szCs w:val="14"/>
          <w:u w:val="single" w:color="auto"/>
          <w:color w:val="auto"/>
        </w:rPr>
        <w:t>Section 14.1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14.2</w:t>
      </w:r>
      <w:r>
        <w:rPr>
          <w:rFonts w:ascii="Times New Roman" w:cs="Times New Roman" w:eastAsia="Times New Roman" w:hAnsi="Times New Roman"/>
          <w:sz w:val="14"/>
          <w:szCs w:val="14"/>
          <w:color w:val="auto"/>
        </w:rPr>
        <w:t xml:space="preserve"> above in accordance with </w:t>
      </w:r>
      <w:r>
        <w:rPr>
          <w:rFonts w:ascii="Times New Roman" w:cs="Times New Roman" w:eastAsia="Times New Roman" w:hAnsi="Times New Roman"/>
          <w:sz w:val="14"/>
          <w:szCs w:val="14"/>
          <w:u w:val="single" w:color="auto"/>
          <w:color w:val="auto"/>
        </w:rPr>
        <w:t>Section 15.3</w:t>
      </w:r>
      <w:r>
        <w:rPr>
          <w:rFonts w:ascii="Times New Roman" w:cs="Times New Roman" w:eastAsia="Times New Roman" w:hAnsi="Times New Roman"/>
          <w:sz w:val="14"/>
          <w:szCs w:val="14"/>
          <w:color w:val="auto"/>
        </w:rPr>
        <w:t xml:space="preserve"> upon resolution of the underlying claim.</w:t>
      </w: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320" w:name="page321"/>
    <w:bookmarkEnd w:id="320"/>
    <w:p>
      <w:pPr>
        <w:jc w:val="both"/>
        <w:ind w:left="540" w:hanging="526"/>
        <w:spacing w:after="0" w:line="250" w:lineRule="auto"/>
        <w:tabs>
          <w:tab w:leader="none" w:pos="520" w:val="left"/>
        </w:tabs>
        <w:rPr>
          <w:sz w:val="20"/>
          <w:szCs w:val="20"/>
          <w:color w:val="auto"/>
        </w:rPr>
      </w:pPr>
      <w:r>
        <w:rPr>
          <w:rFonts w:ascii="Times New Roman" w:cs="Times New Roman" w:eastAsia="Times New Roman" w:hAnsi="Times New Roman"/>
          <w:sz w:val="15"/>
          <w:szCs w:val="15"/>
          <w:color w:val="auto"/>
        </w:rPr>
        <w:t>14.4</w:t>
      </w:r>
      <w:r>
        <w:rPr>
          <w:sz w:val="20"/>
          <w:szCs w:val="20"/>
          <w:color w:val="auto"/>
        </w:rPr>
        <w:tab/>
      </w:r>
      <w:r>
        <w:rPr>
          <w:rFonts w:ascii="Times New Roman" w:cs="Times New Roman" w:eastAsia="Times New Roman" w:hAnsi="Times New Roman"/>
          <w:sz w:val="15"/>
          <w:szCs w:val="15"/>
          <w:b w:val="1"/>
          <w:bCs w:val="1"/>
          <w:color w:val="auto"/>
        </w:rPr>
        <w:t>Insurance</w:t>
      </w:r>
      <w:r>
        <w:rPr>
          <w:rFonts w:ascii="Times New Roman" w:cs="Times New Roman" w:eastAsia="Times New Roman" w:hAnsi="Times New Roman"/>
          <w:sz w:val="15"/>
          <w:szCs w:val="15"/>
          <w:color w:val="auto"/>
        </w:rPr>
        <w:t>. Licensee shall procure and maintain insurance, including clinical trial insurance and product liability insurance, adequate to cover is obligations with respect to its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activities hereunder and which is consistent with normal business practices of prudent companies similarly situated at all times;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any such clinical trials insurance coverage shall, prior to the First Commercial Sale of a Product, in no event be less than [***] per loss occurrence, and product liability insurance coverage shall, after such First Commercial Sale, in no event be less than [***] per loss occurrence. Licensee shall provide XENCOR with evidence of such insurance upon request and shall provide XENCOR with written notice at least [***] prior to Licensee’s decision or receipt of notice from the insurance company, as applicable, with respect to the cancellation, non-renewal or material decrease in the coverage level of such insurance. It is understood that such insurance shall not be construed to create a limit of Licensee’s liability.</w:t>
      </w:r>
    </w:p>
    <w:p>
      <w:pPr>
        <w:spacing w:after="0" w:line="152" w:lineRule="exact"/>
        <w:rPr>
          <w:sz w:val="20"/>
          <w:szCs w:val="20"/>
          <w:color w:val="auto"/>
        </w:rPr>
      </w:pPr>
    </w:p>
    <w:p>
      <w:pPr>
        <w:jc w:val="both"/>
        <w:ind w:left="540" w:hanging="526"/>
        <w:spacing w:after="0" w:line="251" w:lineRule="auto"/>
        <w:tabs>
          <w:tab w:leader="none" w:pos="520" w:val="left"/>
        </w:tabs>
        <w:rPr>
          <w:sz w:val="20"/>
          <w:szCs w:val="20"/>
          <w:color w:val="auto"/>
        </w:rPr>
      </w:pPr>
      <w:r>
        <w:rPr>
          <w:rFonts w:ascii="Times New Roman" w:cs="Times New Roman" w:eastAsia="Times New Roman" w:hAnsi="Times New Roman"/>
          <w:sz w:val="15"/>
          <w:szCs w:val="15"/>
          <w:color w:val="auto"/>
        </w:rPr>
        <w:t>14.5</w:t>
      </w:r>
      <w:r>
        <w:rPr>
          <w:sz w:val="20"/>
          <w:szCs w:val="20"/>
          <w:color w:val="auto"/>
        </w:rPr>
        <w:tab/>
      </w:r>
      <w:r>
        <w:rPr>
          <w:rFonts w:ascii="Times New Roman" w:cs="Times New Roman" w:eastAsia="Times New Roman" w:hAnsi="Times New Roman"/>
          <w:sz w:val="15"/>
          <w:szCs w:val="15"/>
          <w:b w:val="1"/>
          <w:bCs w:val="1"/>
          <w:color w:val="auto"/>
        </w:rPr>
        <w:t>No Consequential Damages</w:t>
      </w:r>
      <w:r>
        <w:rPr>
          <w:rFonts w:ascii="Times New Roman" w:cs="Times New Roman" w:eastAsia="Times New Roman" w:hAnsi="Times New Roman"/>
          <w:sz w:val="15"/>
          <w:szCs w:val="15"/>
          <w:color w:val="auto"/>
        </w:rPr>
        <w:t>. NOTWITHSTANDING THE FOREGOING, IN NO EVENT WILL EITHER PARTY BE LIABLE TO THE OTHER PARTY FOR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CONSEQUENTIAL, INCIDENTAL, INDIRECT, SPECIAL, PUNITIVE OR EXEMPLARY DAMAGES, OR FOR LOST REVENUES OR LOST PROFITS (WHETHER DIRECT OR INDIRECT) UNDER THIS AGREEMENT REGARDLESS OF ANY NOTICE OF THE POSSIBILITY OF SUCH DAMAGES, EXCEPT TO THE EXTENT THE DAMAGES RESULT FROM (A) A PARTY’S GROSS NEGLIGENCE OR WILLFUL MISCONDUCT, (B) A PARTY’S BREACH OF </w:t>
      </w:r>
      <w:r>
        <w:rPr>
          <w:rFonts w:ascii="Times New Roman" w:cs="Times New Roman" w:eastAsia="Times New Roman" w:hAnsi="Times New Roman"/>
          <w:sz w:val="15"/>
          <w:szCs w:val="15"/>
          <w:u w:val="single" w:color="auto"/>
          <w:color w:val="auto"/>
        </w:rPr>
        <w:t>SECTION 9.1</w:t>
      </w:r>
      <w:r>
        <w:rPr>
          <w:rFonts w:ascii="Times New Roman" w:cs="Times New Roman" w:eastAsia="Times New Roman" w:hAnsi="Times New Roman"/>
          <w:sz w:val="15"/>
          <w:szCs w:val="15"/>
          <w:color w:val="auto"/>
        </w:rPr>
        <w:t xml:space="preserve">, OR (C) A PARTY’S INDEMNIFICATION OBLIGATIONS UNDER THIS </w:t>
      </w:r>
      <w:r>
        <w:rPr>
          <w:rFonts w:ascii="Times New Roman" w:cs="Times New Roman" w:eastAsia="Times New Roman" w:hAnsi="Times New Roman"/>
          <w:sz w:val="15"/>
          <w:szCs w:val="15"/>
          <w:u w:val="single" w:color="auto"/>
          <w:color w:val="auto"/>
        </w:rPr>
        <w:t>ARTICLE 14</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ind w:left="540" w:hanging="532"/>
        <w:spacing w:after="0"/>
        <w:tabs>
          <w:tab w:leader="none" w:pos="540" w:val="left"/>
        </w:tabs>
        <w:numPr>
          <w:ilvl w:val="0"/>
          <w:numId w:val="1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Miscellaneous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15.1</w:t>
      </w:r>
      <w:r>
        <w:rPr>
          <w:sz w:val="20"/>
          <w:szCs w:val="20"/>
          <w:color w:val="auto"/>
        </w:rPr>
        <w:tab/>
      </w:r>
      <w:r>
        <w:rPr>
          <w:rFonts w:ascii="Times New Roman" w:cs="Times New Roman" w:eastAsia="Times New Roman" w:hAnsi="Times New Roman"/>
          <w:sz w:val="14"/>
          <w:szCs w:val="14"/>
          <w:b w:val="1"/>
          <w:bCs w:val="1"/>
          <w:color w:val="auto"/>
        </w:rPr>
        <w:t>Assignment</w:t>
      </w:r>
      <w:r>
        <w:rPr>
          <w:rFonts w:ascii="Times New Roman" w:cs="Times New Roman" w:eastAsia="Times New Roman" w:hAnsi="Times New Roman"/>
          <w:sz w:val="14"/>
          <w:szCs w:val="14"/>
          <w:color w:val="auto"/>
        </w:rPr>
        <w:t>. Neither Party may assign its rights or delegate its obligations under this Agreement, in whole or in part without the prior written consent of the other Party, except that</w:t>
      </w:r>
    </w:p>
    <w:p>
      <w:pPr>
        <w:spacing w:after="0" w:line="20" w:lineRule="exact"/>
        <w:rPr>
          <w:sz w:val="20"/>
          <w:szCs w:val="20"/>
          <w:color w:val="auto"/>
        </w:rPr>
      </w:pPr>
    </w:p>
    <w:p>
      <w:pPr>
        <w:jc w:val="both"/>
        <w:ind w:left="540" w:hanging="5"/>
        <w:spacing w:after="0" w:line="265" w:lineRule="auto"/>
        <w:tabs>
          <w:tab w:leader="none" w:pos="741"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Party shall have the right, without such consent, on written notice to the other Parties, to assign any or all of its rights and delegate or subcontract any or all of its obligations hereunder to (i) any of its Affiliates or (ii) a successor of all or substantially all of the business of such Party or of the portion of such business to which this Agreement relates, whether by way of merger, sale of stock, sale of assets or other transaction (or series of transactions); and (b) either Party shall have the right, without such consent, to perform any or all of its obligations and exercise any or all of its rights under this Agreement through any of its Affiliates. Notwithstanding the foregoing, each Party shall remain responsible for any failure to perform on the part of any such Affiliates. Any attempted assignment or delegation in violation of this </w:t>
      </w:r>
      <w:r>
        <w:rPr>
          <w:rFonts w:ascii="Times New Roman" w:cs="Times New Roman" w:eastAsia="Times New Roman" w:hAnsi="Times New Roman"/>
          <w:sz w:val="14"/>
          <w:szCs w:val="14"/>
          <w:u w:val="single" w:color="auto"/>
          <w:color w:val="auto"/>
        </w:rPr>
        <w:t>Section 15.1</w:t>
      </w:r>
      <w:r>
        <w:rPr>
          <w:rFonts w:ascii="Times New Roman" w:cs="Times New Roman" w:eastAsia="Times New Roman" w:hAnsi="Times New Roman"/>
          <w:sz w:val="14"/>
          <w:szCs w:val="14"/>
          <w:color w:val="auto"/>
        </w:rPr>
        <w:t xml:space="preserve"> shall be void. Any permitted transferee or assignee of this Agreement shall assume and be bound by the obligations of its transferor or assignor under this Agreement, and shall, in a writing delivered to the other Party, expressly assume the performance of such rights or obligations. This Agreement shall be binding on, and inure to the benefit of, each Party, its successors and permitted assigns.</w:t>
      </w:r>
    </w:p>
    <w:p>
      <w:pPr>
        <w:spacing w:after="0" w:line="3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21" w:name="page322"/>
    <w:bookmarkEnd w:id="321"/>
    <w:p>
      <w:pPr>
        <w:jc w:val="both"/>
        <w:ind w:left="540" w:hanging="526"/>
        <w:spacing w:after="0" w:line="253" w:lineRule="auto"/>
        <w:tabs>
          <w:tab w:leader="none" w:pos="520" w:val="left"/>
        </w:tabs>
        <w:rPr>
          <w:sz w:val="20"/>
          <w:szCs w:val="20"/>
          <w:color w:val="auto"/>
        </w:rPr>
      </w:pPr>
      <w:r>
        <w:rPr>
          <w:rFonts w:ascii="Times New Roman" w:cs="Times New Roman" w:eastAsia="Times New Roman" w:hAnsi="Times New Roman"/>
          <w:sz w:val="15"/>
          <w:szCs w:val="15"/>
          <w:color w:val="auto"/>
        </w:rPr>
        <w:t>15.2</w:t>
      </w:r>
      <w:r>
        <w:rPr>
          <w:sz w:val="20"/>
          <w:szCs w:val="20"/>
          <w:color w:val="auto"/>
        </w:rPr>
        <w:tab/>
      </w:r>
      <w:r>
        <w:rPr>
          <w:rFonts w:ascii="Times New Roman" w:cs="Times New Roman" w:eastAsia="Times New Roman" w:hAnsi="Times New Roman"/>
          <w:sz w:val="15"/>
          <w:szCs w:val="15"/>
          <w:b w:val="1"/>
          <w:bCs w:val="1"/>
          <w:color w:val="auto"/>
        </w:rPr>
        <w:t>Governing Law</w:t>
      </w:r>
      <w:r>
        <w:rPr>
          <w:rFonts w:ascii="Times New Roman" w:cs="Times New Roman" w:eastAsia="Times New Roman" w:hAnsi="Times New Roman"/>
          <w:sz w:val="15"/>
          <w:szCs w:val="15"/>
          <w:color w:val="auto"/>
        </w:rPr>
        <w:t>. The interpretation and construction of this Agreement, and all matters relating hereto, shall be governed by the laws of the State of New York applicable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agreements executed and to be performed solely within such state excluding any conflicts or choice of law rule or principle that might otherwise refer construction or interpretation of this Agreement to the substantive law of another jurisdiction;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matters relating to the construction or effect of any Patent Right will be governed by the patent laws of the relevant jurisdiction in which such Patent Right is granted.</w:t>
      </w:r>
    </w:p>
    <w:p>
      <w:pPr>
        <w:spacing w:after="0" w:line="1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15.3</w:t>
      </w:r>
      <w:r>
        <w:rPr>
          <w:sz w:val="20"/>
          <w:szCs w:val="20"/>
          <w:color w:val="auto"/>
        </w:rPr>
        <w:tab/>
      </w:r>
      <w:r>
        <w:rPr>
          <w:rFonts w:ascii="Times New Roman" w:cs="Times New Roman" w:eastAsia="Times New Roman" w:hAnsi="Times New Roman"/>
          <w:sz w:val="14"/>
          <w:szCs w:val="14"/>
          <w:b w:val="1"/>
          <w:bCs w:val="1"/>
          <w:color w:val="auto"/>
        </w:rPr>
        <w:t>Dispute Resolution</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060" w:hanging="526"/>
        <w:spacing w:after="0" w:line="285" w:lineRule="auto"/>
        <w:tabs>
          <w:tab w:leader="none" w:pos="1040" w:val="left"/>
        </w:tabs>
        <w:rPr>
          <w:sz w:val="20"/>
          <w:szCs w:val="20"/>
          <w:color w:val="auto"/>
        </w:rPr>
      </w:pPr>
      <w:r>
        <w:rPr>
          <w:rFonts w:ascii="Times New Roman" w:cs="Times New Roman" w:eastAsia="Times New Roman" w:hAnsi="Times New Roman"/>
          <w:sz w:val="15"/>
          <w:szCs w:val="15"/>
          <w:color w:val="auto"/>
        </w:rPr>
        <w:t>15.3.1</w:t>
      </w:r>
      <w:r>
        <w:rPr>
          <w:sz w:val="20"/>
          <w:szCs w:val="20"/>
          <w:color w:val="auto"/>
        </w:rPr>
        <w:tab/>
      </w:r>
      <w:r>
        <w:rPr>
          <w:rFonts w:ascii="Times New Roman" w:cs="Times New Roman" w:eastAsia="Times New Roman" w:hAnsi="Times New Roman"/>
          <w:sz w:val="14"/>
          <w:szCs w:val="14"/>
          <w:b w:val="1"/>
          <w:bCs w:val="1"/>
          <w:color w:val="auto"/>
        </w:rPr>
        <w:t>Disputes</w:t>
      </w:r>
      <w:r>
        <w:rPr>
          <w:rFonts w:ascii="Times New Roman" w:cs="Times New Roman" w:eastAsia="Times New Roman" w:hAnsi="Times New Roman"/>
          <w:sz w:val="14"/>
          <w:szCs w:val="14"/>
          <w:color w:val="auto"/>
        </w:rPr>
        <w:t>. Any dispute, controversy or claim arising out of or relating to this Agreement, including the validity, invalidity, breach or termination thereof (a “</w:t>
      </w:r>
      <w:r>
        <w:rPr>
          <w:rFonts w:ascii="Times New Roman" w:cs="Times New Roman" w:eastAsia="Times New Roman" w:hAnsi="Times New Roman"/>
          <w:sz w:val="14"/>
          <w:szCs w:val="14"/>
          <w:u w:val="single" w:color="auto"/>
          <w:color w:val="auto"/>
        </w:rPr>
        <w:t>Dispute</w:t>
      </w:r>
      <w:r>
        <w:rPr>
          <w:rFonts w:ascii="Times New Roman" w:cs="Times New Roman" w:eastAsia="Times New Roman" w:hAnsi="Times New Roman"/>
          <w:sz w:val="14"/>
          <w:szCs w:val="14"/>
          <w:color w:val="auto"/>
        </w:rPr>
        <w:t>”), will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referred to the [***] of XENCOR and the [***] of Licensee for resolution. In the event the two individuals referred to in the preceding sentence are unable to resolve such dispute within [***] after the initial written request, then, upon the written demand of either Party, the Dispute shall be subject to arbitration, as provided below.</w:t>
      </w:r>
    </w:p>
    <w:p>
      <w:pPr>
        <w:spacing w:after="0" w:line="132" w:lineRule="exact"/>
        <w:rPr>
          <w:sz w:val="20"/>
          <w:szCs w:val="20"/>
          <w:color w:val="auto"/>
        </w:rPr>
      </w:pPr>
    </w:p>
    <w:p>
      <w:pPr>
        <w:jc w:val="both"/>
        <w:ind w:left="1060" w:hanging="526"/>
        <w:spacing w:after="0" w:line="250" w:lineRule="auto"/>
        <w:tabs>
          <w:tab w:leader="none" w:pos="1040" w:val="left"/>
        </w:tabs>
        <w:rPr>
          <w:sz w:val="20"/>
          <w:szCs w:val="20"/>
          <w:color w:val="auto"/>
        </w:rPr>
      </w:pPr>
      <w:r>
        <w:rPr>
          <w:rFonts w:ascii="Times New Roman" w:cs="Times New Roman" w:eastAsia="Times New Roman" w:hAnsi="Times New Roman"/>
          <w:sz w:val="15"/>
          <w:szCs w:val="15"/>
          <w:color w:val="auto"/>
        </w:rPr>
        <w:t>15.3.2</w:t>
        <w:tab/>
        <w:t xml:space="preserve">If the Parties are unable to resolve such Dispute through the negotiations described in </w:t>
      </w:r>
      <w:r>
        <w:rPr>
          <w:rFonts w:ascii="Times New Roman" w:cs="Times New Roman" w:eastAsia="Times New Roman" w:hAnsi="Times New Roman"/>
          <w:sz w:val="15"/>
          <w:szCs w:val="15"/>
          <w:u w:val="single" w:color="auto"/>
          <w:color w:val="auto"/>
        </w:rPr>
        <w:t>Section 15.3.1</w:t>
      </w:r>
      <w:r>
        <w:rPr>
          <w:rFonts w:ascii="Times New Roman" w:cs="Times New Roman" w:eastAsia="Times New Roman" w:hAnsi="Times New Roman"/>
          <w:sz w:val="15"/>
          <w:szCs w:val="15"/>
          <w:color w:val="auto"/>
        </w:rPr>
        <w:t xml:space="preserve">, then, except in the case of a Dispute that concerns (a) the validity or infringement of a patent, trademark or copyright, or (b) any antitrust, anti-monopoly or competition law or regulation, whether or not statutory, the dispute shall be settled by arbitration, with limited discovery, administered under the [***] in force when the notice of arbitration is submitted in accordance with these rules. The arbitration proceedings shall be conducted in English, in New York, New York, and applicable arbitration association shall use the laws of the State of New York as the governing law for this Agreement and the Parties’ obligations hereunder in accordance with </w:t>
      </w:r>
      <w:r>
        <w:rPr>
          <w:rFonts w:ascii="Times New Roman" w:cs="Times New Roman" w:eastAsia="Times New Roman" w:hAnsi="Times New Roman"/>
          <w:sz w:val="15"/>
          <w:szCs w:val="15"/>
          <w:u w:val="single" w:color="auto"/>
          <w:color w:val="auto"/>
        </w:rPr>
        <w:t>Section 15.2</w:t>
      </w:r>
      <w:r>
        <w:rPr>
          <w:rFonts w:ascii="Times New Roman" w:cs="Times New Roman" w:eastAsia="Times New Roman" w:hAnsi="Times New Roman"/>
          <w:sz w:val="15"/>
          <w:szCs w:val="15"/>
          <w:color w:val="auto"/>
        </w:rPr>
        <w:t>.</w:t>
      </w:r>
    </w:p>
    <w:p>
      <w:pPr>
        <w:spacing w:after="0" w:line="156" w:lineRule="exact"/>
        <w:rPr>
          <w:sz w:val="20"/>
          <w:szCs w:val="20"/>
          <w:color w:val="auto"/>
        </w:rPr>
      </w:pPr>
    </w:p>
    <w:p>
      <w:pPr>
        <w:jc w:val="both"/>
        <w:ind w:left="1060" w:hanging="526"/>
        <w:spacing w:after="0" w:line="248" w:lineRule="auto"/>
        <w:tabs>
          <w:tab w:leader="none" w:pos="1040" w:val="left"/>
        </w:tabs>
        <w:rPr>
          <w:sz w:val="20"/>
          <w:szCs w:val="20"/>
          <w:color w:val="auto"/>
        </w:rPr>
      </w:pPr>
      <w:r>
        <w:rPr>
          <w:rFonts w:ascii="Times New Roman" w:cs="Times New Roman" w:eastAsia="Times New Roman" w:hAnsi="Times New Roman"/>
          <w:sz w:val="15"/>
          <w:szCs w:val="15"/>
          <w:color w:val="auto"/>
        </w:rPr>
        <w:t>15.3.3</w:t>
        <w:tab/>
        <w:t>The number of arbitrators shall be [***]. The arbitrators (the “</w:t>
      </w:r>
      <w:r>
        <w:rPr>
          <w:rFonts w:ascii="Times New Roman" w:cs="Times New Roman" w:eastAsia="Times New Roman" w:hAnsi="Times New Roman"/>
          <w:sz w:val="15"/>
          <w:szCs w:val="15"/>
          <w:u w:val="single" w:color="auto"/>
          <w:color w:val="auto"/>
        </w:rPr>
        <w:t>Arbitral Tribunal</w:t>
      </w:r>
      <w:r>
        <w:rPr>
          <w:rFonts w:ascii="Times New Roman" w:cs="Times New Roman" w:eastAsia="Times New Roman" w:hAnsi="Times New Roman"/>
          <w:sz w:val="15"/>
          <w:szCs w:val="15"/>
          <w:color w:val="auto"/>
        </w:rPr>
        <w:t>”) shall be appointed as follows: (a) the claimant to the Dispute, or in the case of multiple claimants, all such claimants acting collectively (the “</w:t>
      </w:r>
      <w:r>
        <w:rPr>
          <w:rFonts w:ascii="Times New Roman" w:cs="Times New Roman" w:eastAsia="Times New Roman" w:hAnsi="Times New Roman"/>
          <w:sz w:val="15"/>
          <w:szCs w:val="15"/>
          <w:u w:val="single" w:color="auto"/>
          <w:color w:val="auto"/>
        </w:rPr>
        <w:t>Claimant</w:t>
      </w:r>
      <w:r>
        <w:rPr>
          <w:rFonts w:ascii="Times New Roman" w:cs="Times New Roman" w:eastAsia="Times New Roman" w:hAnsi="Times New Roman"/>
          <w:sz w:val="15"/>
          <w:szCs w:val="15"/>
          <w:color w:val="auto"/>
        </w:rPr>
        <w:t>”) shall select [***]; and (b) the respondent to the Dispute, or in the case of more than one respondent, the respondents acting collectively (the “</w:t>
      </w:r>
      <w:r>
        <w:rPr>
          <w:rFonts w:ascii="Times New Roman" w:cs="Times New Roman" w:eastAsia="Times New Roman" w:hAnsi="Times New Roman"/>
          <w:sz w:val="15"/>
          <w:szCs w:val="15"/>
          <w:u w:val="single" w:color="auto"/>
          <w:color w:val="auto"/>
        </w:rPr>
        <w:t>Respondent</w:t>
      </w:r>
      <w:r>
        <w:rPr>
          <w:rFonts w:ascii="Times New Roman" w:cs="Times New Roman" w:eastAsia="Times New Roman" w:hAnsi="Times New Roman"/>
          <w:sz w:val="15"/>
          <w:szCs w:val="15"/>
          <w:color w:val="auto"/>
        </w:rPr>
        <w:t xml:space="preserve">”) shall select [***] The Claimant shall nominate its arbitrator at the time of filing the notice of arbitration. The Respondent shall nominate its arbitrator within [***] after receiving the notice of arbitration. Such arbitrators shall be freely selected, and neither the Claimant nor the Respondent shall be limited in their selection to any prescribed list;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all arbitrators shall be and remain independent from the Parties, and be conflicts-free and neutral experienced arbitrators. Within [***] from the appointment of the [***]. If the [***] are in conflict with the provisions of this </w:t>
      </w:r>
      <w:r>
        <w:rPr>
          <w:rFonts w:ascii="Times New Roman" w:cs="Times New Roman" w:eastAsia="Times New Roman" w:hAnsi="Times New Roman"/>
          <w:sz w:val="15"/>
          <w:szCs w:val="15"/>
          <w:u w:val="single" w:color="auto"/>
          <w:color w:val="auto"/>
        </w:rPr>
        <w:t>Section 15.3.3</w:t>
      </w:r>
      <w:r>
        <w:rPr>
          <w:rFonts w:ascii="Times New Roman" w:cs="Times New Roman" w:eastAsia="Times New Roman" w:hAnsi="Times New Roman"/>
          <w:sz w:val="15"/>
          <w:szCs w:val="15"/>
          <w:color w:val="auto"/>
        </w:rPr>
        <w:t xml:space="preserve">, including the provisions concerning the appointment of arbitrators, the provisions of this </w:t>
      </w:r>
      <w:r>
        <w:rPr>
          <w:rFonts w:ascii="Times New Roman" w:cs="Times New Roman" w:eastAsia="Times New Roman" w:hAnsi="Times New Roman"/>
          <w:sz w:val="15"/>
          <w:szCs w:val="15"/>
          <w:u w:val="single" w:color="auto"/>
          <w:color w:val="auto"/>
        </w:rPr>
        <w:t>Section 15.3.3</w:t>
      </w:r>
      <w:r>
        <w:rPr>
          <w:rFonts w:ascii="Times New Roman" w:cs="Times New Roman" w:eastAsia="Times New Roman" w:hAnsi="Times New Roman"/>
          <w:sz w:val="15"/>
          <w:szCs w:val="15"/>
          <w:color w:val="auto"/>
        </w:rPr>
        <w:t xml:space="preserve"> shall prevail.</w:t>
      </w:r>
    </w:p>
    <w:p>
      <w:pPr>
        <w:spacing w:after="0" w:line="159" w:lineRule="exact"/>
        <w:rPr>
          <w:sz w:val="20"/>
          <w:szCs w:val="20"/>
          <w:color w:val="auto"/>
        </w:rPr>
      </w:pPr>
    </w:p>
    <w:p>
      <w:pPr>
        <w:jc w:val="both"/>
        <w:ind w:left="1060" w:hanging="526"/>
        <w:spacing w:after="0" w:line="248" w:lineRule="auto"/>
        <w:tabs>
          <w:tab w:leader="none" w:pos="1040" w:val="left"/>
        </w:tabs>
        <w:rPr>
          <w:sz w:val="20"/>
          <w:szCs w:val="20"/>
          <w:color w:val="auto"/>
        </w:rPr>
      </w:pPr>
      <w:r>
        <w:rPr>
          <w:rFonts w:ascii="Times New Roman" w:cs="Times New Roman" w:eastAsia="Times New Roman" w:hAnsi="Times New Roman"/>
          <w:sz w:val="15"/>
          <w:szCs w:val="15"/>
          <w:color w:val="auto"/>
        </w:rPr>
        <w:t>15.3.4</w:t>
        <w:tab/>
        <w:t xml:space="preserve">Within [***] after the arbitrators are selected, the Parties will each submit to the arbitrators, and to one another, a written statement of their respective positions regarding the alleged Dispute. The Parties will also provide the arbitrators a copy of this Agreement, as may be amended at such time. Each party will have [***] from receipt of the other Party’s submission to provide to the arbitrator a written response thereto. Neither Party may have any communication (either written or oral) with the arbitrators other than for the sole purpose of engaging the arbitrator at the outset or as expressly permitted in this </w:t>
      </w:r>
      <w:r>
        <w:rPr>
          <w:rFonts w:ascii="Times New Roman" w:cs="Times New Roman" w:eastAsia="Times New Roman" w:hAnsi="Times New Roman"/>
          <w:sz w:val="15"/>
          <w:szCs w:val="15"/>
          <w:u w:val="single" w:color="auto"/>
          <w:color w:val="auto"/>
        </w:rPr>
        <w:t>Section 15.3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the arbitrator will have the right to meet with the Parties, either alone or together, as necessary in the arbitrator’s opinion to make a determination. Based on the materials submitted, the arbitrators will determine whether any discovery process is necessary, and, if it is, the parameters of such process with the intent of resolving the arbitration as expeditiously as possible (e.g., limiting the number of depositions and the time discovery is permitted to take). The Parties and arbitrators shall employ procedures designed to resolve the conflict by arbitration within [***] of the Dispute being referred for arbitration.</w:t>
      </w: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22" w:name="page323"/>
    <w:bookmarkEnd w:id="322"/>
    <w:p>
      <w:pPr>
        <w:jc w:val="both"/>
        <w:ind w:left="1060" w:hanging="526"/>
        <w:spacing w:after="0" w:line="248" w:lineRule="auto"/>
        <w:tabs>
          <w:tab w:leader="none" w:pos="1040" w:val="left"/>
        </w:tabs>
        <w:rPr>
          <w:sz w:val="20"/>
          <w:szCs w:val="20"/>
          <w:color w:val="auto"/>
        </w:rPr>
      </w:pPr>
      <w:r>
        <w:rPr>
          <w:rFonts w:ascii="Times New Roman" w:cs="Times New Roman" w:eastAsia="Times New Roman" w:hAnsi="Times New Roman"/>
          <w:sz w:val="15"/>
          <w:szCs w:val="15"/>
          <w:color w:val="auto"/>
        </w:rPr>
        <w:t>15.3.5</w:t>
        <w:tab/>
        <w:t xml:space="preserve">Each Party shall bear its own attorneys’ fees, costs and disbursements arising out of the arbitration, and shall pay an equal share of the fees and costs of the arbitrators;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in making their award, the Arbitral Tribunal shall have the authority to award attorney’s fees and other costs and expenses of the arbitration as they deem just and appropriate under the circumstances;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Arbitral Tribunal shall have no authority to award punitive or any other type of damages not measured by a Party’s compensatory damages and the arbitrator(s) shall have no authority to grant any award or remedy other than such awards or remedies that are available under the Applicable Law. The award of the Arbitral Tribunal shall be final and binding upon the disputing Parties, and either Party may apply to a court of competent jurisdiction for enforcement of such award. The Parties shall cooperate and use their respective Commercially Reasonable Efforts to take all actions reasonably required to facilitate the prompt enforcement of any arbitral award made by the Arbitral Tribunal.</w:t>
      </w:r>
    </w:p>
    <w:p>
      <w:pPr>
        <w:spacing w:after="0" w:line="159" w:lineRule="exact"/>
        <w:rPr>
          <w:sz w:val="20"/>
          <w:szCs w:val="20"/>
          <w:color w:val="auto"/>
        </w:rPr>
      </w:pPr>
    </w:p>
    <w:p>
      <w:pPr>
        <w:jc w:val="both"/>
        <w:ind w:left="1060" w:hanging="526"/>
        <w:spacing w:after="0" w:line="250" w:lineRule="auto"/>
        <w:tabs>
          <w:tab w:leader="none" w:pos="1040" w:val="left"/>
        </w:tabs>
        <w:rPr>
          <w:sz w:val="20"/>
          <w:szCs w:val="20"/>
          <w:color w:val="auto"/>
        </w:rPr>
      </w:pPr>
      <w:r>
        <w:rPr>
          <w:rFonts w:ascii="Times New Roman" w:cs="Times New Roman" w:eastAsia="Times New Roman" w:hAnsi="Times New Roman"/>
          <w:sz w:val="15"/>
          <w:szCs w:val="15"/>
          <w:color w:val="auto"/>
        </w:rPr>
        <w:t>15.3.6</w:t>
        <w:tab/>
        <w:t>The Parties undertake and agree that all arbitral proceedings conducted with reference to this arbitration clause will be kept strictly confidential. This confidentiality undertaking shall cover all information disclosed in the course of such arbitral proceedings, as well as any decision or award that is made or declared during the proceedings. Information covered by this confidentiality undertaking may not, in any form, be disclosed to a Third Party without the written consent of the Parties. Notwithstanding the foregoing, a Party shall not be prevented from disclosing such information in order to safeguard in the best possible way his rights vis-à-vis the other Party in connection with a dispute or if the Party is obliged to so disclose pursuant to Applicable Laws.</w:t>
      </w:r>
    </w:p>
    <w:p>
      <w:pPr>
        <w:spacing w:after="0" w:line="156" w:lineRule="exact"/>
        <w:rPr>
          <w:sz w:val="20"/>
          <w:szCs w:val="20"/>
          <w:color w:val="auto"/>
        </w:rPr>
      </w:pPr>
    </w:p>
    <w:p>
      <w:pPr>
        <w:jc w:val="both"/>
        <w:ind w:left="1060" w:hanging="526"/>
        <w:spacing w:after="0" w:line="250" w:lineRule="auto"/>
        <w:tabs>
          <w:tab w:leader="none" w:pos="1040" w:val="left"/>
        </w:tabs>
        <w:rPr>
          <w:sz w:val="20"/>
          <w:szCs w:val="20"/>
          <w:color w:val="auto"/>
        </w:rPr>
      </w:pPr>
      <w:r>
        <w:rPr>
          <w:rFonts w:ascii="Times New Roman" w:cs="Times New Roman" w:eastAsia="Times New Roman" w:hAnsi="Times New Roman"/>
          <w:sz w:val="15"/>
          <w:szCs w:val="15"/>
          <w:color w:val="auto"/>
        </w:rPr>
        <w:t>15.3.7</w:t>
        <w:tab/>
        <w:t>The Parties agree that nothing contained in this Agreement will deny either Party the right to seek injunctive or other equitable relief (in addition to whatever remedies it might have at law) from a court or Government Authority of competent jurisdiction applying the laws of that court or Government Authority in the context of the other Party’s breach or threat of breach of any of its obligations related to the first Party’s Confidential Information or Intellectual Property. In no event shall arbitration be initiated after the date when commencement of a legal or equitable proceeding based on the dispute, controversy or claim would be barred by the applicable New York statute of limitations.</w:t>
      </w:r>
    </w:p>
    <w:p>
      <w:pPr>
        <w:spacing w:after="0" w:line="156"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15.3.8</w:t>
      </w:r>
      <w:r>
        <w:rPr>
          <w:sz w:val="20"/>
          <w:szCs w:val="20"/>
          <w:color w:val="auto"/>
        </w:rPr>
        <w:tab/>
      </w:r>
      <w:r>
        <w:rPr>
          <w:rFonts w:ascii="Times New Roman" w:cs="Times New Roman" w:eastAsia="Times New Roman" w:hAnsi="Times New Roman"/>
          <w:sz w:val="14"/>
          <w:szCs w:val="14"/>
          <w:color w:val="auto"/>
        </w:rPr>
        <w:t>In case this Agreement or any part of it is assigned or transferred to a Third Party, such Third Party shall automatically be bound by the provisions of this arbitration clause.</w:t>
      </w:r>
    </w:p>
    <w:p>
      <w:pPr>
        <w:spacing w:after="0" w:line="179" w:lineRule="exact"/>
        <w:rPr>
          <w:sz w:val="20"/>
          <w:szCs w:val="20"/>
          <w:color w:val="auto"/>
        </w:rPr>
      </w:pPr>
    </w:p>
    <w:p>
      <w:pPr>
        <w:jc w:val="both"/>
        <w:ind w:left="1060" w:hanging="526"/>
        <w:spacing w:after="0" w:line="257" w:lineRule="auto"/>
        <w:tabs>
          <w:tab w:leader="none" w:pos="1040" w:val="left"/>
        </w:tabs>
        <w:rPr>
          <w:sz w:val="20"/>
          <w:szCs w:val="20"/>
          <w:color w:val="auto"/>
        </w:rPr>
      </w:pPr>
      <w:r>
        <w:rPr>
          <w:rFonts w:ascii="Times New Roman" w:cs="Times New Roman" w:eastAsia="Times New Roman" w:hAnsi="Times New Roman"/>
          <w:sz w:val="15"/>
          <w:szCs w:val="15"/>
          <w:color w:val="auto"/>
        </w:rPr>
        <w:t>15.3.9</w:t>
        <w:tab/>
        <w:t>By agreeing to this binding arbitration provision, the Parties understand that they are waiving certain rights and protections which may otherwise be available if a dispute between the parties were determined by litigation in court, including the right to seek or obtain certain types of damages precluded by this provision, the right to a jury trial, certain rights of appeal and a right to invoke formal rules of procedure and evidence.</w:t>
      </w:r>
    </w:p>
    <w:p>
      <w:pPr>
        <w:spacing w:after="0" w:line="147" w:lineRule="exact"/>
        <w:rPr>
          <w:sz w:val="20"/>
          <w:szCs w:val="20"/>
          <w:color w:val="auto"/>
        </w:rPr>
      </w:pPr>
    </w:p>
    <w:p>
      <w:pPr>
        <w:jc w:val="both"/>
        <w:ind w:left="540" w:hanging="526"/>
        <w:spacing w:after="0" w:line="268" w:lineRule="auto"/>
        <w:tabs>
          <w:tab w:leader="none" w:pos="520" w:val="left"/>
        </w:tabs>
        <w:rPr>
          <w:sz w:val="20"/>
          <w:szCs w:val="20"/>
          <w:color w:val="auto"/>
        </w:rPr>
      </w:pPr>
      <w:r>
        <w:rPr>
          <w:rFonts w:ascii="Times New Roman" w:cs="Times New Roman" w:eastAsia="Times New Roman" w:hAnsi="Times New Roman"/>
          <w:sz w:val="15"/>
          <w:szCs w:val="15"/>
          <w:color w:val="auto"/>
        </w:rPr>
        <w:t>15.4</w:t>
      </w:r>
      <w:r>
        <w:rPr>
          <w:sz w:val="20"/>
          <w:szCs w:val="20"/>
          <w:color w:val="auto"/>
        </w:rPr>
        <w:tab/>
      </w:r>
      <w:r>
        <w:rPr>
          <w:rFonts w:ascii="Times New Roman" w:cs="Times New Roman" w:eastAsia="Times New Roman" w:hAnsi="Times New Roman"/>
          <w:sz w:val="14"/>
          <w:szCs w:val="14"/>
          <w:b w:val="1"/>
          <w:bCs w:val="1"/>
          <w:color w:val="auto"/>
        </w:rPr>
        <w:t>Force Majeure</w:t>
      </w:r>
      <w:r>
        <w:rPr>
          <w:rFonts w:ascii="Times New Roman" w:cs="Times New Roman" w:eastAsia="Times New Roman" w:hAnsi="Times New Roman"/>
          <w:sz w:val="14"/>
          <w:szCs w:val="14"/>
          <w:color w:val="auto"/>
        </w:rPr>
        <w:t>. Neither XENCOR nor Licensee shall be liable for delay in delivery or nonperformance in whole or in part, nor shall XENCOR or Licensee have the right to terminate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this Agreement except as otherwise specifically provided in this </w:t>
      </w:r>
      <w:r>
        <w:rPr>
          <w:rFonts w:ascii="Times New Roman" w:cs="Times New Roman" w:eastAsia="Times New Roman" w:hAnsi="Times New Roman"/>
          <w:sz w:val="14"/>
          <w:szCs w:val="14"/>
          <w:u w:val="single" w:color="auto"/>
          <w:color w:val="auto"/>
        </w:rPr>
        <w:t>Section 15.4</w:t>
      </w:r>
      <w:r>
        <w:rPr>
          <w:rFonts w:ascii="Times New Roman" w:cs="Times New Roman" w:eastAsia="Times New Roman" w:hAnsi="Times New Roman"/>
          <w:sz w:val="14"/>
          <w:szCs w:val="14"/>
          <w:color w:val="auto"/>
        </w:rPr>
        <w:t>, where such delivery or performance has been affected by a condition beyond the reasonable control of XENCOR or Licensee, as applicable, including prohibition or restriction imposed by Applicable Laws (a “</w:t>
      </w:r>
      <w:r>
        <w:rPr>
          <w:rFonts w:ascii="Times New Roman" w:cs="Times New Roman" w:eastAsia="Times New Roman" w:hAnsi="Times New Roman"/>
          <w:sz w:val="14"/>
          <w:szCs w:val="14"/>
          <w:u w:val="single" w:color="auto"/>
          <w:color w:val="auto"/>
        </w:rPr>
        <w:t>Force Majeure Event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Party affected by a Force Majeure Event (the “</w:t>
      </w:r>
      <w:r>
        <w:rPr>
          <w:rFonts w:ascii="Times New Roman" w:cs="Times New Roman" w:eastAsia="Times New Roman" w:hAnsi="Times New Roman"/>
          <w:sz w:val="14"/>
          <w:szCs w:val="14"/>
          <w:u w:val="single" w:color="auto"/>
          <w:color w:val="auto"/>
        </w:rPr>
        <w:t>Force Majeure Party</w:t>
      </w:r>
      <w:r>
        <w:rPr>
          <w:rFonts w:ascii="Times New Roman" w:cs="Times New Roman" w:eastAsia="Times New Roman" w:hAnsi="Times New Roman"/>
          <w:sz w:val="14"/>
          <w:szCs w:val="14"/>
          <w:color w:val="auto"/>
        </w:rPr>
        <w:t xml:space="preserve">”) shall, within [***] after its occurrence, give notice to XENCOR (if the Force Majeure Party is Licensee) or Licensee (if the Force Majeure Party is XENCOR) stating the nature of the condition, its anticipated duration and any action being taken to avoid or minimize its effect. The suspension of performance shall be of no greater scope and no longer duration than is reasonably required and the Force Majeure Party shall use its reasonable efforts to remedy its inability to perform;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the suspension of performance continues for [***] after the date of the occurrence of the Force Majeure Event, and such failure to perform would constitute a material breach of this Agreement in the absence of such Force Majeure Event, then the non-breaching Party shall have the right to terminate this Agreement.</w:t>
      </w: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323" w:name="page324"/>
    <w:bookmarkEnd w:id="323"/>
    <w:p>
      <w:pPr>
        <w:jc w:val="both"/>
        <w:ind w:left="540" w:hanging="526"/>
        <w:spacing w:after="0" w:line="251" w:lineRule="auto"/>
        <w:tabs>
          <w:tab w:leader="none" w:pos="520" w:val="left"/>
        </w:tabs>
        <w:rPr>
          <w:sz w:val="20"/>
          <w:szCs w:val="20"/>
          <w:color w:val="auto"/>
        </w:rPr>
      </w:pPr>
      <w:r>
        <w:rPr>
          <w:rFonts w:ascii="Times New Roman" w:cs="Times New Roman" w:eastAsia="Times New Roman" w:hAnsi="Times New Roman"/>
          <w:sz w:val="15"/>
          <w:szCs w:val="15"/>
          <w:color w:val="auto"/>
        </w:rPr>
        <w:t>15.5</w:t>
      </w:r>
      <w:r>
        <w:rPr>
          <w:sz w:val="20"/>
          <w:szCs w:val="20"/>
          <w:color w:val="auto"/>
        </w:rPr>
        <w:tab/>
      </w:r>
      <w:r>
        <w:rPr>
          <w:rFonts w:ascii="Times New Roman" w:cs="Times New Roman" w:eastAsia="Times New Roman" w:hAnsi="Times New Roman"/>
          <w:sz w:val="15"/>
          <w:szCs w:val="15"/>
          <w:b w:val="1"/>
          <w:bCs w:val="1"/>
          <w:color w:val="auto"/>
        </w:rPr>
        <w:t>Waiver</w:t>
      </w:r>
      <w:r>
        <w:rPr>
          <w:rFonts w:ascii="Times New Roman" w:cs="Times New Roman" w:eastAsia="Times New Roman" w:hAnsi="Times New Roman"/>
          <w:sz w:val="15"/>
          <w:szCs w:val="15"/>
          <w:color w:val="auto"/>
        </w:rPr>
        <w:t>. A Party’s failure to enforce, at any time or for any period of time, any provision of this Agreement, or to exercise any right or remedy, does not constitute a waiver of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provision, right or remedy, or prevent such Party thereafter from enforcing any or all provisions and exercising any or all other rights and remedies. Any term or condition of this Agreement may be waived at any time by the Party that is entitled to the benefit thereof, but no such waiver shall be effective unless set forth in a written instrument duly executed by or on behalf of the Party waiving such term or condition. The exercise of any right or remedy does not constitute an election or prevent the exercise of any or all rights or remedies, all rights and remedies being cumulative.</w:t>
      </w:r>
    </w:p>
    <w:p>
      <w:pPr>
        <w:spacing w:after="0" w:line="15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15.6</w:t>
      </w:r>
      <w:r>
        <w:rPr>
          <w:sz w:val="20"/>
          <w:szCs w:val="20"/>
          <w:color w:val="auto"/>
        </w:rPr>
        <w:tab/>
      </w:r>
      <w:r>
        <w:rPr>
          <w:rFonts w:ascii="Times New Roman" w:cs="Times New Roman" w:eastAsia="Times New Roman" w:hAnsi="Times New Roman"/>
          <w:sz w:val="14"/>
          <w:szCs w:val="14"/>
          <w:b w:val="1"/>
          <w:bCs w:val="1"/>
          <w:color w:val="auto"/>
        </w:rPr>
        <w:t>Notices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060" w:hanging="526"/>
        <w:spacing w:after="0" w:line="250" w:lineRule="auto"/>
        <w:tabs>
          <w:tab w:leader="none" w:pos="1040" w:val="left"/>
        </w:tabs>
        <w:rPr>
          <w:sz w:val="20"/>
          <w:szCs w:val="20"/>
          <w:color w:val="auto"/>
        </w:rPr>
      </w:pPr>
      <w:r>
        <w:rPr>
          <w:rFonts w:ascii="Times New Roman" w:cs="Times New Roman" w:eastAsia="Times New Roman" w:hAnsi="Times New Roman"/>
          <w:sz w:val="15"/>
          <w:szCs w:val="15"/>
          <w:color w:val="auto"/>
        </w:rPr>
        <w:t>15.6.1</w:t>
      </w:r>
      <w:r>
        <w:rPr>
          <w:sz w:val="20"/>
          <w:szCs w:val="20"/>
          <w:color w:val="auto"/>
        </w:rPr>
        <w:tab/>
      </w:r>
      <w:r>
        <w:rPr>
          <w:rFonts w:ascii="Times New Roman" w:cs="Times New Roman" w:eastAsia="Times New Roman" w:hAnsi="Times New Roman"/>
          <w:sz w:val="15"/>
          <w:szCs w:val="15"/>
          <w:b w:val="1"/>
          <w:bCs w:val="1"/>
          <w:color w:val="auto"/>
        </w:rPr>
        <w:t>Notice Requirements</w:t>
      </w:r>
      <w:r>
        <w:rPr>
          <w:rFonts w:ascii="Times New Roman" w:cs="Times New Roman" w:eastAsia="Times New Roman" w:hAnsi="Times New Roman"/>
          <w:sz w:val="15"/>
          <w:szCs w:val="15"/>
          <w:color w:val="auto"/>
        </w:rPr>
        <w:t>. All notices and other communications required or permitted hereunder shall be in writing and may be delivered personally, sent by overnight delivery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service, mailed by registered or certified mail, or postage prepaid to the addresses for each Party set forth below, with a courtesy copy sent by email, which will not constitute notice. Each such notice or other communication shall be treated as effective or having been given (i) when delivered, if delivered personally; (ii) on the next Business Day, if sent by overnight delivery; or (iii) forty-eight (48) hours after mailing, if mailed by registered or certified mail. A Party may change its notice address at any time by delivery of written notice of such change to the other Party. This </w:t>
      </w:r>
      <w:r>
        <w:rPr>
          <w:rFonts w:ascii="Times New Roman" w:cs="Times New Roman" w:eastAsia="Times New Roman" w:hAnsi="Times New Roman"/>
          <w:sz w:val="15"/>
          <w:szCs w:val="15"/>
          <w:u w:val="single" w:color="auto"/>
          <w:color w:val="auto"/>
        </w:rPr>
        <w:t>Section 15.6</w:t>
      </w:r>
      <w:r>
        <w:rPr>
          <w:rFonts w:ascii="Times New Roman" w:cs="Times New Roman" w:eastAsia="Times New Roman" w:hAnsi="Times New Roman"/>
          <w:sz w:val="15"/>
          <w:szCs w:val="15"/>
          <w:color w:val="auto"/>
        </w:rPr>
        <w:t xml:space="preserve"> is not intended to govern the day-to-day business communications necessary between the Parties in performing their obligations under the terms of this Agreement.</w:t>
      </w:r>
    </w:p>
    <w:p>
      <w:pPr>
        <w:spacing w:after="0" w:line="154"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15.6.2</w:t>
      </w:r>
      <w:r>
        <w:rPr>
          <w:sz w:val="20"/>
          <w:szCs w:val="20"/>
          <w:color w:val="auto"/>
        </w:rPr>
        <w:tab/>
      </w:r>
      <w:r>
        <w:rPr>
          <w:rFonts w:ascii="Times New Roman" w:cs="Times New Roman" w:eastAsia="Times New Roman" w:hAnsi="Times New Roman"/>
          <w:sz w:val="14"/>
          <w:szCs w:val="14"/>
          <w:color w:val="auto"/>
        </w:rPr>
        <w:t>Addresses for Notice.</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Licensee:</w:t>
      </w:r>
    </w:p>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With copies to (which shall not constitute notice):</w:t>
      </w:r>
    </w:p>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540"/>
        <w:spacing w:after="0"/>
        <w:tabs>
          <w:tab w:leader="none" w:pos="2260" w:val="left"/>
        </w:tabs>
        <w:rPr>
          <w:sz w:val="20"/>
          <w:szCs w:val="20"/>
          <w:color w:val="auto"/>
        </w:rPr>
      </w:pPr>
      <w:r>
        <w:rPr>
          <w:rFonts w:ascii="Times New Roman" w:cs="Times New Roman" w:eastAsia="Times New Roman" w:hAnsi="Times New Roman"/>
          <w:sz w:val="15"/>
          <w:szCs w:val="15"/>
          <w:color w:val="auto"/>
        </w:rPr>
        <w:t>XENCOR:</w:t>
      </w:r>
      <w:r>
        <w:rPr>
          <w:sz w:val="20"/>
          <w:szCs w:val="20"/>
          <w:color w:val="auto"/>
        </w:rPr>
        <w:tab/>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With copies to (which shall not constitute notice):</w:t>
      </w:r>
    </w:p>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5"/>
          <w:szCs w:val="15"/>
          <w:color w:val="auto"/>
        </w:rPr>
        <w:t>[***]</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24" w:name="page325"/>
    <w:bookmarkEnd w:id="324"/>
    <w:p>
      <w:pPr>
        <w:jc w:val="both"/>
        <w:ind w:left="540" w:hanging="526"/>
        <w:spacing w:after="0" w:line="253" w:lineRule="auto"/>
        <w:tabs>
          <w:tab w:leader="none" w:pos="520" w:val="left"/>
        </w:tabs>
        <w:rPr>
          <w:sz w:val="20"/>
          <w:szCs w:val="20"/>
          <w:color w:val="auto"/>
        </w:rPr>
      </w:pPr>
      <w:r>
        <w:rPr>
          <w:rFonts w:ascii="Times New Roman" w:cs="Times New Roman" w:eastAsia="Times New Roman" w:hAnsi="Times New Roman"/>
          <w:sz w:val="15"/>
          <w:szCs w:val="15"/>
          <w:color w:val="auto"/>
        </w:rPr>
        <w:t>15.7</w:t>
      </w:r>
      <w:r>
        <w:rPr>
          <w:sz w:val="20"/>
          <w:szCs w:val="20"/>
          <w:color w:val="auto"/>
        </w:rPr>
        <w:tab/>
      </w:r>
      <w:r>
        <w:rPr>
          <w:rFonts w:ascii="Times New Roman" w:cs="Times New Roman" w:eastAsia="Times New Roman" w:hAnsi="Times New Roman"/>
          <w:sz w:val="15"/>
          <w:szCs w:val="15"/>
          <w:b w:val="1"/>
          <w:bCs w:val="1"/>
          <w:color w:val="auto"/>
        </w:rPr>
        <w:t>Entire Agreement</w:t>
      </w:r>
      <w:r>
        <w:rPr>
          <w:rFonts w:ascii="Times New Roman" w:cs="Times New Roman" w:eastAsia="Times New Roman" w:hAnsi="Times New Roman"/>
          <w:sz w:val="15"/>
          <w:szCs w:val="15"/>
          <w:color w:val="auto"/>
        </w:rPr>
        <w:t>. This Agreement, including the Exhibits and Schedules attached hereto, constitutes the entire agreement between the Parties with respect to the subject matter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hereof and supersedes all prior or contemporaneous understandings or agreements, whether written or oral, with respect to the subject matter hereof. Each Party confirms that it is not relying on any representations or warranties of the other Party, except as specifically set forth herein. No amendment or modification hereof shall be binding upon the Parties unless in writing and duly executed by authorized representatives of both Parties.</w:t>
      </w:r>
    </w:p>
    <w:p>
      <w:pPr>
        <w:spacing w:after="0" w:line="152" w:lineRule="exact"/>
        <w:rPr>
          <w:sz w:val="20"/>
          <w:szCs w:val="20"/>
          <w:color w:val="auto"/>
        </w:rPr>
      </w:pPr>
    </w:p>
    <w:p>
      <w:pPr>
        <w:jc w:val="both"/>
        <w:ind w:left="54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15.8</w:t>
      </w:r>
      <w:r>
        <w:rPr>
          <w:sz w:val="20"/>
          <w:szCs w:val="20"/>
          <w:color w:val="auto"/>
        </w:rPr>
        <w:tab/>
      </w:r>
      <w:r>
        <w:rPr>
          <w:rFonts w:ascii="Times New Roman" w:cs="Times New Roman" w:eastAsia="Times New Roman" w:hAnsi="Times New Roman"/>
          <w:sz w:val="15"/>
          <w:szCs w:val="15"/>
          <w:b w:val="1"/>
          <w:bCs w:val="1"/>
          <w:color w:val="auto"/>
        </w:rPr>
        <w:t>Exhibits</w:t>
      </w:r>
      <w:r>
        <w:rPr>
          <w:rFonts w:ascii="Times New Roman" w:cs="Times New Roman" w:eastAsia="Times New Roman" w:hAnsi="Times New Roman"/>
          <w:sz w:val="15"/>
          <w:szCs w:val="15"/>
          <w:color w:val="auto"/>
        </w:rPr>
        <w:t>. All Exhibits and Schedules referred to in this Agreement are intended to be, and hereby are, specifically incorporated into and made a part of this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in the event of any conflict or any inconsistency between any term or condition of this Agreement and any term or condition of any Exhibit, Schedule or other attachment hereto (including the Development Plan, but excluding the Upstream Licenses set forth in </w:t>
      </w:r>
      <w:r>
        <w:rPr>
          <w:rFonts w:ascii="Times New Roman" w:cs="Times New Roman" w:eastAsia="Times New Roman" w:hAnsi="Times New Roman"/>
          <w:sz w:val="15"/>
          <w:szCs w:val="15"/>
          <w:u w:val="single" w:color="auto"/>
          <w:color w:val="auto"/>
        </w:rPr>
        <w:t>Schedule 1.67</w:t>
      </w:r>
      <w:r>
        <w:rPr>
          <w:rFonts w:ascii="Times New Roman" w:cs="Times New Roman" w:eastAsia="Times New Roman" w:hAnsi="Times New Roman"/>
          <w:sz w:val="15"/>
          <w:szCs w:val="15"/>
          <w:color w:val="auto"/>
        </w:rPr>
        <w:t>), the terms and conditions of this Agreement shall control.</w:t>
      </w:r>
    </w:p>
    <w:p>
      <w:pPr>
        <w:spacing w:after="0" w:line="147" w:lineRule="exact"/>
        <w:rPr>
          <w:sz w:val="20"/>
          <w:szCs w:val="20"/>
          <w:color w:val="auto"/>
        </w:rPr>
      </w:pPr>
    </w:p>
    <w:p>
      <w:pPr>
        <w:jc w:val="both"/>
        <w:ind w:left="54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15.9</w:t>
      </w:r>
      <w:r>
        <w:rPr>
          <w:sz w:val="20"/>
          <w:szCs w:val="20"/>
          <w:color w:val="auto"/>
        </w:rPr>
        <w:tab/>
      </w:r>
      <w:r>
        <w:rPr>
          <w:rFonts w:ascii="Times New Roman" w:cs="Times New Roman" w:eastAsia="Times New Roman" w:hAnsi="Times New Roman"/>
          <w:sz w:val="15"/>
          <w:szCs w:val="15"/>
          <w:b w:val="1"/>
          <w:bCs w:val="1"/>
          <w:color w:val="auto"/>
        </w:rPr>
        <w:t>No Benefit to Others</w:t>
      </w:r>
      <w:r>
        <w:rPr>
          <w:rFonts w:ascii="Times New Roman" w:cs="Times New Roman" w:eastAsia="Times New Roman" w:hAnsi="Times New Roman"/>
          <w:sz w:val="15"/>
          <w:szCs w:val="15"/>
          <w:color w:val="auto"/>
        </w:rPr>
        <w:t>. The provisions of this Agreement are for the sole benefit of the Parties and their successors and permitted assigns, and they shall not be construed as conferring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any rights in any other Persons except as otherwise expressly provided in this Agreement.</w:t>
      </w:r>
    </w:p>
    <w:p>
      <w:pPr>
        <w:spacing w:after="0" w:line="136" w:lineRule="exact"/>
        <w:rPr>
          <w:sz w:val="20"/>
          <w:szCs w:val="20"/>
          <w:color w:val="auto"/>
        </w:rPr>
      </w:pPr>
    </w:p>
    <w:p>
      <w:pPr>
        <w:jc w:val="both"/>
        <w:ind w:left="540" w:hanging="526"/>
        <w:spacing w:after="0" w:line="251" w:lineRule="auto"/>
        <w:tabs>
          <w:tab w:leader="none" w:pos="520" w:val="left"/>
        </w:tabs>
        <w:rPr>
          <w:sz w:val="20"/>
          <w:szCs w:val="20"/>
          <w:color w:val="auto"/>
        </w:rPr>
      </w:pPr>
      <w:r>
        <w:rPr>
          <w:rFonts w:ascii="Times New Roman" w:cs="Times New Roman" w:eastAsia="Times New Roman" w:hAnsi="Times New Roman"/>
          <w:sz w:val="15"/>
          <w:szCs w:val="15"/>
          <w:color w:val="auto"/>
        </w:rPr>
        <w:t>15.10</w:t>
      </w:r>
      <w:r>
        <w:rPr>
          <w:sz w:val="20"/>
          <w:szCs w:val="20"/>
          <w:color w:val="auto"/>
        </w:rPr>
        <w:tab/>
      </w:r>
      <w:r>
        <w:rPr>
          <w:rFonts w:ascii="Times New Roman" w:cs="Times New Roman" w:eastAsia="Times New Roman" w:hAnsi="Times New Roman"/>
          <w:sz w:val="15"/>
          <w:szCs w:val="15"/>
          <w:b w:val="1"/>
          <w:bCs w:val="1"/>
          <w:color w:val="auto"/>
        </w:rPr>
        <w:t>Severability</w:t>
      </w:r>
      <w:r>
        <w:rPr>
          <w:rFonts w:ascii="Times New Roman" w:cs="Times New Roman" w:eastAsia="Times New Roman" w:hAnsi="Times New Roman"/>
          <w:sz w:val="15"/>
          <w:szCs w:val="15"/>
          <w:color w:val="auto"/>
        </w:rPr>
        <w:t>. If any provision hereof should be invalid, illegal or unenforceable in any respect, then, to the fullest extent permitted by Applicable Law, (a) all other provisions hereof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shall remain in full force and effect and shall be liberally construed in order to carry out the intent of the Parties as nearly as may be possible, and (b) the Parties shall use their best efforts to negotiate a provision, in replacement of the provision held invalid, illegal or unenforceable, that is consistent with Applicable Law and accomplishes, as nearly as possible, the original intention of the Parties with respect thereto. To the fullest extent permitted by Applicable Law, each Party hereby waives any provision of law that would render any provision hereof prohibited or unenforceable in any respect.</w:t>
      </w:r>
    </w:p>
    <w:p>
      <w:pPr>
        <w:spacing w:after="0" w:line="153" w:lineRule="exact"/>
        <w:rPr>
          <w:sz w:val="20"/>
          <w:szCs w:val="20"/>
          <w:color w:val="auto"/>
        </w:rPr>
      </w:pPr>
    </w:p>
    <w:p>
      <w:pPr>
        <w:jc w:val="both"/>
        <w:ind w:left="540" w:hanging="526"/>
        <w:spacing w:after="0" w:line="251" w:lineRule="auto"/>
        <w:tabs>
          <w:tab w:leader="none" w:pos="520" w:val="left"/>
        </w:tabs>
        <w:rPr>
          <w:sz w:val="20"/>
          <w:szCs w:val="20"/>
          <w:color w:val="auto"/>
        </w:rPr>
      </w:pPr>
      <w:r>
        <w:rPr>
          <w:rFonts w:ascii="Times New Roman" w:cs="Times New Roman" w:eastAsia="Times New Roman" w:hAnsi="Times New Roman"/>
          <w:sz w:val="15"/>
          <w:szCs w:val="15"/>
          <w:color w:val="auto"/>
        </w:rPr>
        <w:t>15.11</w:t>
      </w:r>
      <w:r>
        <w:rPr>
          <w:sz w:val="20"/>
          <w:szCs w:val="20"/>
          <w:color w:val="auto"/>
        </w:rPr>
        <w:tab/>
      </w:r>
      <w:r>
        <w:rPr>
          <w:rFonts w:ascii="Times New Roman" w:cs="Times New Roman" w:eastAsia="Times New Roman" w:hAnsi="Times New Roman"/>
          <w:sz w:val="15"/>
          <w:szCs w:val="15"/>
          <w:b w:val="1"/>
          <w:bCs w:val="1"/>
          <w:color w:val="auto"/>
        </w:rPr>
        <w:t>Further Assurance</w:t>
      </w:r>
      <w:r>
        <w:rPr>
          <w:rFonts w:ascii="Times New Roman" w:cs="Times New Roman" w:eastAsia="Times New Roman" w:hAnsi="Times New Roman"/>
          <w:sz w:val="15"/>
          <w:szCs w:val="15"/>
          <w:color w:val="auto"/>
        </w:rPr>
        <w:t>. Each Party shall duly execute and deliver, or cause to be duly executed and delivered, such further instruments and do and cause to be done such further acts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things, including the filing of such assignments, agreements, documents and instruments, as may be necessary or as the other Party may reasonably request to carry out more effectively the provisions and purposes hereof, or to better assure and confirm unto such other Party its rights and remedies under this Agreement. Each Party shall respond, as promptly as practicable, to the other Party’s requests for information in the Control of such Party to the extent that the requesting Party reasonably requires such information to comply with Applicable Law or to perform its obligations under this Agreement.</w:t>
      </w:r>
    </w:p>
    <w:p>
      <w:pPr>
        <w:spacing w:after="0" w:line="153" w:lineRule="exact"/>
        <w:rPr>
          <w:sz w:val="20"/>
          <w:szCs w:val="20"/>
          <w:color w:val="auto"/>
        </w:rPr>
      </w:pPr>
    </w:p>
    <w:p>
      <w:pPr>
        <w:jc w:val="both"/>
        <w:ind w:left="54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15.12</w:t>
      </w:r>
      <w:r>
        <w:rPr>
          <w:sz w:val="20"/>
          <w:szCs w:val="20"/>
          <w:color w:val="auto"/>
        </w:rPr>
        <w:tab/>
      </w:r>
      <w:r>
        <w:rPr>
          <w:rFonts w:ascii="Times New Roman" w:cs="Times New Roman" w:eastAsia="Times New Roman" w:hAnsi="Times New Roman"/>
          <w:sz w:val="15"/>
          <w:szCs w:val="15"/>
          <w:b w:val="1"/>
          <w:bCs w:val="1"/>
          <w:color w:val="auto"/>
        </w:rPr>
        <w:t>Publicity</w:t>
      </w:r>
      <w:r>
        <w:rPr>
          <w:rFonts w:ascii="Times New Roman" w:cs="Times New Roman" w:eastAsia="Times New Roman" w:hAnsi="Times New Roman"/>
          <w:sz w:val="15"/>
          <w:szCs w:val="15"/>
          <w:color w:val="auto"/>
        </w:rPr>
        <w:t>. Subject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9.1.6</w:t>
      </w:r>
      <w:r>
        <w:rPr>
          <w:rFonts w:ascii="Times New Roman" w:cs="Times New Roman" w:eastAsia="Times New Roman" w:hAnsi="Times New Roman"/>
          <w:sz w:val="15"/>
          <w:szCs w:val="15"/>
          <w:color w:val="auto"/>
        </w:rPr>
        <w:t>, neither Party shall issue a press release or make any public announcement or other public disclosure with respect to any of the transactions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contemplated herein without obtaining the prior written consent of the other Party;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 disclosure shall be permitted without the other Party’s consent to the extent that it does not contain information beyond that included in a prior disclosure approved in writing by both Parties.</w:t>
      </w:r>
    </w:p>
    <w:p>
      <w:pPr>
        <w:spacing w:after="0" w:line="147" w:lineRule="exact"/>
        <w:rPr>
          <w:sz w:val="20"/>
          <w:szCs w:val="20"/>
          <w:color w:val="auto"/>
        </w:rPr>
      </w:pPr>
    </w:p>
    <w:p>
      <w:pPr>
        <w:jc w:val="both"/>
        <w:ind w:left="540" w:hanging="526"/>
        <w:spacing w:after="0" w:line="277" w:lineRule="auto"/>
        <w:tabs>
          <w:tab w:leader="none" w:pos="520" w:val="left"/>
        </w:tabs>
        <w:rPr>
          <w:sz w:val="20"/>
          <w:szCs w:val="20"/>
          <w:color w:val="auto"/>
        </w:rPr>
      </w:pPr>
      <w:r>
        <w:rPr>
          <w:rFonts w:ascii="Times New Roman" w:cs="Times New Roman" w:eastAsia="Times New Roman" w:hAnsi="Times New Roman"/>
          <w:sz w:val="15"/>
          <w:szCs w:val="15"/>
          <w:color w:val="auto"/>
        </w:rPr>
        <w:t>15.13</w:t>
      </w:r>
      <w:r>
        <w:rPr>
          <w:sz w:val="20"/>
          <w:szCs w:val="20"/>
          <w:color w:val="auto"/>
        </w:rPr>
        <w:tab/>
      </w:r>
      <w:r>
        <w:rPr>
          <w:rFonts w:ascii="Times New Roman" w:cs="Times New Roman" w:eastAsia="Times New Roman" w:hAnsi="Times New Roman"/>
          <w:sz w:val="14"/>
          <w:szCs w:val="14"/>
          <w:b w:val="1"/>
          <w:bCs w:val="1"/>
          <w:color w:val="auto"/>
        </w:rPr>
        <w:t>Relationship of the Parties</w:t>
      </w:r>
      <w:r>
        <w:rPr>
          <w:rFonts w:ascii="Times New Roman" w:cs="Times New Roman" w:eastAsia="Times New Roman" w:hAnsi="Times New Roman"/>
          <w:sz w:val="14"/>
          <w:szCs w:val="14"/>
          <w:color w:val="auto"/>
        </w:rPr>
        <w:t>. Nothing contained in this Agreement shall be construed as creating a partnership, joint venture or agency relationship between the Parties hereto or,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granting to either Party the authority to bind or contract any obligation in the name of or on the account of the other Party, or to make any statements, representations, guarantees or warranties on behalf of the other Party. All Persons employed by a Party or any of its Affiliates shall be employees of such Party or its Affiliates and not of the other Party or such other Party’s Affiliates, and all costs and obligations incurred by reason of any such employment shall be for the account and expense of such Party or its Affiliates, as applicable.</w:t>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25" w:name="page326"/>
    <w:bookmarkEnd w:id="325"/>
    <w:p>
      <w:pPr>
        <w:jc w:val="both"/>
        <w:ind w:left="540" w:hanging="526"/>
        <w:spacing w:after="0" w:line="250" w:lineRule="auto"/>
        <w:tabs>
          <w:tab w:leader="none" w:pos="520" w:val="left"/>
        </w:tabs>
        <w:rPr>
          <w:sz w:val="20"/>
          <w:szCs w:val="20"/>
          <w:color w:val="auto"/>
        </w:rPr>
      </w:pPr>
      <w:r>
        <w:rPr>
          <w:rFonts w:ascii="Times New Roman" w:cs="Times New Roman" w:eastAsia="Times New Roman" w:hAnsi="Times New Roman"/>
          <w:sz w:val="15"/>
          <w:szCs w:val="15"/>
          <w:color w:val="auto"/>
        </w:rPr>
        <w:t>15.14</w:t>
      </w:r>
      <w:r>
        <w:rPr>
          <w:sz w:val="20"/>
          <w:szCs w:val="20"/>
          <w:color w:val="auto"/>
        </w:rPr>
        <w:tab/>
      </w:r>
      <w:r>
        <w:rPr>
          <w:rFonts w:ascii="Times New Roman" w:cs="Times New Roman" w:eastAsia="Times New Roman" w:hAnsi="Times New Roman"/>
          <w:sz w:val="15"/>
          <w:szCs w:val="15"/>
          <w:b w:val="1"/>
          <w:bCs w:val="1"/>
          <w:color w:val="auto"/>
        </w:rPr>
        <w:t>Affiliates</w:t>
      </w:r>
      <w:r>
        <w:rPr>
          <w:rFonts w:ascii="Times New Roman" w:cs="Times New Roman" w:eastAsia="Times New Roman" w:hAnsi="Times New Roman"/>
          <w:sz w:val="15"/>
          <w:szCs w:val="15"/>
          <w:color w:val="auto"/>
        </w:rPr>
        <w:t>. Each Party shall cause its respective Affiliates to comply fully with the provisions of this Agreement to the extent such provisions relate, or are intended to relate to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Affiliates, as if such Affiliates were expressly named as joint obligors hereunder. Without limiting the generality of the foregoing or </w:t>
      </w:r>
      <w:r>
        <w:rPr>
          <w:rFonts w:ascii="Times New Roman" w:cs="Times New Roman" w:eastAsia="Times New Roman" w:hAnsi="Times New Roman"/>
          <w:sz w:val="15"/>
          <w:szCs w:val="15"/>
          <w:u w:val="single" w:color="auto"/>
          <w:color w:val="auto"/>
        </w:rPr>
        <w:t>Section 15.1</w:t>
      </w:r>
      <w:r>
        <w:rPr>
          <w:rFonts w:ascii="Times New Roman" w:cs="Times New Roman" w:eastAsia="Times New Roman" w:hAnsi="Times New Roman"/>
          <w:sz w:val="15"/>
          <w:szCs w:val="15"/>
          <w:color w:val="auto"/>
        </w:rPr>
        <w:t xml:space="preserve">, if any obligations of a Party hereunder are delegated to or performed by any of such Party’s Affiliate as permitted under </w:t>
      </w:r>
      <w:r>
        <w:rPr>
          <w:rFonts w:ascii="Times New Roman" w:cs="Times New Roman" w:eastAsia="Times New Roman" w:hAnsi="Times New Roman"/>
          <w:sz w:val="15"/>
          <w:szCs w:val="15"/>
          <w:u w:val="single" w:color="auto"/>
          <w:color w:val="auto"/>
        </w:rPr>
        <w:t>Section 15.1</w:t>
      </w:r>
      <w:r>
        <w:rPr>
          <w:rFonts w:ascii="Times New Roman" w:cs="Times New Roman" w:eastAsia="Times New Roman" w:hAnsi="Times New Roman"/>
          <w:sz w:val="15"/>
          <w:szCs w:val="15"/>
          <w:color w:val="auto"/>
        </w:rPr>
        <w:t>, such obligations will be deemed satisfied upon performance by such Affiliate. Each Party hereby expressly waives any requirement that the other Party exhausts any right, power or remedy, or proceed against an Affiliate, for any obligation or performance hereunder prior to proceeding directly against such Party. Wherever in this Agreement the Parties delegate responsibility to Affiliates, the Parties agree that such entities may not make decisions inconsistent with this Agreement, amend the terms of this Agreement or act contrary to its terms in any way.</w:t>
      </w:r>
    </w:p>
    <w:p>
      <w:pPr>
        <w:spacing w:after="0" w:line="152" w:lineRule="exact"/>
        <w:rPr>
          <w:sz w:val="20"/>
          <w:szCs w:val="20"/>
          <w:color w:val="auto"/>
        </w:rPr>
      </w:pPr>
    </w:p>
    <w:p>
      <w:pPr>
        <w:jc w:val="both"/>
        <w:ind w:left="540" w:right="2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15.15</w:t>
      </w:r>
      <w:r>
        <w:rPr>
          <w:sz w:val="20"/>
          <w:szCs w:val="20"/>
          <w:color w:val="auto"/>
        </w:rPr>
        <w:tab/>
      </w:r>
      <w:r>
        <w:rPr>
          <w:rFonts w:ascii="Times New Roman" w:cs="Times New Roman" w:eastAsia="Times New Roman" w:hAnsi="Times New Roman"/>
          <w:sz w:val="15"/>
          <w:szCs w:val="15"/>
          <w:b w:val="1"/>
          <w:bCs w:val="1"/>
          <w:color w:val="auto"/>
        </w:rPr>
        <w:t>Expenses</w:t>
      </w:r>
      <w:r>
        <w:rPr>
          <w:rFonts w:ascii="Times New Roman" w:cs="Times New Roman" w:eastAsia="Times New Roman" w:hAnsi="Times New Roman"/>
          <w:sz w:val="15"/>
          <w:szCs w:val="15"/>
          <w:color w:val="auto"/>
        </w:rPr>
        <w:t>. Each of the Parties shall pay the fees and expenses of its respective counsel and other experts and all other expenses, except as otherwise expressly set forth herein, incurred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by such Party incident to the negotiation, preparation, execution, delivery and performance of this Agreement.</w:t>
      </w:r>
    </w:p>
    <w:p>
      <w:pPr>
        <w:spacing w:after="0" w:line="136" w:lineRule="exact"/>
        <w:rPr>
          <w:sz w:val="20"/>
          <w:szCs w:val="20"/>
          <w:color w:val="auto"/>
        </w:rPr>
      </w:pPr>
    </w:p>
    <w:p>
      <w:pPr>
        <w:jc w:val="both"/>
        <w:ind w:left="54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15.16</w:t>
      </w:r>
      <w:r>
        <w:rPr>
          <w:sz w:val="20"/>
          <w:szCs w:val="20"/>
          <w:color w:val="auto"/>
        </w:rPr>
        <w:tab/>
      </w:r>
      <w:r>
        <w:rPr>
          <w:rFonts w:ascii="Times New Roman" w:cs="Times New Roman" w:eastAsia="Times New Roman" w:hAnsi="Times New Roman"/>
          <w:sz w:val="15"/>
          <w:szCs w:val="15"/>
          <w:b w:val="1"/>
          <w:bCs w:val="1"/>
          <w:color w:val="auto"/>
        </w:rPr>
        <w:t>Counterparts</w:t>
      </w:r>
      <w:r>
        <w:rPr>
          <w:rFonts w:ascii="Times New Roman" w:cs="Times New Roman" w:eastAsia="Times New Roman" w:hAnsi="Times New Roman"/>
          <w:sz w:val="15"/>
          <w:szCs w:val="15"/>
          <w:color w:val="auto"/>
        </w:rPr>
        <w:t>. This Agreement may be executed in one or more counterpart copies, each of which shall be deemed an original and all of which taken together shall be deemed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constitute one and the same instrument. An executed signature page of this Agreement delivered by e-mail transmission shall be as effective as an original executed signature page. It shall not be necessary in making proof of this Agreement or any counterpart hereof to produce or account for any of the other counterparts.</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26" w:name="page327"/>
    <w:bookmarkEnd w:id="326"/>
    <w:p>
      <w:pPr>
        <w:ind w:left="540"/>
        <w:spacing w:after="0"/>
        <w:rPr>
          <w:sz w:val="20"/>
          <w:szCs w:val="20"/>
          <w:color w:val="auto"/>
        </w:rPr>
      </w:pPr>
      <w:r>
        <w:rPr>
          <w:rFonts w:ascii="Times New Roman" w:cs="Times New Roman" w:eastAsia="Times New Roman" w:hAnsi="Times New Roman"/>
          <w:sz w:val="15"/>
          <w:szCs w:val="15"/>
          <w:color w:val="auto"/>
        </w:rPr>
        <w:t>IN WITNESS WHEREOF, the Parties hereto have executed or caused its duly authorized representative to execute this Agreement on the Execution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Licensee</w:t>
      </w:r>
      <w:r>
        <w:rPr>
          <w:rFonts w:ascii="Times New Roman" w:cs="Times New Roman" w:eastAsia="Times New Roman" w:hAnsi="Times New Roman"/>
          <w:sz w:val="15"/>
          <w:szCs w:val="15"/>
          <w:color w:val="auto"/>
        </w:rPr>
        <w:t>:</w:t>
      </w:r>
    </w:p>
    <w:p>
      <w:pPr>
        <w:spacing w:after="0" w:line="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b w:val="1"/>
          <w:bCs w:val="1"/>
          <w:color w:val="auto"/>
        </w:rPr>
        <w:t>Zenas Biopharma (Cayman) Limited</w:t>
      </w:r>
    </w:p>
    <w:p>
      <w:pPr>
        <w:spacing w:after="0" w:line="164" w:lineRule="exact"/>
        <w:rPr>
          <w:sz w:val="20"/>
          <w:szCs w:val="20"/>
          <w:color w:val="auto"/>
        </w:rPr>
      </w:pPr>
    </w:p>
    <w:tbl>
      <w:tblPr>
        <w:tblLayout w:type="fixed"/>
        <w:tblInd w:w="5660" w:type="dxa"/>
        <w:tblCellMar>
          <w:top w:w="0" w:type="dxa"/>
          <w:left w:w="0" w:type="dxa"/>
          <w:bottom w:w="0" w:type="dxa"/>
          <w:right w:w="0" w:type="dxa"/>
        </w:tblCellMar>
      </w:tblPr>
      <w:tr>
        <w:trPr>
          <w:trHeight w:val="190"/>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Leon O. Moulder, Jr.</w:t>
            </w:r>
          </w:p>
        </w:tc>
      </w:tr>
      <w:tr>
        <w:trPr>
          <w:trHeight w:val="141"/>
        </w:trPr>
        <w:tc>
          <w:tcPr>
            <w:tcW w:w="560" w:type="dxa"/>
            <w:vAlign w:val="bottom"/>
          </w:tcPr>
          <w:p>
            <w:pPr>
              <w:spacing w:after="0" w:line="141" w:lineRule="exact"/>
              <w:rPr>
                <w:sz w:val="20"/>
                <w:szCs w:val="20"/>
                <w:color w:val="auto"/>
              </w:rPr>
            </w:pPr>
            <w:r>
              <w:rPr>
                <w:rFonts w:ascii="Times New Roman" w:cs="Times New Roman" w:eastAsia="Times New Roman" w:hAnsi="Times New Roman"/>
                <w:sz w:val="15"/>
                <w:szCs w:val="15"/>
                <w:color w:val="auto"/>
              </w:rPr>
              <w:t>Name:</w:t>
            </w:r>
          </w:p>
        </w:tc>
        <w:tc>
          <w:tcPr>
            <w:tcW w:w="5060" w:type="dxa"/>
            <w:vAlign w:val="bottom"/>
          </w:tcPr>
          <w:p>
            <w:pPr>
              <w:spacing w:after="0" w:line="141" w:lineRule="exact"/>
              <w:rPr>
                <w:sz w:val="20"/>
                <w:szCs w:val="20"/>
                <w:color w:val="auto"/>
              </w:rPr>
            </w:pPr>
            <w:r>
              <w:rPr>
                <w:rFonts w:ascii="Times New Roman" w:cs="Times New Roman" w:eastAsia="Times New Roman" w:hAnsi="Times New Roman"/>
                <w:sz w:val="15"/>
                <w:szCs w:val="15"/>
                <w:color w:val="auto"/>
              </w:rPr>
              <w:t>Leon O. Moulder, Jr.</w:t>
            </w:r>
          </w:p>
        </w:tc>
      </w:tr>
      <w:tr>
        <w:trPr>
          <w:trHeight w:val="190"/>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President and Executive Chairman</w:t>
            </w:r>
          </w:p>
        </w:tc>
      </w:tr>
    </w:tbl>
    <w:p>
      <w:pPr>
        <w:spacing w:after="0"/>
        <w:rPr>
          <w:sz w:val="20"/>
          <w:szCs w:val="20"/>
          <w:color w:val="auto"/>
        </w:rPr>
      </w:pPr>
      <w:r>
        <w:rPr>
          <w:rFonts w:ascii="Times New Roman" w:cs="Times New Roman" w:eastAsia="Times New Roman" w:hAnsi="Times New Roman"/>
          <w:sz w:val="15"/>
          <w:szCs w:val="15"/>
          <w:u w:val="single" w:color="auto"/>
          <w:color w:val="auto"/>
        </w:rPr>
        <w:t>XENCOR</w:t>
      </w:r>
      <w:r>
        <w:rPr>
          <w:rFonts w:ascii="Times New Roman" w:cs="Times New Roman" w:eastAsia="Times New Roman" w:hAnsi="Times New Roman"/>
          <w:sz w:val="15"/>
          <w:szCs w:val="15"/>
          <w:color w:val="auto"/>
        </w:rPr>
        <w:t>:</w:t>
      </w:r>
    </w:p>
    <w:p>
      <w:pPr>
        <w:spacing w:after="0" w:line="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b w:val="1"/>
          <w:bCs w:val="1"/>
          <w:color w:val="auto"/>
        </w:rPr>
        <w:t>Xencor, Inc.</w:t>
      </w:r>
    </w:p>
    <w:p>
      <w:pPr>
        <w:spacing w:after="0" w:line="164"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11430</wp:posOffset>
            </wp:positionV>
            <wp:extent cx="3216275"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ind w:left="5660"/>
        <w:spacing w:after="0"/>
        <w:tabs>
          <w:tab w:leader="none" w:pos="6200" w:val="left"/>
        </w:tabs>
        <w:rPr>
          <w:sz w:val="20"/>
          <w:szCs w:val="20"/>
          <w:color w:val="auto"/>
        </w:rPr>
      </w:pPr>
      <w:r>
        <w:rPr>
          <w:rFonts w:ascii="Times New Roman" w:cs="Times New Roman" w:eastAsia="Times New Roman" w:hAnsi="Times New Roman"/>
          <w:sz w:val="15"/>
          <w:szCs w:val="15"/>
          <w:color w:val="auto"/>
        </w:rPr>
        <w:t>Name:</w:t>
        <w:tab/>
        <w:t>[***]</w:t>
      </w:r>
    </w:p>
    <w:p>
      <w:pPr>
        <w:spacing w:after="0" w:line="3"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5"/>
          <w:szCs w:val="15"/>
          <w:color w:val="auto"/>
        </w:rPr>
        <w:t>Title:</w:t>
      </w:r>
      <w:r>
        <w:rPr>
          <w:sz w:val="20"/>
          <w:szCs w:val="20"/>
          <w:color w:val="auto"/>
        </w:rPr>
        <w:tab/>
      </w:r>
      <w:r>
        <w:rPr>
          <w:rFonts w:ascii="Times New Roman" w:cs="Times New Roman" w:eastAsia="Times New Roman" w:hAnsi="Times New Roman"/>
          <w:sz w:val="15"/>
          <w:szCs w:val="15"/>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[Signature Page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57720"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327" w:name="page328"/>
    <w:bookmarkEnd w:id="327"/>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SCHEDULE 1.42</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DESCRIPTION OF LICENSED ASSETS</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the description of Licensed Assets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57720"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28" w:name="page329"/>
    <w:bookmarkEnd w:id="328"/>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SCHEDULE 1.67</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UPSTREAM LICENSES</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the Upstream Licenses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57720"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29" w:name="page330"/>
    <w:bookmarkEnd w:id="329"/>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SCHEDULE 1.75</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XENCOR GENERAL PATENT RIGHTS</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the Xencor General Patent Rights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57720" cy="69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30" w:name="page331"/>
    <w:bookmarkEnd w:id="330"/>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SCHEDULE 1.79</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XENCOR PRODUCT SPECIFIC PATENT RIGHTS</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the Xencor Product Specific Patent Rights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57720"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31" w:name="page332"/>
    <w:bookmarkEnd w:id="331"/>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SCHEDULE 4.6</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INFORMATION TRANSFER CHECKLIST</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the Information Transfer Checklist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57720"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32" w:name="page333"/>
    <w:bookmarkEnd w:id="332"/>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SCHEDULE 9.3.1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ANTI-CORRUPTION POLICIES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Policy on Anti-Bribery and Anti-Corruption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(Cayman) Limited</w:t>
      </w:r>
    </w:p>
    <w:p>
      <w:pPr>
        <w:spacing w:after="0" w:line="179" w:lineRule="exact"/>
        <w:rPr>
          <w:sz w:val="20"/>
          <w:szCs w:val="20"/>
          <w:color w:val="auto"/>
        </w:rPr>
      </w:pPr>
    </w:p>
    <w:p>
      <w:pPr>
        <w:ind w:left="540" w:hanging="532"/>
        <w:spacing w:after="0"/>
        <w:tabs>
          <w:tab w:leader="none" w:pos="540" w:val="left"/>
        </w:tabs>
        <w:numPr>
          <w:ilvl w:val="0"/>
          <w:numId w:val="18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Purpose/Introduction</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Zenas BioPharma (Cayman) Limited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is committed to securing and maintaining the trust of patients, Healthcare Professionals, and third parties. Trust and reputation are imperative to sustaining our business and that is why we prohibit any improper or unethical payments to government officials or private parties anywhere in the world by COMPANY Employees or Third Party Representatives.</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COMPANY has established the following policy (the “</w:t>
      </w:r>
      <w:r>
        <w:rPr>
          <w:rFonts w:ascii="Times New Roman" w:cs="Times New Roman" w:eastAsia="Times New Roman" w:hAnsi="Times New Roman"/>
          <w:sz w:val="15"/>
          <w:szCs w:val="15"/>
          <w:b w:val="1"/>
          <w:bCs w:val="1"/>
          <w:color w:val="auto"/>
        </w:rPr>
        <w:t>Policy</w:t>
      </w:r>
      <w:r>
        <w:rPr>
          <w:rFonts w:ascii="Times New Roman" w:cs="Times New Roman" w:eastAsia="Times New Roman" w:hAnsi="Times New Roman"/>
          <w:sz w:val="15"/>
          <w:szCs w:val="15"/>
          <w:color w:val="auto"/>
        </w:rPr>
        <w:t>”) to help ensure compliance with laws prohibiting Bribery and Corruption, including the U.S. Foreign Corrupt Practices Act (FCPA), the U.K. Bribery Act, and the anti-bribery and anti-corruption provisions under the People’s Republic of China Criminal Law and Anti-Unfair Competition Law. Many countries have laws that prohibit Bribery and Corruption, either within the country or anywhere in the world. COMPANY Employees and the Third Parties that COMPANY engages are responsible for complying with applicable laws. While some laws distinguish between public officials and private persons, COMPANY does not tolerate bribery of anyone.</w:t>
      </w:r>
    </w:p>
    <w:p>
      <w:pPr>
        <w:spacing w:after="0" w:line="152" w:lineRule="exact"/>
        <w:rPr>
          <w:sz w:val="20"/>
          <w:szCs w:val="20"/>
          <w:color w:val="auto"/>
        </w:rPr>
      </w:pPr>
    </w:p>
    <w:p>
      <w:pPr>
        <w:ind w:left="600" w:hanging="592"/>
        <w:spacing w:after="0"/>
        <w:tabs>
          <w:tab w:leader="none" w:pos="600" w:val="left"/>
        </w:tabs>
        <w:numPr>
          <w:ilvl w:val="0"/>
          <w:numId w:val="1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Scope</w:t>
      </w:r>
    </w:p>
    <w:p>
      <w:pPr>
        <w:spacing w:after="0" w:line="17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5"/>
          <w:szCs w:val="15"/>
          <w:color w:val="auto"/>
        </w:rPr>
        <w:t>This Policy provides an overview of COMPANY’s Anti-Bribery and Anti-Corruption program (the “</w:t>
      </w:r>
      <w:r>
        <w:rPr>
          <w:rFonts w:ascii="Times New Roman" w:cs="Times New Roman" w:eastAsia="Times New Roman" w:hAnsi="Times New Roman"/>
          <w:sz w:val="15"/>
          <w:szCs w:val="15"/>
          <w:b w:val="1"/>
          <w:bCs w:val="1"/>
          <w:color w:val="auto"/>
        </w:rPr>
        <w:t>Program</w:t>
      </w:r>
      <w:r>
        <w:rPr>
          <w:rFonts w:ascii="Times New Roman" w:cs="Times New Roman" w:eastAsia="Times New Roman" w:hAnsi="Times New Roman"/>
          <w:sz w:val="15"/>
          <w:szCs w:val="15"/>
          <w:color w:val="auto"/>
        </w:rPr>
        <w:t>”), including the expectation that COMPANY Employees will understand and comply with all elements of the Policy and the Program.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Policy applies to all COMPANY Employees. This Policy also applies to individuals or organizations performing services on behalf of COMPANY.</w:t>
      </w:r>
    </w:p>
    <w:p>
      <w:pPr>
        <w:spacing w:after="0" w:line="177" w:lineRule="exact"/>
        <w:rPr>
          <w:sz w:val="20"/>
          <w:szCs w:val="20"/>
          <w:color w:val="auto"/>
        </w:rPr>
      </w:pPr>
    </w:p>
    <w:p>
      <w:pPr>
        <w:ind w:left="660" w:hanging="652"/>
        <w:spacing w:after="0"/>
        <w:tabs>
          <w:tab w:leader="none" w:pos="660" w:val="left"/>
        </w:tabs>
        <w:numPr>
          <w:ilvl w:val="0"/>
          <w:numId w:val="1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Definitions</w:t>
      </w:r>
    </w:p>
    <w:p>
      <w:pPr>
        <w:spacing w:after="0" w:line="179" w:lineRule="exact"/>
        <w:rPr>
          <w:sz w:val="20"/>
          <w:szCs w:val="20"/>
          <w:color w:val="auto"/>
        </w:rPr>
      </w:pPr>
    </w:p>
    <w:p>
      <w:pPr>
        <w:ind w:right="500"/>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Anything of Value </w:t>
      </w:r>
      <w:r>
        <w:rPr>
          <w:rFonts w:ascii="Times New Roman" w:cs="Times New Roman" w:eastAsia="Times New Roman" w:hAnsi="Times New Roman"/>
          <w:sz w:val="15"/>
          <w:szCs w:val="15"/>
          <w:color w:val="auto"/>
        </w:rPr>
        <w:t>– Cash (</w:t>
      </w:r>
      <w:r>
        <w:rPr>
          <w:rFonts w:ascii="Times New Roman" w:cs="Times New Roman" w:eastAsia="Times New Roman" w:hAnsi="Times New Roman"/>
          <w:sz w:val="15"/>
          <w:szCs w:val="15"/>
          <w:u w:val="single" w:color="auto"/>
          <w:color w:val="auto"/>
        </w:rPr>
        <w:t>no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minimum threshold), gifts, travel, entertainment, charitable contributions, and other things of value, which may include such things as job opportunities,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payment for unnecessary services or the promise or authorization to give gifts or services.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b w:val="1"/>
          <w:bCs w:val="1"/>
          <w:color w:val="auto"/>
        </w:rPr>
        <w:t xml:space="preserve">Employees or COMPANY Employees - </w:t>
      </w:r>
      <w:r>
        <w:rPr>
          <w:rFonts w:ascii="Times New Roman" w:cs="Times New Roman" w:eastAsia="Times New Roman" w:hAnsi="Times New Roman"/>
          <w:sz w:val="15"/>
          <w:szCs w:val="15"/>
          <w:color w:val="auto"/>
        </w:rPr>
        <w:t>All COMPANY officers and directors, full-time, part-time, and temporary Employees (e.g., contractors or interns). COMPANY Employees do not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include unrelated third parties that purchase COMPANY products in arms-length transactions and then distribute such products (e.g., wholesalers or distributors whose only relationship with COMPANY is the purchase, distribution and/or shipping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57720"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33" w:name="page334"/>
    <w:bookmarkEnd w:id="333"/>
    <w:p>
      <w:pPr>
        <w:jc w:val="both"/>
        <w:spacing w:after="0" w:line="258" w:lineRule="auto"/>
        <w:rPr>
          <w:sz w:val="20"/>
          <w:szCs w:val="20"/>
          <w:color w:val="auto"/>
        </w:rPr>
      </w:pPr>
      <w:r>
        <w:rPr>
          <w:rFonts w:ascii="Times New Roman" w:cs="Times New Roman" w:eastAsia="Times New Roman" w:hAnsi="Times New Roman"/>
          <w:sz w:val="15"/>
          <w:szCs w:val="15"/>
          <w:b w:val="1"/>
          <w:bCs w:val="1"/>
          <w:color w:val="auto"/>
        </w:rPr>
        <w:t xml:space="preserve">Bribery/Bribe </w:t>
      </w:r>
      <w:r>
        <w:rPr>
          <w:rFonts w:ascii="Times New Roman" w:cs="Times New Roman" w:eastAsia="Times New Roman" w:hAnsi="Times New Roman"/>
          <w:sz w:val="15"/>
          <w:szCs w:val="15"/>
          <w:color w:val="auto"/>
        </w:rPr>
        <w:t>– Offering, giving or promising (or directing someone else to offer, give, or promise) an improper benefit to someone with the intention of influencing or rewarding their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behavior to obtain or retain a commercial or personal advantage. Bribery is not limited to monetary payments and can include transfers of Anything of Value when made with the intent or desire to wrongfully influence the recipient.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Corruption </w:t>
      </w:r>
      <w:r>
        <w:rPr>
          <w:rFonts w:ascii="Times New Roman" w:cs="Times New Roman" w:eastAsia="Times New Roman" w:hAnsi="Times New Roman"/>
          <w:sz w:val="15"/>
          <w:szCs w:val="15"/>
          <w:color w:val="auto"/>
        </w:rPr>
        <w:t>- The abuse of entrusted power for private gain.</w:t>
      </w:r>
    </w:p>
    <w:p>
      <w:pPr>
        <w:spacing w:after="0" w:line="17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Foreign or Government Official </w:t>
      </w:r>
      <w:r>
        <w:rPr>
          <w:rFonts w:ascii="Times New Roman" w:cs="Times New Roman" w:eastAsia="Times New Roman" w:hAnsi="Times New Roman"/>
          <w:sz w:val="15"/>
          <w:szCs w:val="15"/>
          <w:color w:val="auto"/>
        </w:rPr>
        <w:t>– Any person acting in an official capacity on behalf of a government agency, department or instrumentality, including, in some countries, government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owned businesses such as hospitals or universities. It also includes any political party or candidate for political office and their representatives. Some other examples include,</w:t>
      </w:r>
    </w:p>
    <w:p>
      <w:pPr>
        <w:spacing w:after="0" w:line="138" w:lineRule="exact"/>
        <w:rPr>
          <w:sz w:val="20"/>
          <w:szCs w:val="20"/>
          <w:color w:val="auto"/>
        </w:rPr>
      </w:pPr>
    </w:p>
    <w:p>
      <w:pPr>
        <w:ind w:left="540" w:hanging="268"/>
        <w:spacing w:after="0"/>
        <w:tabs>
          <w:tab w:leader="none" w:pos="540"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Health care professionals who are affiliated with government-run health care systems, including but not limited to government-funded single-payor systems; and</w:t>
      </w:r>
    </w:p>
    <w:p>
      <w:pPr>
        <w:spacing w:after="0" w:line="179" w:lineRule="exact"/>
        <w:rPr>
          <w:rFonts w:ascii="Times New Roman" w:cs="Times New Roman" w:eastAsia="Times New Roman" w:hAnsi="Times New Roman"/>
          <w:sz w:val="15"/>
          <w:szCs w:val="15"/>
          <w:color w:val="auto"/>
        </w:rPr>
      </w:pPr>
    </w:p>
    <w:p>
      <w:pPr>
        <w:ind w:left="540" w:hanging="268"/>
        <w:spacing w:after="0" w:line="269" w:lineRule="auto"/>
        <w:tabs>
          <w:tab w:leader="none" w:pos="540"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Officers and employees of public international organizations, such as the World Health Organization (WHO), European Medicines Agency (EMA), and the National Medical Products Administration of the PRC (NMPA).</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b w:val="1"/>
          <w:bCs w:val="1"/>
          <w:color w:val="auto"/>
        </w:rPr>
        <w:t xml:space="preserve">Healthcare Professional (HCP) - </w:t>
      </w:r>
      <w:r>
        <w:rPr>
          <w:rFonts w:ascii="Times New Roman" w:cs="Times New Roman" w:eastAsia="Times New Roman" w:hAnsi="Times New Roman"/>
          <w:sz w:val="15"/>
          <w:szCs w:val="15"/>
          <w:color w:val="auto"/>
        </w:rPr>
        <w:t>Any person or entity in the position to purchase or prescribe or to arrange for or recommend the purchase or prescription or formulary placement of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product. This includes, but is not necessarily limited to, physicians, nurses, physician’s assistants, nurse practitioners, hospitals, pharmacists, and medical directors, as well as any individual employed by such persons or entities. The definition of HCP does not include individuals who are themselves COMPANY Employees.</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Third Party Representatives </w:t>
      </w:r>
      <w:r>
        <w:rPr>
          <w:rFonts w:ascii="Times New Roman" w:cs="Times New Roman" w:eastAsia="Times New Roman" w:hAnsi="Times New Roman"/>
          <w:sz w:val="15"/>
          <w:szCs w:val="15"/>
          <w:color w:val="auto"/>
        </w:rPr>
        <w:t>- Organizations or individuals that are hired directly or indirectly by COMPANY to perform services on behalf of COMPANY. COMPANY may engage Third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Party Representatives only where there is a bona fide business justification. Payments to Third Party Representatives must be reasonable, based on a fair market rate and for actual services performed. Examples of Third Party Representatives include consultants, contractors, contract research organizations, contract manufacturers, distributors, lobbyists, joint venture partners, market access consultants, and others.</w:t>
      </w:r>
    </w:p>
    <w:p>
      <w:pPr>
        <w:spacing w:after="0" w:line="15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5"/>
          <w:szCs w:val="15"/>
          <w:b w:val="1"/>
          <w:bCs w:val="1"/>
          <w:color w:val="auto"/>
        </w:rPr>
        <w:t>Legal Counsel -</w:t>
      </w:r>
      <w:r>
        <w:rPr>
          <w:sz w:val="20"/>
          <w:szCs w:val="20"/>
          <w:color w:val="auto"/>
        </w:rPr>
        <w:tab/>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5"/>
          <w:szCs w:val="15"/>
          <w:b w:val="1"/>
          <w:bCs w:val="1"/>
          <w:color w:val="auto"/>
        </w:rPr>
        <w:t>IV.</w:t>
      </w:r>
      <w:r>
        <w:rPr>
          <w:sz w:val="20"/>
          <w:szCs w:val="20"/>
          <w:color w:val="auto"/>
        </w:rPr>
        <w:tab/>
      </w:r>
      <w:r>
        <w:rPr>
          <w:rFonts w:ascii="Times New Roman" w:cs="Times New Roman" w:eastAsia="Times New Roman" w:hAnsi="Times New Roman"/>
          <w:sz w:val="15"/>
          <w:szCs w:val="15"/>
          <w:b w:val="1"/>
          <w:bCs w:val="1"/>
          <w:color w:val="auto"/>
        </w:rPr>
        <w:t>Policy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COMPANY Policy prohibits Bribery in any form, including providing Anything of Value to:</w:t>
      </w:r>
    </w:p>
    <w:p>
      <w:pPr>
        <w:spacing w:after="0" w:line="179" w:lineRule="exact"/>
        <w:rPr>
          <w:sz w:val="20"/>
          <w:szCs w:val="20"/>
          <w:color w:val="auto"/>
        </w:rPr>
      </w:pPr>
    </w:p>
    <w:p>
      <w:pPr>
        <w:ind w:left="540" w:hanging="268"/>
        <w:spacing w:after="0"/>
        <w:tabs>
          <w:tab w:leader="none" w:pos="540"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approval of a drug; to secure favorable formulary status or tax treatment;</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reduce or eliminate customs duties;</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obtain government action to prevent competitors from entering a market;</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circumvent a licensing or permit requirement; to secure the sale, recommendation, or prescription of COMPANY products; or</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obtain any other improper business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57720" cy="69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34" w:name="page335"/>
    <w:bookmarkEnd w:id="334"/>
    <w:p>
      <w:pPr>
        <w:ind w:right="320"/>
        <w:spacing w:after="0" w:line="269" w:lineRule="auto"/>
        <w:rPr>
          <w:sz w:val="20"/>
          <w:szCs w:val="20"/>
          <w:color w:val="auto"/>
        </w:rPr>
      </w:pPr>
      <w:r>
        <w:rPr>
          <w:rFonts w:ascii="Times New Roman" w:cs="Times New Roman" w:eastAsia="Times New Roman" w:hAnsi="Times New Roman"/>
          <w:sz w:val="15"/>
          <w:szCs w:val="15"/>
          <w:color w:val="auto"/>
        </w:rPr>
        <w:t>A COMPANY Employee may not offer to pay, pay, promise to pay, or authorize the payment of money, or provide Anything of Value to a Foreign or Government Official, an HCP, or any other Third Party Representative in order to achieve any such advantage.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Just offering a bribe, even if it is not accepted, is a violation of this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addition, no COMPANY Employee may accept Anything of Value in exchange for allowing an external party an improper business advantage.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COMPANY Employees must seek guidance from COMPANY Legal Counsel in any circumstances where doubt exists as to the appropriateness of proposed conduct.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Facilitating and Expediting Payments</w:t>
      </w:r>
    </w:p>
    <w:p>
      <w:pPr>
        <w:spacing w:after="0" w:line="18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5"/>
          <w:szCs w:val="15"/>
          <w:color w:val="auto"/>
        </w:rPr>
        <w:t>A facilitating or expediting payment is one made to further an action which is ordinarily and commonly performed by a Foreign or Government Official in the course of their job that involves non-discretionary acts (examples – obtaining permits, licenses, or other official documents; processing governmental papers; mail pickup and delivery; providing phone service). Such payments made to help facilitate or expedite normal operations are against COMPANY Policy unless they are approved in advance by COMPANY Legal Counsel. Legal Counsel may permit facilitating or expediting payments only where they are expressly permitted by local law in the country where the payment and service would take place.</w:t>
      </w:r>
    </w:p>
    <w:p>
      <w:pPr>
        <w:spacing w:after="0" w:line="154"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5"/>
          <w:szCs w:val="15"/>
          <w:color w:val="auto"/>
        </w:rPr>
        <w:t>Even where there is a threat that COMPANY’s business will be jeopardized by a Foreign or Government Official, Employees are required, before taking any action, to contact COMPANY Legal Counsel to discuss the situation.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Political Contributions</w:t>
      </w:r>
    </w:p>
    <w:p>
      <w:pPr>
        <w:spacing w:after="0" w:line="18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5"/>
          <w:szCs w:val="15"/>
          <w:color w:val="auto"/>
        </w:rPr>
        <w:t>COMPANY does not contribute COMPANY funds or assets, directly or indirectly, to any political party committee or candidate, or the holder or any federal, state or local government office within the United States. COMPANY may provide political contributions in other countries, where lawful, but only upon the specific written approval of the COMPANY’s Chief Executive Officer, General Counsel, or Chief Compliance Officer. This does not affect an individual Employee’s ability to make a political contribution, however Employees may not make a political contribution in order to obtain or retain business for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Third Party Representatives</w:t>
      </w:r>
    </w:p>
    <w:p>
      <w:pPr>
        <w:spacing w:after="0" w:line="1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5"/>
          <w:szCs w:val="15"/>
          <w:color w:val="auto"/>
        </w:rPr>
        <w:t>COMPANY relies on Third Party Representatives to accomplish a lot of what we do, particularly in countries where we don’t have a local presence. A Third Party Representative may never be used to improperly influence any person to obtain or retain business or to secure any advantage for COMPANY through improper means. We need to make sure our Third Party Representatives abide by the standards we set. A Third Party Representative cannot be asked or expected to offer or receive a Bribe on COMPANY’s behalf, or behave in a way that COMPANY itself cannot under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57720"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335" w:name="page336"/>
    <w:bookmarkEnd w:id="335"/>
    <w:p>
      <w:pPr>
        <w:spacing w:after="0" w:line="276" w:lineRule="auto"/>
        <w:rPr>
          <w:sz w:val="20"/>
          <w:szCs w:val="20"/>
          <w:color w:val="auto"/>
        </w:rPr>
      </w:pPr>
      <w:r>
        <w:rPr>
          <w:rFonts w:ascii="Times New Roman" w:cs="Times New Roman" w:eastAsia="Times New Roman" w:hAnsi="Times New Roman"/>
          <w:sz w:val="14"/>
          <w:szCs w:val="14"/>
          <w:color w:val="auto"/>
        </w:rPr>
        <w:t xml:space="preserve">COMPANY Employees must carefully select Third Party Representatives, understand the work that they are doing, and who are the principals, owners or management of the company of such Third Party Representatives. This can be accomplished by, for example: utilizing a request for proposal (“RFP”) process, asking for examples of prior projects, and speaking with references. In addition, COMPANY requires Employees to do an initial screen of vendors. This screen will allow Employees to appropriately evaluate the vendor on certain risk elements </w:t>
      </w:r>
      <w:r>
        <w:rPr>
          <w:rFonts w:ascii="Times New Roman" w:cs="Times New Roman" w:eastAsia="Times New Roman" w:hAnsi="Times New Roman"/>
          <w:sz w:val="14"/>
          <w:szCs w:val="14"/>
          <w:u w:val="single" w:color="auto"/>
          <w:color w:val="auto"/>
        </w:rPr>
        <w:t>prior</w:t>
      </w:r>
      <w:r>
        <w:rPr>
          <w:rFonts w:ascii="Times New Roman" w:cs="Times New Roman" w:eastAsia="Times New Roman" w:hAnsi="Times New Roman"/>
          <w:sz w:val="14"/>
          <w:szCs w:val="14"/>
          <w:color w:val="auto"/>
        </w:rPr>
        <w:t xml:space="preserve"> to engaging them. Whether a Third Party Representative is required to undergo additional due diligence will depend upon the results of the initial screen or the type of vendor being engaged.</w:t>
      </w:r>
    </w:p>
    <w:p>
      <w:pPr>
        <w:spacing w:after="0" w:line="138" w:lineRule="exact"/>
        <w:rPr>
          <w:sz w:val="20"/>
          <w:szCs w:val="20"/>
          <w:color w:val="auto"/>
        </w:rPr>
      </w:pPr>
    </w:p>
    <w:p>
      <w:pPr>
        <w:ind w:right="180"/>
        <w:spacing w:after="0" w:line="306" w:lineRule="auto"/>
        <w:rPr>
          <w:sz w:val="20"/>
          <w:szCs w:val="20"/>
          <w:color w:val="auto"/>
        </w:rPr>
      </w:pPr>
      <w:r>
        <w:rPr>
          <w:rFonts w:ascii="Times New Roman" w:cs="Times New Roman" w:eastAsia="Times New Roman" w:hAnsi="Times New Roman"/>
          <w:sz w:val="14"/>
          <w:szCs w:val="14"/>
          <w:color w:val="auto"/>
        </w:rPr>
        <w:t>Employees are responsible for knowing their Third Party Representatives and must understand the purpose for payments they may make on our behalf to others. Employees should carefully review payments made to Third Party Representatives they are responsible for, including any and all invoices, receipts, and/or other expenses submitted to COMPANY for payment.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Reporting Possible Violations</w:t>
      </w:r>
    </w:p>
    <w:p>
      <w:pPr>
        <w:spacing w:after="0" w:line="181"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15"/>
          <w:szCs w:val="15"/>
          <w:color w:val="auto"/>
        </w:rPr>
        <w:t>No person subject to this Policy will suffer adverse consequences for refusing to engage in Bribery or Corruption, even if this results in the loss of business or competitive advantage to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you suspect a potential violation of this Policy, or see a “red flag”, please immediately inform the COMPANY Legal Counsel. Examples of “red flags” include,</w:t>
      </w:r>
    </w:p>
    <w:p>
      <w:pPr>
        <w:spacing w:after="0" w:line="179" w:lineRule="exact"/>
        <w:rPr>
          <w:sz w:val="20"/>
          <w:szCs w:val="20"/>
          <w:color w:val="auto"/>
        </w:rPr>
      </w:pPr>
    </w:p>
    <w:p>
      <w:pPr>
        <w:ind w:left="540" w:hanging="268"/>
        <w:spacing w:after="0"/>
        <w:tabs>
          <w:tab w:leader="none" w:pos="540"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Excessive commissions to Third Party Representative agents or consultants;</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Unreasonably large discounts to Third Party Representative distributors;</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Party Representative sham consulting agreements that include only vaguely described services;</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Party Representative consultants that are in a different line of business than the business for which the consultant was engaged;</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Large, upfront payments to a Third Party Representative at the beginning of the relationship without reasonable support as to why this may be necessary;</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Third Party Representative that is related to, or closely Employed with, a Foreign or Government Official;</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Third Party Representative that became part of the transaction at the express request or insistence of a Foreign or Government Official;</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Third Party Representative that is merely a shell company incorporated in an offshore jurisdiction; or</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Third Party Representative that requests payment to offshore bank accounts.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Red flags don’t by themselves mean there is a problem, but red flags must be shared with Legal Counsel so they can be investigated appropriately.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57720"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2" w:right="3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5"/>
          <w:szCs w:val="15"/>
          <w:b w:val="1"/>
          <w:bCs w:val="1"/>
          <w:color w:val="auto"/>
        </w:rPr>
        <w:t>Books and Records</w:t>
      </w:r>
    </w:p>
    <w:p>
      <w:pPr>
        <w:spacing w:after="0" w:line="18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Maintaining accurate books and records are critical components of every Anti-Bribery and Anti-Corruption framework. These provisions are designed to prevent Bribery from being concealed as legitimate payments, such as commissions or consulting fees. COMPANY will maintain books and records that, in reasonable detail, accurately and fairly reflect corporate transactions. COMPANY’s internal accounting controls are sufficient to provide reasonable assurance that transactions are accurately recorded in its books and records in accordance with local finance and acocunting policies. All accounts, invoices, memoranda and other documents and records relating to dealings with third parties will be maintained with strict accuracy and completeness.</w:t>
      </w:r>
    </w:p>
    <w:p>
      <w:pPr>
        <w:spacing w:after="0" w:line="13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5"/>
          <w:szCs w:val="15"/>
          <w:color w:val="auto"/>
        </w:rPr>
        <w:t>Employees are responsible for ensuring that Anti-Bribery and Anti-Corruption provisions are included within their contracts with Third Party Representatives. COMPANY template contracts will include Anti-Bribery and Anti-Corruption provisions.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Exception</w:t>
      </w:r>
    </w:p>
    <w:p>
      <w:pPr>
        <w:spacing w:after="0" w:line="18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5"/>
          <w:szCs w:val="15"/>
          <w:color w:val="auto"/>
        </w:rPr>
        <w:t>If there is an immediate threat to your health or safety, or to the health or safety of a business partner carrying out COMPANY business, that requires the payment of a Bribe, you should take the steps necessary to protect yourself and then immediately report the payment or transfer of Anything of Value to the COMPANY Legal Counsel.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Questions</w:t>
      </w:r>
    </w:p>
    <w:p>
      <w:pPr>
        <w:spacing w:after="0" w:line="18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5"/>
          <w:szCs w:val="15"/>
          <w:color w:val="auto"/>
        </w:rPr>
        <w:t>COMPANY takes its responsibility for ensuring that it has a robust and effective Anti-Bribery and Anti-Corruption Program seriously. If you have any questions about this Policy, or about the appropriateness of a specific arrangement or payment, please contact COMPANY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57720"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40"/>
          </w:cols>
          <w:pgMar w:left="300" w:top="760" w:right="359" w:bottom="1440" w:gutter="0" w:footer="0" w:header="0"/>
        </w:sectPr>
      </w:pPr>
    </w:p>
    <w:bookmarkStart w:id="337" w:name="page338"/>
    <w:bookmarkEnd w:id="337"/>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SCHEDULE 13.1.3</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CONDITIONS FOR EFFECTIVENESS</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the Conditions for Effectiveness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57720"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38" w:name="page339"/>
    <w:bookmarkEnd w:id="338"/>
    <w:p>
      <w:pPr>
        <w:jc w:val="right"/>
        <w:spacing w:after="0"/>
        <w:rPr>
          <w:sz w:val="20"/>
          <w:szCs w:val="20"/>
          <w:color w:val="auto"/>
        </w:rPr>
      </w:pPr>
      <w:r>
        <w:rPr>
          <w:rFonts w:ascii="Times New Roman" w:cs="Times New Roman" w:eastAsia="Times New Roman" w:hAnsi="Times New Roman"/>
          <w:sz w:val="15"/>
          <w:szCs w:val="15"/>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639570" cy="4324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639570" cy="432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June 24,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VIA EMAIL ONLY: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Zenas BioPharma,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1000 Winter St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North Building, Suite 1200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Waltham, MA 02451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Attn: Leon O. Moulder, Jr.,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Chief Executive Officer and Joe Farmer,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President and Chief Operating Officer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legalnotices@zenasbio.com</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5"/>
          <w:szCs w:val="15"/>
          <w:color w:val="auto"/>
        </w:rPr>
        <w:t>RE:</w:t>
      </w:r>
      <w:r>
        <w:rPr>
          <w:sz w:val="20"/>
          <w:szCs w:val="20"/>
          <w:color w:val="auto"/>
        </w:rPr>
        <w:tab/>
      </w:r>
      <w:r>
        <w:rPr>
          <w:rFonts w:ascii="Times New Roman" w:cs="Times New Roman" w:eastAsia="Times New Roman" w:hAnsi="Times New Roman"/>
          <w:sz w:val="15"/>
          <w:szCs w:val="15"/>
          <w:b w:val="1"/>
          <w:bCs w:val="1"/>
          <w:color w:val="auto"/>
        </w:rPr>
        <w:t>First Amendment to License Agreement; Termination of Agreement solely with respect to XmAb10171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Dear Messrs. Moulder and Farmer:</w:t>
      </w:r>
    </w:p>
    <w:p>
      <w:pPr>
        <w:spacing w:after="0" w:line="177"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5"/>
          <w:szCs w:val="15"/>
          <w:color w:val="auto"/>
        </w:rPr>
        <w:t>Reference is hereby made to that certain License Agreement dated as of September 23, 2020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by and between Xencor, Inc. (“</w:t>
      </w:r>
      <w:r>
        <w:rPr>
          <w:rFonts w:ascii="Times New Roman" w:cs="Times New Roman" w:eastAsia="Times New Roman" w:hAnsi="Times New Roman"/>
          <w:sz w:val="15"/>
          <w:szCs w:val="15"/>
          <w:b w:val="1"/>
          <w:bCs w:val="1"/>
          <w:color w:val="auto"/>
        </w:rPr>
        <w:t>Xencor</w:t>
      </w:r>
      <w:r>
        <w:rPr>
          <w:rFonts w:ascii="Times New Roman" w:cs="Times New Roman" w:eastAsia="Times New Roman" w:hAnsi="Times New Roman"/>
          <w:sz w:val="15"/>
          <w:szCs w:val="15"/>
          <w:color w:val="auto"/>
        </w:rPr>
        <w:t>”) and Zenas BioPharma, Inc. (formerly known as Zenas BioPharma (Cayman) Limited) (“</w:t>
      </w:r>
      <w:r>
        <w:rPr>
          <w:rFonts w:ascii="Times New Roman" w:cs="Times New Roman" w:eastAsia="Times New Roman" w:hAnsi="Times New Roman"/>
          <w:sz w:val="15"/>
          <w:szCs w:val="15"/>
          <w:b w:val="1"/>
          <w:bCs w:val="1"/>
          <w:color w:val="auto"/>
        </w:rPr>
        <w:t>Licensee</w:t>
      </w:r>
      <w:r>
        <w:rPr>
          <w:rFonts w:ascii="Times New Roman" w:cs="Times New Roman" w:eastAsia="Times New Roman" w:hAnsi="Times New Roman"/>
          <w:sz w:val="15"/>
          <w:szCs w:val="15"/>
          <w:color w:val="auto"/>
        </w:rPr>
        <w:t>”). Capitalized terms used but not otherwise defined herein shall have the meanings ascribed to such terms in the Agreement. This letter shall be regarded as the “</w:t>
      </w:r>
      <w:r>
        <w:rPr>
          <w:rFonts w:ascii="Times New Roman" w:cs="Times New Roman" w:eastAsia="Times New Roman" w:hAnsi="Times New Roman"/>
          <w:sz w:val="15"/>
          <w:szCs w:val="15"/>
          <w:b w:val="1"/>
          <w:bCs w:val="1"/>
          <w:color w:val="auto"/>
        </w:rPr>
        <w:t>First Amendment to the Agreement</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5"/>
          <w:szCs w:val="15"/>
          <w:color w:val="auto"/>
        </w:rPr>
        <w:t>Xencor and Licensee hereby agree that, as of 11:59 pm U.S. Pacific Time on the date of this letter (the “</w:t>
      </w:r>
      <w:r>
        <w:rPr>
          <w:rFonts w:ascii="Times New Roman" w:cs="Times New Roman" w:eastAsia="Times New Roman" w:hAnsi="Times New Roman"/>
          <w:sz w:val="15"/>
          <w:szCs w:val="15"/>
          <w:b w:val="1"/>
          <w:bCs w:val="1"/>
          <w:color w:val="auto"/>
        </w:rPr>
        <w:t>Letter Amendment Effective Date</w:t>
      </w:r>
      <w:r>
        <w:rPr>
          <w:rFonts w:ascii="Times New Roman" w:cs="Times New Roman" w:eastAsia="Times New Roman" w:hAnsi="Times New Roman"/>
          <w:sz w:val="15"/>
          <w:szCs w:val="15"/>
          <w:color w:val="auto"/>
        </w:rPr>
        <w:t>”), the Agreement shall be deemed to be terminated solely with respect to XmAb10171, in accordance with Section 13.3 of the Agreement and without any obligation for Licensee to provide Xencor advance written notice thereof. As of the Letter Amendment Effective Date, XmAb10171 shall be regarded as a Terminated Asset. Regardless, Xencor waives any rights it may have under the following sections of the Agreement with respect to this Terminated Asset: Sections 13.5.2 (Transfer of Regulatory Approvals), 13.5.3 (Transition Assistance), 13.5.4 (Assignment of Third Party Agreements), 13.5.5 (Transfer of Commercialization Documentation), 13.5.6 (Transfer of Product Trademark), and 13.5.10 (Inventory). Additionally, Xencor and Licensee agree that Section 13.5.11 (License Grant by and Payment to Licensee) shall not apply to this Terminated Asset in any respect.</w:t>
      </w:r>
    </w:p>
    <w:p>
      <w:pPr>
        <w:spacing w:after="0" w:line="154"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5"/>
          <w:szCs w:val="15"/>
          <w:color w:val="auto"/>
        </w:rPr>
        <w:t>Following the date of this letter, the Agreement continues to be in full force and effect with respect to each Licensed Asset other than XmAb10171. For clarity, the Agreement continues to be in full force and effect with regard to Licensed Assets identified in Section 1.42(b) and (c)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57720" cy="69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339" w:name="page340"/>
    <w:bookmarkEnd w:id="339"/>
    <w:p>
      <w:pPr>
        <w:spacing w:after="0" w:line="257" w:lineRule="auto"/>
        <w:rPr>
          <w:sz w:val="20"/>
          <w:szCs w:val="20"/>
          <w:color w:val="auto"/>
        </w:rPr>
      </w:pPr>
      <w:r>
        <w:rPr>
          <w:rFonts w:ascii="Times New Roman" w:cs="Times New Roman" w:eastAsia="Times New Roman" w:hAnsi="Times New Roman"/>
          <w:sz w:val="15"/>
          <w:szCs w:val="15"/>
          <w:color w:val="auto"/>
        </w:rPr>
        <w:t>This letter may be executed in one or more counterparts, including by electronic or PDF signature, each of which shall be deemed an original, and all of which together, shall constitute one and the same instrument. By signing this letter, Licensee waives the requirements of Section 15.6 with respect to the manner in which notices are to be provided under the Agreement with respect to the matters set forth in this letter.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57720" cy="69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2" w:right="339" w:bottom="1440" w:gutter="0" w:footer="0" w:header="0"/>
        </w:sectPr>
      </w:pPr>
    </w:p>
    <w:bookmarkStart w:id="340" w:name="page341"/>
    <w:bookmarkEnd w:id="3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AGREED AND ACCEPTED: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ZENAS BIOPHARMA, INC.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Joe Farmer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509010"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50901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Name: Joe Farmer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President and COO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Best regards,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XENCOR,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Bassil Dahiyat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3502025" cy="69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50202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Name: Bassil Dahiyat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1257935</wp:posOffset>
            </wp:positionV>
            <wp:extent cx="7157720"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2">
            <w:col w:w="5040" w:space="720"/>
            <w:col w:w="4399"/>
          </w:cols>
          <w:pgMar w:left="300" w:top="762" w:right="1440" w:bottom="1440" w:gutter="0" w:footer="0" w:header="0"/>
        </w:sectPr>
      </w:pPr>
    </w:p>
    <w:bookmarkStart w:id="341" w:name="page342"/>
    <w:bookmarkEnd w:id="341"/>
    <w:p>
      <w:pPr>
        <w:ind w:left="10520"/>
        <w:spacing w:after="0"/>
        <w:rPr>
          <w:sz w:val="20"/>
          <w:szCs w:val="20"/>
          <w:color w:val="auto"/>
        </w:rPr>
      </w:pPr>
      <w:r>
        <w:rPr>
          <w:rFonts w:ascii="Times New Roman" w:cs="Times New Roman" w:eastAsia="Times New Roman" w:hAnsi="Times New Roman"/>
          <w:sz w:val="14"/>
          <w:szCs w:val="14"/>
          <w:b w:val="1"/>
          <w:bCs w:val="1"/>
          <w:color w:val="auto"/>
        </w:rPr>
        <w:t>Exhibit 10.3</w:t>
      </w:r>
    </w:p>
    <w:p>
      <w:pPr>
        <w:spacing w:after="0" w:line="191"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15"/>
          <w:szCs w:val="15"/>
          <w:b w:val="1"/>
          <w:bCs w:val="1"/>
          <w:color w:val="auto"/>
        </w:rPr>
        <w:t>CERTAIN INFORMATION IDENTIFIED WITH [***] HAS BEEN EXCLUDED FROM THIS EXHIBIT BECAUSE IT IS (1) NOT MATERIAL AND (II) OF THE TYPE THAT THE REGISTRANT TREATS AS PRIVATE OR CONFIDENTIAL.</w:t>
      </w:r>
    </w:p>
    <w:p>
      <w:pPr>
        <w:spacing w:after="0" w:line="1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Execution Copy</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u w:val="single" w:color="auto"/>
          <w:color w:val="auto"/>
        </w:rPr>
        <w:t>LICENSE AGREEMENT</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THIS LICENSE AGREEMENT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is made and entered into on May 27, 2021 (the “</w:t>
      </w:r>
      <w:r>
        <w:rPr>
          <w:rFonts w:ascii="Times New Roman" w:cs="Times New Roman" w:eastAsia="Times New Roman" w:hAnsi="Times New Roman"/>
          <w:sz w:val="15"/>
          <w:szCs w:val="15"/>
          <w:u w:val="single" w:color="auto"/>
          <w:color w:val="auto"/>
        </w:rPr>
        <w:t>Execution Date</w:t>
      </w:r>
      <w:r>
        <w:rPr>
          <w:rFonts w:ascii="Times New Roman" w:cs="Times New Roman" w:eastAsia="Times New Roman" w:hAnsi="Times New Roman"/>
          <w:sz w:val="15"/>
          <w:szCs w:val="15"/>
          <w:color w:val="auto"/>
        </w:rPr>
        <w:t>”), by and among:</w:t>
      </w:r>
    </w:p>
    <w:p>
      <w:pPr>
        <w:spacing w:after="0" w:line="179" w:lineRule="exact"/>
        <w:rPr>
          <w:sz w:val="20"/>
          <w:szCs w:val="20"/>
          <w:color w:val="auto"/>
        </w:rPr>
      </w:pPr>
    </w:p>
    <w:p>
      <w:pPr>
        <w:ind w:left="540" w:hanging="532"/>
        <w:spacing w:after="0"/>
        <w:tabs>
          <w:tab w:leader="none" w:pos="540" w:val="left"/>
        </w:tabs>
        <w:numPr>
          <w:ilvl w:val="0"/>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Xencor, Inc., a corporation organized and existing under the laws of the State of Delaware (“</w:t>
      </w:r>
      <w:r>
        <w:rPr>
          <w:rFonts w:ascii="Times New Roman" w:cs="Times New Roman" w:eastAsia="Times New Roman" w:hAnsi="Times New Roman"/>
          <w:sz w:val="15"/>
          <w:szCs w:val="15"/>
          <w:u w:val="single" w:color="auto"/>
          <w:color w:val="auto"/>
        </w:rPr>
        <w:t>XENCOR</w:t>
      </w:r>
      <w:r>
        <w:rPr>
          <w:rFonts w:ascii="Times New Roman" w:cs="Times New Roman" w:eastAsia="Times New Roman" w:hAnsi="Times New Roman"/>
          <w:sz w:val="15"/>
          <w:szCs w:val="15"/>
          <w:color w:val="auto"/>
        </w:rPr>
        <w:t>”) and</w:t>
      </w:r>
    </w:p>
    <w:p>
      <w:pPr>
        <w:spacing w:after="0" w:line="179" w:lineRule="exact"/>
        <w:rPr>
          <w:rFonts w:ascii="Times New Roman" w:cs="Times New Roman" w:eastAsia="Times New Roman" w:hAnsi="Times New Roman"/>
          <w:sz w:val="15"/>
          <w:szCs w:val="15"/>
          <w:color w:val="auto"/>
        </w:rPr>
      </w:pPr>
    </w:p>
    <w:p>
      <w:pPr>
        <w:ind w:left="540" w:right="3460" w:hanging="532"/>
        <w:spacing w:after="0" w:line="522" w:lineRule="auto"/>
        <w:tabs>
          <w:tab w:leader="none" w:pos="54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Zenas BioPharma (Cayman) Limited, an exempted company organized under the Laws of the Cayman Islands (“</w:t>
      </w:r>
      <w:r>
        <w:rPr>
          <w:rFonts w:ascii="Times New Roman" w:cs="Times New Roman" w:eastAsia="Times New Roman" w:hAnsi="Times New Roman"/>
          <w:sz w:val="14"/>
          <w:szCs w:val="14"/>
          <w:u w:val="single" w:color="auto"/>
          <w:color w:val="auto"/>
        </w:rPr>
        <w:t>Licensee</w:t>
      </w:r>
      <w:r>
        <w:rPr>
          <w:rFonts w:ascii="Times New Roman" w:cs="Times New Roman" w:eastAsia="Times New Roman" w:hAnsi="Times New Roman"/>
          <w:sz w:val="14"/>
          <w:szCs w:val="14"/>
          <w:color w:val="auto"/>
        </w:rPr>
        <w:t>”). XENCOR and Licensee may each be referred to herein individually as a “</w:t>
      </w: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color w:val="auto"/>
        </w:rPr>
        <w:t>” and collectively as the “</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181" w:lineRule="exact"/>
        <w:rPr>
          <w:sz w:val="20"/>
          <w:szCs w:val="20"/>
          <w:color w:val="auto"/>
        </w:rPr>
      </w:pPr>
    </w:p>
    <w:p>
      <w:pPr>
        <w:ind w:left="540" w:right="280" w:hanging="532"/>
        <w:spacing w:after="0" w:line="269" w:lineRule="auto"/>
        <w:tabs>
          <w:tab w:leader="none" w:pos="54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XENCOR owns or otherwise controls certain patents, patent applications, technology, know-how, scientific and technical information and other proprietary rights and information relating to the research, development and manufacture of the Licensed Asset (as defined below); and</w:t>
      </w:r>
    </w:p>
    <w:p>
      <w:pPr>
        <w:spacing w:after="0" w:line="140" w:lineRule="exact"/>
        <w:rPr>
          <w:rFonts w:ascii="Times New Roman" w:cs="Times New Roman" w:eastAsia="Times New Roman" w:hAnsi="Times New Roman"/>
          <w:sz w:val="15"/>
          <w:szCs w:val="15"/>
          <w:color w:val="auto"/>
        </w:rPr>
      </w:pPr>
    </w:p>
    <w:p>
      <w:pPr>
        <w:ind w:left="540" w:right="500" w:hanging="532"/>
        <w:spacing w:after="0" w:line="269" w:lineRule="auto"/>
        <w:tabs>
          <w:tab w:leader="none" w:pos="54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terms and conditions of this Agreement, XENCOR wishes to grant to Licensee, and Licensee wishes to receive from XENCOR, an exclusive license to develop, manufacture and commercialize the Licensed Asset and Products in the Field in the Licensed Territory.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WITNESSETH</w:t>
      </w:r>
    </w:p>
    <w:p>
      <w:pPr>
        <w:spacing w:after="0" w:line="181" w:lineRule="exact"/>
        <w:rPr>
          <w:sz w:val="20"/>
          <w:szCs w:val="20"/>
          <w:color w:val="auto"/>
        </w:rPr>
      </w:pPr>
    </w:p>
    <w:p>
      <w:pPr>
        <w:ind w:right="240" w:firstLine="527"/>
        <w:spacing w:after="0" w:line="269" w:lineRule="auto"/>
        <w:rPr>
          <w:sz w:val="20"/>
          <w:szCs w:val="20"/>
          <w:color w:val="auto"/>
        </w:rPr>
      </w:pPr>
      <w:r>
        <w:rPr>
          <w:rFonts w:ascii="Times New Roman" w:cs="Times New Roman" w:eastAsia="Times New Roman" w:hAnsi="Times New Roman"/>
          <w:sz w:val="15"/>
          <w:szCs w:val="15"/>
          <w:color w:val="auto"/>
        </w:rPr>
        <w:t>NOW, THEREFORE, in consideration of the foregoing recitals, the mutual promises hereinafter set forth, and other good and valuable consideration, the receipt and sufficiency of which are hereby acknowledged, the Parties intending to be legally bound hereto hereby agree as follows:</w:t>
      </w:r>
    </w:p>
    <w:p>
      <w:pPr>
        <w:spacing w:after="0" w:line="139" w:lineRule="exact"/>
        <w:rPr>
          <w:sz w:val="20"/>
          <w:szCs w:val="20"/>
          <w:color w:val="auto"/>
        </w:rPr>
      </w:pPr>
    </w:p>
    <w:p>
      <w:pPr>
        <w:ind w:left="540" w:hanging="532"/>
        <w:spacing w:after="0"/>
        <w:tabs>
          <w:tab w:leader="none" w:pos="540" w:val="left"/>
        </w:tabs>
        <w:numPr>
          <w:ilvl w:val="0"/>
          <w:numId w:val="19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Definitions and Interpretation</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terms shall have the meanings ascribed to them below:</w:t>
      </w:r>
    </w:p>
    <w:p>
      <w:pPr>
        <w:spacing w:after="0" w:line="179" w:lineRule="exact"/>
        <w:rPr>
          <w:sz w:val="20"/>
          <w:szCs w:val="20"/>
          <w:color w:val="auto"/>
        </w:rPr>
      </w:pPr>
    </w:p>
    <w:p>
      <w:pPr>
        <w:ind w:left="540" w:right="2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Accounting Standard</w:t>
      </w:r>
      <w:r>
        <w:rPr>
          <w:rFonts w:ascii="Times New Roman" w:cs="Times New Roman" w:eastAsia="Times New Roman" w:hAnsi="Times New Roman"/>
          <w:sz w:val="15"/>
          <w:szCs w:val="15"/>
          <w:color w:val="auto"/>
        </w:rPr>
        <w:t>” means United States generally accepted accounting principles or International Financial Reporting Standards, as consistently applied by Licensee, its Affiliates or Sublicensees.</w:t>
      </w:r>
    </w:p>
    <w:p>
      <w:pPr>
        <w:spacing w:after="0" w:line="141" w:lineRule="exact"/>
        <w:rPr>
          <w:sz w:val="20"/>
          <w:szCs w:val="20"/>
          <w:color w:val="auto"/>
        </w:rPr>
      </w:pPr>
    </w:p>
    <w:p>
      <w:pPr>
        <w:ind w:left="540" w:right="38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Active Ingredient</w:t>
      </w:r>
      <w:r>
        <w:rPr>
          <w:rFonts w:ascii="Times New Roman" w:cs="Times New Roman" w:eastAsia="Times New Roman" w:hAnsi="Times New Roman"/>
          <w:sz w:val="15"/>
          <w:szCs w:val="15"/>
          <w:color w:val="auto"/>
        </w:rPr>
        <w:t>” means the clinically active material(s) that provide pharmacological activity in a pharmaceutical product (excluding, for the avoidance of doubt, formulation components such as coatings, stabilizers, excipients or solvents, adjuvants or controlled release technologies).</w:t>
      </w:r>
    </w:p>
    <w:p>
      <w:pPr>
        <w:spacing w:after="0" w:line="141" w:lineRule="exact"/>
        <w:rPr>
          <w:sz w:val="20"/>
          <w:szCs w:val="20"/>
          <w:color w:val="auto"/>
        </w:rPr>
      </w:pPr>
    </w:p>
    <w:p>
      <w:pPr>
        <w:ind w:left="540" w:right="16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1.3</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Adverse Event</w:t>
      </w:r>
      <w:r>
        <w:rPr>
          <w:rFonts w:ascii="Times New Roman" w:cs="Times New Roman" w:eastAsia="Times New Roman" w:hAnsi="Times New Roman"/>
          <w:sz w:val="15"/>
          <w:szCs w:val="15"/>
          <w:color w:val="auto"/>
        </w:rPr>
        <w:t>” means any adverse medical occurrence in a patient or clinical investigation subject that is administered a Product, as designated in any Applicable Laws and that is required to be reported to a Regulatory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57720" cy="698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342" w:name="page343"/>
    <w:bookmarkEnd w:id="342"/>
    <w:p>
      <w:pPr>
        <w:ind w:left="540" w:right="100" w:hanging="526"/>
        <w:spacing w:after="0" w:line="252" w:lineRule="auto"/>
        <w:tabs>
          <w:tab w:leader="none" w:pos="520" w:val="left"/>
        </w:tabs>
        <w:rPr>
          <w:sz w:val="20"/>
          <w:szCs w:val="20"/>
          <w:color w:val="auto"/>
        </w:rPr>
      </w:pPr>
      <w:r>
        <w:rPr>
          <w:rFonts w:ascii="Times New Roman" w:cs="Times New Roman" w:eastAsia="Times New Roman" w:hAnsi="Times New Roman"/>
          <w:sz w:val="15"/>
          <w:szCs w:val="15"/>
          <w:color w:val="auto"/>
        </w:rPr>
        <w:t>1.4</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Affiliate(s)</w:t>
      </w:r>
      <w:r>
        <w:rPr>
          <w:rFonts w:ascii="Times New Roman" w:cs="Times New Roman" w:eastAsia="Times New Roman" w:hAnsi="Times New Roman"/>
          <w:sz w:val="15"/>
          <w:szCs w:val="15"/>
          <w:color w:val="auto"/>
        </w:rPr>
        <w:t>” means, with respect to any specified Person, any other Person that controls, is controlled by, or is under common control with such first Person. For purposes of this definition only, “control” means (a) to possess, directly or indirectly, the power to direct or cause the direction of the management or policies of a Person, whether through ownership of voting securities or by contract relating to voting rights or corporate governance; or (b) to own, directly or indirectly, more than fifty percent (50%) of the outstanding voting securities or other ownership interests of such Person.</w:t>
      </w:r>
    </w:p>
    <w:p>
      <w:pPr>
        <w:spacing w:after="0" w:line="154" w:lineRule="exact"/>
        <w:rPr>
          <w:sz w:val="20"/>
          <w:szCs w:val="20"/>
          <w:color w:val="auto"/>
        </w:rPr>
      </w:pPr>
    </w:p>
    <w:p>
      <w:pPr>
        <w:ind w:left="540" w:right="2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1.5</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Anti-Corruption Laws</w:t>
      </w:r>
      <w:r>
        <w:rPr>
          <w:rFonts w:ascii="Times New Roman" w:cs="Times New Roman" w:eastAsia="Times New Roman" w:hAnsi="Times New Roman"/>
          <w:sz w:val="15"/>
          <w:szCs w:val="15"/>
          <w:color w:val="auto"/>
        </w:rPr>
        <w:t>” means the U.S. Foreign Corrupt Practices Act, as amended, the UK Bribery Act 2010, as amended, and any other applicable anti-corruption laws and laws for the prevention of fraud, racketeering, money laundering or terrorism.</w:t>
      </w:r>
    </w:p>
    <w:p>
      <w:pPr>
        <w:spacing w:after="0" w:line="141" w:lineRule="exact"/>
        <w:rPr>
          <w:sz w:val="20"/>
          <w:szCs w:val="20"/>
          <w:color w:val="auto"/>
        </w:rPr>
      </w:pPr>
    </w:p>
    <w:p>
      <w:pPr>
        <w:ind w:left="540" w:hanging="526"/>
        <w:spacing w:after="0" w:line="284" w:lineRule="auto"/>
        <w:tabs>
          <w:tab w:leader="none" w:pos="520" w:val="left"/>
        </w:tabs>
        <w:rPr>
          <w:sz w:val="20"/>
          <w:szCs w:val="20"/>
          <w:color w:val="auto"/>
        </w:rPr>
      </w:pPr>
      <w:r>
        <w:rPr>
          <w:rFonts w:ascii="Times New Roman" w:cs="Times New Roman" w:eastAsia="Times New Roman" w:hAnsi="Times New Roman"/>
          <w:sz w:val="15"/>
          <w:szCs w:val="15"/>
          <w:color w:val="auto"/>
        </w:rPr>
        <w:t>1.6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Antibody</w:t>
      </w:r>
      <w:r>
        <w:rPr>
          <w:rFonts w:ascii="Times New Roman" w:cs="Times New Roman" w:eastAsia="Times New Roman" w:hAnsi="Times New Roman"/>
          <w:sz w:val="14"/>
          <w:szCs w:val="14"/>
          <w:color w:val="auto"/>
        </w:rPr>
        <w:t>” means any antibody, whether naturally occurring, artificially produced, raised in an artificial system, or created through modification of another antibody or otherwise; any fragment of any of the foregoing; and any chemically modified versions of the foregoing antibodies (including versions that are conjugated with another chemical entity, such as a drug or toxin; pegylated versions (regardless of whether containing amino acid substitutions in order to achieve pegylation); and other chemically modified versions).</w:t>
      </w:r>
    </w:p>
    <w:p>
      <w:pPr>
        <w:spacing w:after="0" w:line="132" w:lineRule="exact"/>
        <w:rPr>
          <w:sz w:val="20"/>
          <w:szCs w:val="20"/>
          <w:color w:val="auto"/>
        </w:rPr>
      </w:pPr>
    </w:p>
    <w:p>
      <w:pPr>
        <w:ind w:left="540" w:righ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1.7</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Applicable Laws</w:t>
      </w:r>
      <w:r>
        <w:rPr>
          <w:rFonts w:ascii="Times New Roman" w:cs="Times New Roman" w:eastAsia="Times New Roman" w:hAnsi="Times New Roman"/>
          <w:sz w:val="15"/>
          <w:szCs w:val="15"/>
          <w:color w:val="auto"/>
        </w:rPr>
        <w:t>” means all applicable laws, statutes, ordinances, regulations, rules, mandatory guidelines or orders of any kind whatsoever of any Government Authority or Regulatory Authority in any Region or regulatory jurisdiction that may be in effect from time-to-time.</w:t>
      </w:r>
    </w:p>
    <w:p>
      <w:pPr>
        <w:spacing w:after="0" w:line="141" w:lineRule="exact"/>
        <w:rPr>
          <w:sz w:val="20"/>
          <w:szCs w:val="20"/>
          <w:color w:val="auto"/>
        </w:rPr>
      </w:pPr>
    </w:p>
    <w:p>
      <w:pPr>
        <w:ind w:left="540" w:right="140" w:hanging="526"/>
        <w:spacing w:after="0" w:line="249" w:lineRule="auto"/>
        <w:tabs>
          <w:tab w:leader="none" w:pos="520" w:val="left"/>
        </w:tabs>
        <w:rPr>
          <w:sz w:val="20"/>
          <w:szCs w:val="20"/>
          <w:color w:val="auto"/>
        </w:rPr>
      </w:pPr>
      <w:r>
        <w:rPr>
          <w:rFonts w:ascii="Times New Roman" w:cs="Times New Roman" w:eastAsia="Times New Roman" w:hAnsi="Times New Roman"/>
          <w:sz w:val="15"/>
          <w:szCs w:val="15"/>
          <w:color w:val="auto"/>
        </w:rPr>
        <w:t>1.8</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Biosimilar Product</w:t>
      </w:r>
      <w:r>
        <w:rPr>
          <w:rFonts w:ascii="Times New Roman" w:cs="Times New Roman" w:eastAsia="Times New Roman" w:hAnsi="Times New Roman"/>
          <w:sz w:val="15"/>
          <w:szCs w:val="15"/>
          <w:color w:val="auto"/>
        </w:rPr>
        <w:t>” means, with respect to a Product that has received Regulatory Approval in a Region, a biologic therapeutic sold by a Third Party not authorized by or on behalf of Licensee, its Affiliates or Sublicensees containing the same amino acid sequence as such Product, to permit such biologic therapeutic, on the basis of such prior Regulatory Approval granted to such Product, to be marketed in such Region (a) as a “biosimilar” or “interchangeable” product pursuant to Section 351(k) of the Public Health Service Act (42 U.S.C. § 262(k)) (or other Applicable Law); (b) as a “similar biological medicinal product” pursuant to EU Directive 2001/83/EC (or other Applicable Law); (c) as a “biosimilar product” pursuant to Chinese Drug Registration Rules and the ancillary Technical Review Guidelines for Biosimilar Products (or other Applicable Law); or (d) under analogous abbreviated Regulatory Approval from the applicable Regulatory Authority in another foreign jurisdiction.</w:t>
      </w:r>
    </w:p>
    <w:p>
      <w:pPr>
        <w:spacing w:after="0" w:line="157" w:lineRule="exact"/>
        <w:rPr>
          <w:sz w:val="20"/>
          <w:szCs w:val="20"/>
          <w:color w:val="auto"/>
        </w:rPr>
      </w:pPr>
    </w:p>
    <w:p>
      <w:pPr>
        <w:ind w:left="540" w:right="16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1.9</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Business Day</w:t>
      </w:r>
      <w:r>
        <w:rPr>
          <w:rFonts w:ascii="Times New Roman" w:cs="Times New Roman" w:eastAsia="Times New Roman" w:hAnsi="Times New Roman"/>
          <w:sz w:val="15"/>
          <w:szCs w:val="15"/>
          <w:color w:val="auto"/>
        </w:rPr>
        <w:t>” means any day other than a Saturday, Sunday or other day on which commercial banks in the People’s Republic of China or California are required or authorized by law or executive order to be closed.</w:t>
      </w:r>
    </w:p>
    <w:p>
      <w:pPr>
        <w:spacing w:after="0" w:line="141" w:lineRule="exact"/>
        <w:rPr>
          <w:sz w:val="20"/>
          <w:szCs w:val="20"/>
          <w:color w:val="auto"/>
        </w:rPr>
      </w:pPr>
    </w:p>
    <w:p>
      <w:pPr>
        <w:ind w:left="540" w:right="2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1.10</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Calendar Quarter</w:t>
      </w:r>
      <w:r>
        <w:rPr>
          <w:rFonts w:ascii="Times New Roman" w:cs="Times New Roman" w:eastAsia="Times New Roman" w:hAnsi="Times New Roman"/>
          <w:sz w:val="15"/>
          <w:szCs w:val="15"/>
          <w:color w:val="auto"/>
        </w:rPr>
        <w:t xml:space="preserve">” means each of the three (3) consecutive month periods ending on March 31, June 30, September 30 and December 31;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 the first Calendar Quarter of the License Term shall extend from the Effective Date to the end of the first full Calendar Quarter thereafter, and (b) the last Calendar Quarter of the License Term shall end upon the expiration or termination of this Agreement.</w:t>
      </w:r>
    </w:p>
    <w:p>
      <w:pPr>
        <w:spacing w:after="0" w:line="149" w:lineRule="exact"/>
        <w:rPr>
          <w:sz w:val="20"/>
          <w:szCs w:val="20"/>
          <w:color w:val="auto"/>
        </w:rPr>
      </w:pPr>
    </w:p>
    <w:p>
      <w:pPr>
        <w:jc w:val="both"/>
        <w:ind w:left="540" w:right="56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1.11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Calendar Year</w:t>
      </w:r>
      <w:r>
        <w:rPr>
          <w:rFonts w:ascii="Times New Roman" w:cs="Times New Roman" w:eastAsia="Times New Roman" w:hAnsi="Times New Roman"/>
          <w:sz w:val="15"/>
          <w:szCs w:val="15"/>
          <w:color w:val="auto"/>
        </w:rPr>
        <w:t xml:space="preserve">” means each twelve (12) month period ending December 31st;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 the first Calendar Year of the License Term shall commence on the Effective Date and end on December 31 of the same year and (b) the last Calendar Year of the License Term shall commence on January 1 of the Calendar Year in which this Agreement terminates or expires and end on the date of termination or expiration of this Agreement.</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343" w:name="page344"/>
    <w:bookmarkEnd w:id="343"/>
    <w:p>
      <w:pPr>
        <w:spacing w:after="0"/>
        <w:tabs>
          <w:tab w:leader="none" w:pos="520" w:val="left"/>
        </w:tabs>
        <w:rPr>
          <w:sz w:val="20"/>
          <w:szCs w:val="20"/>
          <w:color w:val="auto"/>
        </w:rPr>
      </w:pPr>
      <w:r>
        <w:rPr>
          <w:rFonts w:ascii="Times New Roman" w:cs="Times New Roman" w:eastAsia="Times New Roman" w:hAnsi="Times New Roman"/>
          <w:sz w:val="15"/>
          <w:szCs w:val="15"/>
          <w:color w:val="auto"/>
        </w:rPr>
        <w:t>1.12</w:t>
      </w:r>
      <w:r>
        <w:rPr>
          <w:sz w:val="20"/>
          <w:szCs w:val="20"/>
          <w:color w:val="auto"/>
        </w:rPr>
        <w:tab/>
      </w:r>
      <w:r>
        <w:rPr>
          <w:rFonts w:ascii="Times New Roman" w:cs="Times New Roman" w:eastAsia="Times New Roman" w:hAnsi="Times New Roman"/>
          <w:sz w:val="14"/>
          <w:szCs w:val="14"/>
          <w:color w:val="auto"/>
        </w:rPr>
        <w:t>“[***]” means [***].</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1.13</w:t>
      </w:r>
      <w:r>
        <w:rPr>
          <w:sz w:val="20"/>
          <w:szCs w:val="20"/>
          <w:color w:val="auto"/>
        </w:rPr>
        <w:tab/>
      </w:r>
      <w:r>
        <w:rPr>
          <w:rFonts w:ascii="Times New Roman" w:cs="Times New Roman" w:eastAsia="Times New Roman" w:hAnsi="Times New Roman"/>
          <w:sz w:val="14"/>
          <w:szCs w:val="14"/>
          <w:color w:val="auto"/>
        </w:rPr>
        <w:t>“[***] Ag</w:t>
      </w:r>
      <w:r>
        <w:rPr>
          <w:rFonts w:ascii="Times New Roman" w:cs="Times New Roman" w:eastAsia="Times New Roman" w:hAnsi="Times New Roman"/>
          <w:sz w:val="14"/>
          <w:szCs w:val="14"/>
          <w:u w:val="single" w:color="auto"/>
          <w:color w:val="auto"/>
        </w:rPr>
        <w:t>reement</w:t>
      </w:r>
      <w:r>
        <w:rPr>
          <w:rFonts w:ascii="Times New Roman" w:cs="Times New Roman" w:eastAsia="Times New Roman" w:hAnsi="Times New Roman"/>
          <w:sz w:val="14"/>
          <w:szCs w:val="14"/>
          <w:color w:val="auto"/>
        </w:rPr>
        <w:t>” means that certain [***].</w:t>
      </w:r>
    </w:p>
    <w:p>
      <w:pPr>
        <w:spacing w:after="0" w:line="179" w:lineRule="exact"/>
        <w:rPr>
          <w:sz w:val="20"/>
          <w:szCs w:val="20"/>
          <w:color w:val="auto"/>
        </w:rPr>
      </w:pPr>
    </w:p>
    <w:p>
      <w:pPr>
        <w:ind w:left="540" w:hanging="526"/>
        <w:spacing w:after="0" w:line="248" w:lineRule="auto"/>
        <w:tabs>
          <w:tab w:leader="none" w:pos="520" w:val="left"/>
        </w:tabs>
        <w:rPr>
          <w:sz w:val="20"/>
          <w:szCs w:val="20"/>
          <w:color w:val="auto"/>
        </w:rPr>
      </w:pPr>
      <w:r>
        <w:rPr>
          <w:rFonts w:ascii="Times New Roman" w:cs="Times New Roman" w:eastAsia="Times New Roman" w:hAnsi="Times New Roman"/>
          <w:sz w:val="15"/>
          <w:szCs w:val="15"/>
          <w:color w:val="auto"/>
        </w:rPr>
        <w:t>1.14</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Change of Control</w:t>
      </w:r>
      <w:r>
        <w:rPr>
          <w:rFonts w:ascii="Times New Roman" w:cs="Times New Roman" w:eastAsia="Times New Roman" w:hAnsi="Times New Roman"/>
          <w:sz w:val="15"/>
          <w:szCs w:val="15"/>
          <w:color w:val="auto"/>
        </w:rPr>
        <w:t>” means, with respect to a Party, that: (a) any Third Party acquires directly or indirectly the beneficial ownership of any voting security of such Party, or if the percentage ownership of such Third Party in the voting securities of such Party is increased through stock redemption, cancellation, or other recapitalization, and immediately after such acquisition or increase such Third Party is, directly or indirectly, the beneficial owner of voting securities representing at least fifty percent (50%) of the total voting power of all of the then outstanding voting securities of such Party; (b) a merger, consolidation, recapitalization, or reorganization of such Party is consummated which would result in shareholders or equity holders of such Party immediately prior to such transaction, no longer owning at least fifty percent (50%) of the outstanding voting securities of the surviving entity (or its parent entity) immediately following such transaction; or (c) there is a sale or transfer to a Third Party of all or substantially all of such Party’s consolidated assets taken as a whole, through one or more related transactions.</w:t>
      </w:r>
    </w:p>
    <w:p>
      <w:pPr>
        <w:spacing w:after="0" w:line="15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1.15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Clinical Study</w:t>
      </w:r>
      <w:r>
        <w:rPr>
          <w:rFonts w:ascii="Times New Roman" w:cs="Times New Roman" w:eastAsia="Times New Roman" w:hAnsi="Times New Roman"/>
          <w:sz w:val="14"/>
          <w:szCs w:val="14"/>
          <w:color w:val="auto"/>
        </w:rPr>
        <w:t>” means a human clinical trial for the Licensed Asset or a Product and any other tests and studies for the Licensed Asset or a Product in human subjects.</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1.16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CMC</w:t>
      </w:r>
      <w:r>
        <w:rPr>
          <w:rFonts w:ascii="Times New Roman" w:cs="Times New Roman" w:eastAsia="Times New Roman" w:hAnsi="Times New Roman"/>
          <w:sz w:val="14"/>
          <w:szCs w:val="14"/>
          <w:color w:val="auto"/>
        </w:rPr>
        <w:t>” means chemistry, manufacturing and controls.</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1.17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CMO</w:t>
      </w:r>
      <w:r>
        <w:rPr>
          <w:rFonts w:ascii="Times New Roman" w:cs="Times New Roman" w:eastAsia="Times New Roman" w:hAnsi="Times New Roman"/>
          <w:sz w:val="14"/>
          <w:szCs w:val="14"/>
          <w:color w:val="auto"/>
        </w:rPr>
        <w:t>” means contract manufacturing organization.</w:t>
      </w:r>
    </w:p>
    <w:p>
      <w:pPr>
        <w:spacing w:after="0" w:line="179" w:lineRule="exact"/>
        <w:rPr>
          <w:sz w:val="20"/>
          <w:szCs w:val="20"/>
          <w:color w:val="auto"/>
        </w:rPr>
      </w:pPr>
    </w:p>
    <w:p>
      <w:pPr>
        <w:ind w:left="540" w:right="46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1.18</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Commercialization</w:t>
      </w:r>
      <w:r>
        <w:rPr>
          <w:rFonts w:ascii="Times New Roman" w:cs="Times New Roman" w:eastAsia="Times New Roman" w:hAnsi="Times New Roman"/>
          <w:sz w:val="15"/>
          <w:szCs w:val="15"/>
          <w:color w:val="auto"/>
        </w:rPr>
        <w:t>” means any and all activities directed to marketing, promoting, distributing, importing or selling a product, including obtaining pricing and reimbursement approvals. When used as a verb, “</w:t>
      </w:r>
      <w:r>
        <w:rPr>
          <w:rFonts w:ascii="Times New Roman" w:cs="Times New Roman" w:eastAsia="Times New Roman" w:hAnsi="Times New Roman"/>
          <w:sz w:val="15"/>
          <w:szCs w:val="15"/>
          <w:u w:val="single" w:color="auto"/>
          <w:color w:val="auto"/>
        </w:rPr>
        <w:t>Commercialize</w:t>
      </w:r>
      <w:r>
        <w:rPr>
          <w:rFonts w:ascii="Times New Roman" w:cs="Times New Roman" w:eastAsia="Times New Roman" w:hAnsi="Times New Roman"/>
          <w:sz w:val="15"/>
          <w:szCs w:val="15"/>
          <w:color w:val="auto"/>
        </w:rPr>
        <w:t>” means to engage in Commercialization. For the avoidance of doubt, Commercialization does not include Development and Manufacturing.</w:t>
      </w:r>
    </w:p>
    <w:p>
      <w:pPr>
        <w:spacing w:after="0" w:line="149" w:lineRule="exact"/>
        <w:rPr>
          <w:sz w:val="20"/>
          <w:szCs w:val="20"/>
          <w:color w:val="auto"/>
        </w:rPr>
      </w:pPr>
    </w:p>
    <w:p>
      <w:pPr>
        <w:ind w:left="540" w:right="80" w:hanging="526"/>
        <w:spacing w:after="0" w:line="247" w:lineRule="auto"/>
        <w:tabs>
          <w:tab w:leader="none" w:pos="520" w:val="left"/>
        </w:tabs>
        <w:rPr>
          <w:sz w:val="20"/>
          <w:szCs w:val="20"/>
          <w:color w:val="auto"/>
        </w:rPr>
      </w:pPr>
      <w:r>
        <w:rPr>
          <w:rFonts w:ascii="Times New Roman" w:cs="Times New Roman" w:eastAsia="Times New Roman" w:hAnsi="Times New Roman"/>
          <w:sz w:val="15"/>
          <w:szCs w:val="15"/>
          <w:color w:val="auto"/>
        </w:rPr>
        <w:t>1.19</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Commercially Reasonable Efforts</w:t>
      </w:r>
      <w:r>
        <w:rPr>
          <w:rFonts w:ascii="Times New Roman" w:cs="Times New Roman" w:eastAsia="Times New Roman" w:hAnsi="Times New Roman"/>
          <w:sz w:val="15"/>
          <w:szCs w:val="15"/>
          <w:color w:val="auto"/>
        </w:rPr>
        <w:t>” means, with respect to the efforts to be expended by a Party with respect to any objective, those reasonable, diligent, good faith efforts to accomplish such objective that an entity in the biopharmaceutical industry with similar resources and size would use to accomplish a similar objective under similar circumstances exercising reasonable business judgment. With respect to Licensee’s efforts in connection with the Development, Manufacture or Commercialization of the Licensed Asset or a Product hereunder, Licensee shall be deemed to have exercised Commercially Reasonable Efforts if Licensee has exercised those reasonable, diligent, good faith efforts used by an entity in the biopharmaceutical industry with similar resources and size to Licensee for such entity’s own products or product candidates, or to which such entity has similar rights, which product or product candidate is of similar market potential, has similar estimated profitability and is at a similar stage in its development or product life cycle as the Licensed Asset or Product, taking into account all relevant factors that may affect the Development, Manufacture or Commercialization of a Product. Without limiting the foregoing, Commercially Reasonable Efforts requires, with respect to such obligations, that Licensee: (a) promptly assign responsibility for such obligation to specific employee(s) who are held accountable for progress and monitor such progress on an on-going basis, (b) set objectives for carrying out such obligations, and (c) allocate resources designed to advance progress with respect to such objectives.</w:t>
      </w:r>
    </w:p>
    <w:p>
      <w:pPr>
        <w:spacing w:after="0" w:line="158" w:lineRule="exact"/>
        <w:rPr>
          <w:sz w:val="20"/>
          <w:szCs w:val="20"/>
          <w:color w:val="auto"/>
        </w:rPr>
      </w:pPr>
    </w:p>
    <w:p>
      <w:pPr>
        <w:ind w:left="540" w:right="100" w:hanging="526"/>
        <w:spacing w:after="0" w:line="249" w:lineRule="auto"/>
        <w:tabs>
          <w:tab w:leader="none" w:pos="520" w:val="left"/>
        </w:tabs>
        <w:rPr>
          <w:sz w:val="20"/>
          <w:szCs w:val="20"/>
          <w:color w:val="auto"/>
        </w:rPr>
      </w:pPr>
      <w:r>
        <w:rPr>
          <w:rFonts w:ascii="Times New Roman" w:cs="Times New Roman" w:eastAsia="Times New Roman" w:hAnsi="Times New Roman"/>
          <w:sz w:val="15"/>
          <w:szCs w:val="15"/>
          <w:color w:val="auto"/>
        </w:rPr>
        <w:t>1.20</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Companion Diagnostic</w:t>
      </w:r>
      <w:r>
        <w:rPr>
          <w:rFonts w:ascii="Times New Roman" w:cs="Times New Roman" w:eastAsia="Times New Roman" w:hAnsi="Times New Roman"/>
          <w:sz w:val="15"/>
          <w:szCs w:val="15"/>
          <w:color w:val="auto"/>
        </w:rPr>
        <w:t>” means any product or service that: (a) identifies a person having a disease or condition or a molecular genotype or phenotype that predisposes a person to such disease or condition, in each case, for which a Licensed Asset or Product could be used to treat or prevent such disease or condition; (b) defines the prognosis or monitors the progress of a disease or condition in a person for which a Licensed Asset or Product could be used to treat or prevent such disease or condition; (c) is used to select a therapeutic or prophylactic regimen, wherein at least one (1) potential such therapeutic or prophylactic regimen involves a Licensed Asset or Product, and where the selected regimen is determined to likely be effective or to be safe for a person, based on the use of such product or service; or (d) is used to confirm a biological activity or to optimize dosing or the scheduled administration of a Licensed Asset or Product.</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344" w:name="page345"/>
    <w:bookmarkEnd w:id="344"/>
    <w:p>
      <w:pPr>
        <w:ind w:left="540" w:right="8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1.21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Competing Product</w:t>
      </w:r>
      <w:r>
        <w:rPr>
          <w:rFonts w:ascii="Times New Roman" w:cs="Times New Roman" w:eastAsia="Times New Roman" w:hAnsi="Times New Roman"/>
          <w:sz w:val="15"/>
          <w:szCs w:val="15"/>
          <w:color w:val="auto"/>
        </w:rPr>
        <w:t>” means a pharmaceutical or biologic product in the Field that [***], including all presentations, formulations, dosages and dosage forms thereof, and regardless of its mechanism of action.</w:t>
      </w:r>
    </w:p>
    <w:p>
      <w:pPr>
        <w:spacing w:after="0" w:line="141" w:lineRule="exact"/>
        <w:rPr>
          <w:sz w:val="20"/>
          <w:szCs w:val="20"/>
          <w:color w:val="auto"/>
        </w:rPr>
      </w:pPr>
    </w:p>
    <w:p>
      <w:pPr>
        <w:ind w:left="540" w:hanging="526"/>
        <w:spacing w:after="0" w:line="250" w:lineRule="auto"/>
        <w:tabs>
          <w:tab w:leader="none" w:pos="520" w:val="left"/>
        </w:tabs>
        <w:rPr>
          <w:sz w:val="20"/>
          <w:szCs w:val="20"/>
          <w:color w:val="auto"/>
        </w:rPr>
      </w:pPr>
      <w:r>
        <w:rPr>
          <w:rFonts w:ascii="Times New Roman" w:cs="Times New Roman" w:eastAsia="Times New Roman" w:hAnsi="Times New Roman"/>
          <w:sz w:val="15"/>
          <w:szCs w:val="15"/>
          <w:color w:val="auto"/>
        </w:rPr>
        <w:t>1.22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Confidential Information</w:t>
      </w:r>
      <w:r>
        <w:rPr>
          <w:rFonts w:ascii="Times New Roman" w:cs="Times New Roman" w:eastAsia="Times New Roman" w:hAnsi="Times New Roman"/>
          <w:sz w:val="15"/>
          <w:szCs w:val="15"/>
          <w:color w:val="auto"/>
        </w:rPr>
        <w:t>” means, with respect to a Party, all confidential and proprietary information (and all tangible and intangible embodiments thereof), that is disclosed by such Party to the other Party under this Agreement whether in writing, orally, electronically, visually, or by other means and whether or not designated as confidential in writing by such Party, whether by letter or by use of an appropriate stamp or legend, prior to or at the time any such information is disclosed by such Party to the other Party. For clarity, any information, including Know-How, developed or generated in the course of a Receiving Party’s performance under this Agreement based, in whole or in part, on Confidential Information of the Disclosing Party will constitute Confidential Information of both the Receiving Party and the Disclosing Party, unless otherwise specified.</w:t>
      </w:r>
    </w:p>
    <w:p>
      <w:pPr>
        <w:spacing w:after="0" w:line="156" w:lineRule="exact"/>
        <w:rPr>
          <w:sz w:val="20"/>
          <w:szCs w:val="20"/>
          <w:color w:val="auto"/>
        </w:rPr>
      </w:pPr>
    </w:p>
    <w:p>
      <w:pPr>
        <w:ind w:left="540" w:right="20" w:hanging="526"/>
        <w:spacing w:after="0" w:line="265" w:lineRule="auto"/>
        <w:tabs>
          <w:tab w:leader="none" w:pos="520" w:val="left"/>
        </w:tabs>
        <w:rPr>
          <w:sz w:val="20"/>
          <w:szCs w:val="20"/>
          <w:color w:val="auto"/>
        </w:rPr>
      </w:pPr>
      <w:r>
        <w:rPr>
          <w:rFonts w:ascii="Times New Roman" w:cs="Times New Roman" w:eastAsia="Times New Roman" w:hAnsi="Times New Roman"/>
          <w:sz w:val="15"/>
          <w:szCs w:val="15"/>
          <w:color w:val="auto"/>
        </w:rPr>
        <w:t>1.23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Controlled</w:t>
      </w:r>
      <w:r>
        <w:rPr>
          <w:rFonts w:ascii="Times New Roman" w:cs="Times New Roman" w:eastAsia="Times New Roman" w:hAnsi="Times New Roman"/>
          <w:sz w:val="14"/>
          <w:szCs w:val="14"/>
          <w:color w:val="auto"/>
        </w:rPr>
        <w:t>” means, (a) with respect to any Intellectual Property right of a Party, that the Party owns or has a license to such Intellectual Property right (other than pursuant to this Agreement) and has the ability to grant access, a license, or a sublicense to such Intellectual Property right to any other Party as provided in this Agreement without violating an agreement with or other rights of any Third Party, or (b) with respect to any Materials or other tangible Know-How, the legal authority or right to physical possession of such Materials or tangible Know-How, with the right to provide such Materials or tangible Know-How to the other Party on the terms set forth herein. Notwithstanding the foregoing, a Party and its Affiliates will not be deemed to “Control” any of the foregoing (a)-(b) that, prior to the consummation of a Change of Control of such Party, is owned or in-licensed by a Third Party that becomes an Affiliate of such acquired Party (or that merges or consolidates with such Party) after the Execution Date as a result of such Change of Control, unless</w:t>
      </w:r>
    </w:p>
    <w:p>
      <w:pPr>
        <w:spacing w:after="0" w:line="3" w:lineRule="exact"/>
        <w:rPr>
          <w:sz w:val="20"/>
          <w:szCs w:val="20"/>
          <w:color w:val="auto"/>
        </w:rPr>
      </w:pPr>
    </w:p>
    <w:p>
      <w:pPr>
        <w:ind w:left="540" w:right="280" w:hanging="5"/>
        <w:spacing w:after="0" w:line="246" w:lineRule="auto"/>
        <w:tabs>
          <w:tab w:leader="none" w:pos="715"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consummation of such Change of Control, such acquired Party or any of its Affiliates also Controlled such Intellectual Properties or proprietary rights towards a product, or (ii) after the consummation of such Change of Control, such acquired Party or any of its Affiliates uses any such Intellectual Properties or proprietary rights towards a product in the performance of its obligations or exercise of its rights under this Agreement, in each of which cases ((i) and (ii)), such Intellectual Properties or proprietary rights towards a product will be deemed to be “Controlled” by such Party for purposes of this Agreement.</w:t>
      </w:r>
    </w:p>
    <w:p>
      <w:pPr>
        <w:spacing w:after="0" w:line="157" w:lineRule="exact"/>
        <w:rPr>
          <w:sz w:val="20"/>
          <w:szCs w:val="20"/>
          <w:color w:val="auto"/>
        </w:rPr>
      </w:pPr>
    </w:p>
    <w:p>
      <w:pPr>
        <w:jc w:val="both"/>
        <w:ind w:left="540" w:right="2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1.24</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Cover</w:t>
      </w:r>
      <w:r>
        <w:rPr>
          <w:rFonts w:ascii="Times New Roman" w:cs="Times New Roman" w:eastAsia="Times New Roman" w:hAnsi="Times New Roman"/>
          <w:sz w:val="15"/>
          <w:szCs w:val="15"/>
          <w:color w:val="auto"/>
        </w:rPr>
        <w:t>” means, with respect to a particular subject matter at issue and a Patent Right, that, but for rights granted to a Person under such Patent Right, the manufacture, use, sale, offer for sale or importation of such subject matter would infringe a Valid Claim (including, if applicable, in the case of an application that has not issued, if such Valid Claim were issued) included in such Patent Right.</w:t>
      </w:r>
    </w:p>
    <w:p>
      <w:pPr>
        <w:spacing w:after="0" w:line="1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1.25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Derivative</w:t>
      </w:r>
      <w:r>
        <w:rPr>
          <w:rFonts w:ascii="Times New Roman" w:cs="Times New Roman" w:eastAsia="Times New Roman" w:hAnsi="Times New Roman"/>
          <w:sz w:val="14"/>
          <w:szCs w:val="14"/>
          <w:color w:val="auto"/>
        </w:rPr>
        <w:t>” means a modified or derivative form of [***].</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20"/>
          </w:cols>
          <w:pgMar w:left="300" w:top="762" w:right="379" w:bottom="1440" w:gutter="0" w:footer="0" w:header="0"/>
        </w:sectPr>
      </w:pPr>
    </w:p>
    <w:bookmarkStart w:id="345" w:name="page346"/>
    <w:bookmarkEnd w:id="345"/>
    <w:p>
      <w:pPr>
        <w:ind w:left="540" w:hanging="526"/>
        <w:spacing w:after="0" w:line="250" w:lineRule="auto"/>
        <w:tabs>
          <w:tab w:leader="none" w:pos="520" w:val="left"/>
        </w:tabs>
        <w:rPr>
          <w:sz w:val="20"/>
          <w:szCs w:val="20"/>
          <w:color w:val="auto"/>
        </w:rPr>
      </w:pPr>
      <w:r>
        <w:rPr>
          <w:rFonts w:ascii="Times New Roman" w:cs="Times New Roman" w:eastAsia="Times New Roman" w:hAnsi="Times New Roman"/>
          <w:sz w:val="15"/>
          <w:szCs w:val="15"/>
          <w:color w:val="auto"/>
        </w:rPr>
        <w:t>1.26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Development</w:t>
      </w:r>
      <w:r>
        <w:rPr>
          <w:rFonts w:ascii="Times New Roman" w:cs="Times New Roman" w:eastAsia="Times New Roman" w:hAnsi="Times New Roman"/>
          <w:sz w:val="15"/>
          <w:szCs w:val="15"/>
          <w:color w:val="auto"/>
        </w:rPr>
        <w:t>” means, with respect to a product, all activities relating to the pre-clinical and clinical development of such product, and all development activities relating to applying for and obtaining Regulatory Approval for such product, including preclinical testing, test method development and stability testing, toxicology, formulation, clinical trials, statistical analysis and report writing. Development shall not include Manufacturing, Commercialization, or scientific research not intended for inclusion in a Regulatory Submission, but with respect to Licensee, shall specifically include activities relating to research and creation of Derivatives and Companion Diagnostics. When used as a verb, “</w:t>
      </w:r>
      <w:r>
        <w:rPr>
          <w:rFonts w:ascii="Times New Roman" w:cs="Times New Roman" w:eastAsia="Times New Roman" w:hAnsi="Times New Roman"/>
          <w:sz w:val="15"/>
          <w:szCs w:val="15"/>
          <w:u w:val="single" w:color="auto"/>
          <w:color w:val="auto"/>
        </w:rPr>
        <w:t>Develop</w:t>
      </w:r>
      <w:r>
        <w:rPr>
          <w:rFonts w:ascii="Times New Roman" w:cs="Times New Roman" w:eastAsia="Times New Roman" w:hAnsi="Times New Roman"/>
          <w:sz w:val="15"/>
          <w:szCs w:val="15"/>
          <w:color w:val="auto"/>
        </w:rPr>
        <w:t>” means to engage in Development.</w:t>
      </w:r>
    </w:p>
    <w:p>
      <w:pPr>
        <w:spacing w:after="0" w:line="15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1.27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EMA</w:t>
      </w:r>
      <w:r>
        <w:rPr>
          <w:rFonts w:ascii="Times New Roman" w:cs="Times New Roman" w:eastAsia="Times New Roman" w:hAnsi="Times New Roman"/>
          <w:sz w:val="14"/>
          <w:szCs w:val="14"/>
          <w:color w:val="auto"/>
        </w:rPr>
        <w:t>” means the European Medicines Agency or any successor agency thereto.</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1.28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EU</w:t>
      </w:r>
      <w:r>
        <w:rPr>
          <w:rFonts w:ascii="Times New Roman" w:cs="Times New Roman" w:eastAsia="Times New Roman" w:hAnsi="Times New Roman"/>
          <w:sz w:val="14"/>
          <w:szCs w:val="14"/>
          <w:color w:val="auto"/>
        </w:rPr>
        <w:t>” means the European Union (including the United Kingdom, whether or not the United Kingdom is a member state of the EU during the term of this Agreement).</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1.29</w:t>
      </w:r>
      <w:r>
        <w:rPr>
          <w:sz w:val="20"/>
          <w:szCs w:val="20"/>
          <w:color w:val="auto"/>
        </w:rPr>
        <w:tab/>
      </w:r>
      <w:r>
        <w:rPr>
          <w:rFonts w:ascii="Times New Roman" w:cs="Times New Roman" w:eastAsia="Times New Roman" w:hAnsi="Times New Roman"/>
          <w:sz w:val="14"/>
          <w:szCs w:val="14"/>
          <w:color w:val="auto"/>
        </w:rPr>
        <w:t>“[***]” means any technology that [***].</w:t>
      </w:r>
    </w:p>
    <w:p>
      <w:pPr>
        <w:spacing w:after="0" w:line="179" w:lineRule="exact"/>
        <w:rPr>
          <w:sz w:val="20"/>
          <w:szCs w:val="20"/>
          <w:color w:val="auto"/>
        </w:rPr>
      </w:pPr>
    </w:p>
    <w:p>
      <w:pPr>
        <w:ind w:left="540" w:right="70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1.30</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FD&amp;C Act</w:t>
      </w:r>
      <w:r>
        <w:rPr>
          <w:rFonts w:ascii="Times New Roman" w:cs="Times New Roman" w:eastAsia="Times New Roman" w:hAnsi="Times New Roman"/>
          <w:sz w:val="15"/>
          <w:szCs w:val="15"/>
          <w:color w:val="auto"/>
        </w:rPr>
        <w:t>” means the Federal Food, Drug and Cosmetic Act under United States Code, Title 21, as amended from time to time, together with any rules, regulations, and requirements promulgated thereunder (including all additions, supplements, extensions, and modifications thereto).</w:t>
      </w:r>
    </w:p>
    <w:p>
      <w:pPr>
        <w:spacing w:after="0" w:line="14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1.31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Field</w:t>
      </w:r>
      <w:r>
        <w:rPr>
          <w:rFonts w:ascii="Times New Roman" w:cs="Times New Roman" w:eastAsia="Times New Roman" w:hAnsi="Times New Roman"/>
          <w:sz w:val="14"/>
          <w:szCs w:val="14"/>
          <w:color w:val="auto"/>
        </w:rPr>
        <w:t>” means all uses in any treatment, palliation, diagnosis or prevention of any disease, disorder or condition or symptoms adverse to human or animal health.</w:t>
      </w:r>
    </w:p>
    <w:p>
      <w:pPr>
        <w:spacing w:after="0" w:line="179" w:lineRule="exact"/>
        <w:rPr>
          <w:sz w:val="20"/>
          <w:szCs w:val="20"/>
          <w:color w:val="auto"/>
        </w:rPr>
      </w:pPr>
    </w:p>
    <w:p>
      <w:pPr>
        <w:ind w:left="540" w:right="40" w:hanging="526"/>
        <w:spacing w:after="0" w:line="250" w:lineRule="auto"/>
        <w:tabs>
          <w:tab w:leader="none" w:pos="520" w:val="left"/>
        </w:tabs>
        <w:rPr>
          <w:sz w:val="20"/>
          <w:szCs w:val="20"/>
          <w:color w:val="auto"/>
        </w:rPr>
      </w:pPr>
      <w:r>
        <w:rPr>
          <w:rFonts w:ascii="Times New Roman" w:cs="Times New Roman" w:eastAsia="Times New Roman" w:hAnsi="Times New Roman"/>
          <w:sz w:val="15"/>
          <w:szCs w:val="15"/>
          <w:color w:val="auto"/>
        </w:rPr>
        <w:t>1.32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First Commercial Sale</w:t>
      </w:r>
      <w:r>
        <w:rPr>
          <w:rFonts w:ascii="Times New Roman" w:cs="Times New Roman" w:eastAsia="Times New Roman" w:hAnsi="Times New Roman"/>
          <w:sz w:val="15"/>
          <w:szCs w:val="15"/>
          <w:color w:val="auto"/>
        </w:rPr>
        <w:t>” means, with respect to a product and on a Region-by-Region basis, the first sale of such product by a Party, its Affiliate or its Sublicensee under this Agreement to a Third Party in such Region in the Licensed Territory for end use or consumption in the Field in an arms’ length transaction, after such product has been granted Regulatory Approval (other than pricing approval) by the applicable Government Authority in any Region of the Licensed Territory. For clarity, First Commercial Sale excludes any transfers of a product to Third Parties without consideration for clinical trial purposes or any expanded access program, compassionate sales or use program (including named patient program or single patient program), or indigent program.</w:t>
      </w:r>
    </w:p>
    <w:p>
      <w:pPr>
        <w:spacing w:after="0" w:line="156" w:lineRule="exact"/>
        <w:rPr>
          <w:sz w:val="20"/>
          <w:szCs w:val="20"/>
          <w:color w:val="auto"/>
        </w:rPr>
      </w:pPr>
    </w:p>
    <w:p>
      <w:pPr>
        <w:ind w:left="540" w:right="140" w:hanging="526"/>
        <w:spacing w:after="0" w:line="252" w:lineRule="auto"/>
        <w:tabs>
          <w:tab w:leader="none" w:pos="520" w:val="left"/>
        </w:tabs>
        <w:rPr>
          <w:sz w:val="20"/>
          <w:szCs w:val="20"/>
          <w:color w:val="auto"/>
        </w:rPr>
      </w:pPr>
      <w:r>
        <w:rPr>
          <w:rFonts w:ascii="Times New Roman" w:cs="Times New Roman" w:eastAsia="Times New Roman" w:hAnsi="Times New Roman"/>
          <w:sz w:val="15"/>
          <w:szCs w:val="15"/>
          <w:color w:val="auto"/>
        </w:rPr>
        <w:t>1.33</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Good Clinical Practice</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GCP</w:t>
      </w:r>
      <w:r>
        <w:rPr>
          <w:rFonts w:ascii="Times New Roman" w:cs="Times New Roman" w:eastAsia="Times New Roman" w:hAnsi="Times New Roman"/>
          <w:sz w:val="15"/>
          <w:szCs w:val="15"/>
          <w:color w:val="auto"/>
        </w:rPr>
        <w:t>” means Applicable Laws and applicable ICH guidelines for the design, conduct, performance, monitoring, auditing, recording, analysis and reporting of clinical trials, including (a) 21 C.F.R. Parts 11, 50, 54, 56, 312, 314 and 320, (b) European Commission Directive 2005/28/EC, and (c) the PRC Good Clinical Practices for Pharmaceutical Products, as released by China National Medical Products Administration in 2003 and last updated in 2020, as amended from time to time, or any successor thereto, and any analogous Applicable Laws and guidelines in the Licensed Territory.</w:t>
      </w:r>
    </w:p>
    <w:p>
      <w:pPr>
        <w:spacing w:after="0" w:line="154" w:lineRule="exact"/>
        <w:rPr>
          <w:sz w:val="20"/>
          <w:szCs w:val="20"/>
          <w:color w:val="auto"/>
        </w:rPr>
      </w:pPr>
    </w:p>
    <w:p>
      <w:pPr>
        <w:ind w:left="540" w:right="20" w:hanging="526"/>
        <w:spacing w:after="0" w:line="252" w:lineRule="auto"/>
        <w:tabs>
          <w:tab w:leader="none" w:pos="520" w:val="left"/>
        </w:tabs>
        <w:rPr>
          <w:sz w:val="20"/>
          <w:szCs w:val="20"/>
          <w:color w:val="auto"/>
        </w:rPr>
      </w:pPr>
      <w:r>
        <w:rPr>
          <w:rFonts w:ascii="Times New Roman" w:cs="Times New Roman" w:eastAsia="Times New Roman" w:hAnsi="Times New Roman"/>
          <w:sz w:val="15"/>
          <w:szCs w:val="15"/>
          <w:color w:val="auto"/>
        </w:rPr>
        <w:t>1.34</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Good Laboratory Practice</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GLP</w:t>
      </w:r>
      <w:r>
        <w:rPr>
          <w:rFonts w:ascii="Times New Roman" w:cs="Times New Roman" w:eastAsia="Times New Roman" w:hAnsi="Times New Roman"/>
          <w:sz w:val="15"/>
          <w:szCs w:val="15"/>
          <w:color w:val="auto"/>
        </w:rPr>
        <w:t>” means the applicable then-current standards for laboratory activities for pharmaceuticals or biopharmaceuticals, including as set forth in (a) the then-current good laboratory practice standards promulgated or endorsed by the US FDA, as defined in 21 C.F.R. Part 58, (b) the Good Laboratory Practices for Nonclinical Drug Research, as released by China National Medical Products Administration in 2017, or (c) in any analogous Applicable Laws in any relevant country, and any guidance documents promulgated thereunder, as amended from time to time or any successor thereto.</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20"/>
          </w:cols>
          <w:pgMar w:left="300" w:top="762" w:right="379" w:bottom="1440" w:gutter="0" w:footer="0" w:header="0"/>
        </w:sectPr>
      </w:pPr>
    </w:p>
    <w:bookmarkStart w:id="346" w:name="page347"/>
    <w:bookmarkEnd w:id="346"/>
    <w:p>
      <w:pPr>
        <w:ind w:left="540" w:right="260" w:hanging="526"/>
        <w:spacing w:after="0" w:line="252" w:lineRule="auto"/>
        <w:tabs>
          <w:tab w:leader="none" w:pos="520" w:val="left"/>
        </w:tabs>
        <w:rPr>
          <w:sz w:val="20"/>
          <w:szCs w:val="20"/>
          <w:color w:val="auto"/>
        </w:rPr>
      </w:pPr>
      <w:r>
        <w:rPr>
          <w:rFonts w:ascii="Times New Roman" w:cs="Times New Roman" w:eastAsia="Times New Roman" w:hAnsi="Times New Roman"/>
          <w:sz w:val="15"/>
          <w:szCs w:val="15"/>
          <w:color w:val="auto"/>
        </w:rPr>
        <w:t>1.35</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Good Manufacturing Practice</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GMP</w:t>
      </w:r>
      <w:r>
        <w:rPr>
          <w:rFonts w:ascii="Times New Roman" w:cs="Times New Roman" w:eastAsia="Times New Roman" w:hAnsi="Times New Roman"/>
          <w:sz w:val="15"/>
          <w:szCs w:val="15"/>
          <w:color w:val="auto"/>
        </w:rPr>
        <w:t>” means Good Manufacturing Practice and General Biological Products Standards, as promulgated under and in accordance with (a) the FD&amp;C Act (including 21 C.F.R. Parts 210, 211 and 600-680), (b) European Commission Directive 2003/94/EC, and (c) China Food and Drug Administration Ministry of Health Decree No. 79 for Good Manufacturing Practice for Drugs, effective as of March 1, 2011, as each may be amended from time to time, or any successor thereto, and any analogous Applicable Laws and guidelines in the Licensed Territory.</w:t>
      </w:r>
    </w:p>
    <w:p>
      <w:pPr>
        <w:spacing w:after="0" w:line="154" w:lineRule="exact"/>
        <w:rPr>
          <w:sz w:val="20"/>
          <w:szCs w:val="20"/>
          <w:color w:val="auto"/>
        </w:rPr>
      </w:pPr>
    </w:p>
    <w:p>
      <w:pPr>
        <w:jc w:val="both"/>
        <w:ind w:left="5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1.36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Government Authority</w:t>
      </w:r>
      <w:r>
        <w:rPr>
          <w:rFonts w:ascii="Times New Roman" w:cs="Times New Roman" w:eastAsia="Times New Roman" w:hAnsi="Times New Roman"/>
          <w:sz w:val="15"/>
          <w:szCs w:val="15"/>
          <w:color w:val="auto"/>
        </w:rPr>
        <w:t>” means any court or government body, whether national, supra-national, federal, state, local, foreign or provincial, including any political subdivision thereof, including any department, commission, board, bureau, agency, or other regulatory or administrative governmental authority or instrumentality, and further including any governmental Person or entity exercising the functions of any of these. For clarity, any Regulatory Authority shall be a Government Authority.</w:t>
      </w:r>
    </w:p>
    <w:p>
      <w:pPr>
        <w:spacing w:after="0" w:line="149" w:lineRule="exact"/>
        <w:rPr>
          <w:sz w:val="20"/>
          <w:szCs w:val="20"/>
          <w:color w:val="auto"/>
        </w:rPr>
      </w:pPr>
    </w:p>
    <w:p>
      <w:pPr>
        <w:jc w:val="both"/>
        <w:ind w:left="540" w:right="36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1.37</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Government Official</w:t>
      </w:r>
      <w:r>
        <w:rPr>
          <w:rFonts w:ascii="Times New Roman" w:cs="Times New Roman" w:eastAsia="Times New Roman" w:hAnsi="Times New Roman"/>
          <w:sz w:val="15"/>
          <w:szCs w:val="15"/>
          <w:color w:val="auto"/>
        </w:rPr>
        <w:t>” means any Person employed by or acting in an official capacity on behalf of a Government Authority, Government Authority-controlled entity or public international organization; any political party, party official or candidate; any Person who holds or performs the duties of an appointment, office or position created by custom or convention; and any Person who is an authorized intermediary of any of the foregoing.</w:t>
      </w:r>
    </w:p>
    <w:p>
      <w:pPr>
        <w:spacing w:after="0" w:line="1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1.38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ICH</w:t>
      </w:r>
      <w:r>
        <w:rPr>
          <w:rFonts w:ascii="Times New Roman" w:cs="Times New Roman" w:eastAsia="Times New Roman" w:hAnsi="Times New Roman"/>
          <w:sz w:val="14"/>
          <w:szCs w:val="14"/>
          <w:color w:val="auto"/>
        </w:rPr>
        <w:t>” means the International Conference on Harmonisation of Technical Requirements for Registration of Pharmaceuticals for Human Use.</w:t>
      </w:r>
    </w:p>
    <w:p>
      <w:pPr>
        <w:spacing w:after="0" w:line="179" w:lineRule="exact"/>
        <w:rPr>
          <w:sz w:val="20"/>
          <w:szCs w:val="20"/>
          <w:color w:val="auto"/>
        </w:rPr>
      </w:pPr>
    </w:p>
    <w:p>
      <w:pPr>
        <w:jc w:val="both"/>
        <w:ind w:left="540" w:right="16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1.39</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IND</w:t>
      </w:r>
      <w:r>
        <w:rPr>
          <w:rFonts w:ascii="Times New Roman" w:cs="Times New Roman" w:eastAsia="Times New Roman" w:hAnsi="Times New Roman"/>
          <w:sz w:val="15"/>
          <w:szCs w:val="15"/>
          <w:color w:val="auto"/>
        </w:rPr>
        <w:t>” means an Investigational New Drug application as defined in the FD&amp;C Act, or a clinical trial authorization application for a pharmaceutical product filed with a Regulatory Authority in any other regulatory jurisdiction outside the U.S., the filing of which is necessary to commence or conduct clinical testing of such pharmaceutical product in humans in such jurisdiction.</w:t>
      </w:r>
    </w:p>
    <w:p>
      <w:pPr>
        <w:spacing w:after="0" w:line="1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1.40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Initiation</w:t>
      </w:r>
      <w:r>
        <w:rPr>
          <w:rFonts w:ascii="Times New Roman" w:cs="Times New Roman" w:eastAsia="Times New Roman" w:hAnsi="Times New Roman"/>
          <w:sz w:val="14"/>
          <w:szCs w:val="14"/>
          <w:color w:val="auto"/>
        </w:rPr>
        <w:t>” means, with respect to a Clinical Study, the first dosing of the second patient in such Clinical Study.</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1.41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means all proprietary rights of any kind or nature, whether patentable or not, including Patent Rights, Know-How, Trademarks and copyrights.</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1.42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Invented</w:t>
      </w:r>
      <w:r>
        <w:rPr>
          <w:rFonts w:ascii="Times New Roman" w:cs="Times New Roman" w:eastAsia="Times New Roman" w:hAnsi="Times New Roman"/>
          <w:sz w:val="14"/>
          <w:szCs w:val="14"/>
          <w:color w:val="auto"/>
        </w:rPr>
        <w:t>” means the act of invention by inventors, as determined in accordance with the patent laws of the United States.</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1.43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Joint Intellectual Property</w:t>
      </w:r>
      <w:r>
        <w:rPr>
          <w:rFonts w:ascii="Times New Roman" w:cs="Times New Roman" w:eastAsia="Times New Roman" w:hAnsi="Times New Roman"/>
          <w:sz w:val="14"/>
          <w:szCs w:val="14"/>
          <w:color w:val="auto"/>
        </w:rPr>
        <w:t>” means the Joint Know-How, the Joint Patent Rights, and all intellectual property rights therein.</w:t>
      </w:r>
    </w:p>
    <w:p>
      <w:pPr>
        <w:spacing w:after="0" w:line="179" w:lineRule="exact"/>
        <w:rPr>
          <w:sz w:val="20"/>
          <w:szCs w:val="20"/>
          <w:color w:val="auto"/>
        </w:rPr>
      </w:pPr>
    </w:p>
    <w:p>
      <w:pPr>
        <w:ind w:left="540" w:right="36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1.44</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Joint Know-How</w:t>
      </w:r>
      <w:r>
        <w:rPr>
          <w:rFonts w:ascii="Times New Roman" w:cs="Times New Roman" w:eastAsia="Times New Roman" w:hAnsi="Times New Roman"/>
          <w:sz w:val="15"/>
          <w:szCs w:val="15"/>
          <w:color w:val="auto"/>
        </w:rPr>
        <w:t>” means any Know-How that is identified, discovered, authored or developed jointly by or on behalf of XENCOR or any of its Affiliates, on the one hand, and Licensee or any of its Affiliates, on the other hand under this Agreement.</w:t>
      </w:r>
    </w:p>
    <w:p>
      <w:pPr>
        <w:spacing w:after="0" w:line="141" w:lineRule="exact"/>
        <w:rPr>
          <w:sz w:val="20"/>
          <w:szCs w:val="20"/>
          <w:color w:val="auto"/>
        </w:rPr>
      </w:pPr>
    </w:p>
    <w:p>
      <w:pPr>
        <w:ind w:left="540" w:right="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1.45</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Joint Patent Rights</w:t>
      </w:r>
      <w:r>
        <w:rPr>
          <w:rFonts w:ascii="Times New Roman" w:cs="Times New Roman" w:eastAsia="Times New Roman" w:hAnsi="Times New Roman"/>
          <w:sz w:val="15"/>
          <w:szCs w:val="15"/>
          <w:color w:val="auto"/>
        </w:rPr>
        <w:t>” means all Patent Rights that claim (i) inventions Invented under this Agreement that are made jointly by or on behalf of XENCOR or any of its Affiliates, on the one hand, and Licensee or any of its Affiliates, on the other hand, during the License Term, or (ii) Joint Know-How.</w:t>
      </w: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2" w:right="339" w:bottom="1440" w:gutter="0" w:footer="0" w:header="0"/>
        </w:sectPr>
      </w:pPr>
    </w:p>
    <w:bookmarkStart w:id="347" w:name="page348"/>
    <w:bookmarkEnd w:id="347"/>
    <w:p>
      <w:pPr>
        <w:ind w:left="540" w:right="260" w:hanging="526"/>
        <w:spacing w:after="0" w:line="252" w:lineRule="auto"/>
        <w:tabs>
          <w:tab w:leader="none" w:pos="520" w:val="left"/>
        </w:tabs>
        <w:rPr>
          <w:sz w:val="20"/>
          <w:szCs w:val="20"/>
          <w:color w:val="auto"/>
        </w:rPr>
      </w:pPr>
      <w:r>
        <w:rPr>
          <w:rFonts w:ascii="Times New Roman" w:cs="Times New Roman" w:eastAsia="Times New Roman" w:hAnsi="Times New Roman"/>
          <w:sz w:val="15"/>
          <w:szCs w:val="15"/>
          <w:color w:val="auto"/>
        </w:rPr>
        <w:t>1.46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Know-How</w:t>
      </w:r>
      <w:r>
        <w:rPr>
          <w:rFonts w:ascii="Times New Roman" w:cs="Times New Roman" w:eastAsia="Times New Roman" w:hAnsi="Times New Roman"/>
          <w:sz w:val="15"/>
          <w:szCs w:val="15"/>
          <w:color w:val="auto"/>
        </w:rPr>
        <w:t>” means all discoveries, data, information (including scientific, technical or regulatory information), processes, methods, techniques, materials, technology, results, analyses, laboratory, pre-clinical and clinical data, or other know-how, including pharmacology, toxicology, drug stability, manufacturing and formulation methodologies and techniques, clinical and non-clinical safety and efficacy studies, marketing studies, absorption, distribution, metabolism and excretion studies. Know-How does not include Patent Rights.</w:t>
      </w:r>
    </w:p>
    <w:p>
      <w:pPr>
        <w:spacing w:after="0" w:line="154" w:lineRule="exact"/>
        <w:rPr>
          <w:sz w:val="20"/>
          <w:szCs w:val="20"/>
          <w:color w:val="auto"/>
        </w:rPr>
      </w:pPr>
    </w:p>
    <w:p>
      <w:pPr>
        <w:ind w:left="540" w:right="20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1.47</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Knowledge</w:t>
      </w:r>
      <w:r>
        <w:rPr>
          <w:rFonts w:ascii="Times New Roman" w:cs="Times New Roman" w:eastAsia="Times New Roman" w:hAnsi="Times New Roman"/>
          <w:sz w:val="15"/>
          <w:szCs w:val="15"/>
          <w:color w:val="auto"/>
        </w:rPr>
        <w:t>” means, the actual knowledge, after reasonable inquiry, of XENCOR’s officers as defined under Rule 16a-1(f) of the Securities Exchange Act of 1934 (or amendment thereto or replacement or successor law) as of the Execution Date.</w:t>
      </w:r>
    </w:p>
    <w:p>
      <w:pPr>
        <w:spacing w:after="0" w:line="14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1.48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Licensed Asset</w:t>
      </w:r>
      <w:r>
        <w:rPr>
          <w:rFonts w:ascii="Times New Roman" w:cs="Times New Roman" w:eastAsia="Times New Roman" w:hAnsi="Times New Roman"/>
          <w:sz w:val="14"/>
          <w:szCs w:val="14"/>
          <w:color w:val="auto"/>
        </w:rPr>
        <w:t>” means (a) XENCOR’s proprietary CD19 antibody known as obexelimab, designated by XENCOR as XmAb5871, [***] and (b) any Derivative.</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1.49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Licensed Territory</w:t>
      </w:r>
      <w:r>
        <w:rPr>
          <w:rFonts w:ascii="Times New Roman" w:cs="Times New Roman" w:eastAsia="Times New Roman" w:hAnsi="Times New Roman"/>
          <w:sz w:val="14"/>
          <w:szCs w:val="14"/>
          <w:color w:val="auto"/>
        </w:rPr>
        <w:t>” means worldwide.</w:t>
      </w:r>
    </w:p>
    <w:p>
      <w:pPr>
        <w:spacing w:after="0" w:line="179" w:lineRule="exact"/>
        <w:rPr>
          <w:sz w:val="20"/>
          <w:szCs w:val="20"/>
          <w:color w:val="auto"/>
        </w:rPr>
      </w:pPr>
    </w:p>
    <w:p>
      <w:pPr>
        <w:ind w:left="540" w:right="32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1.50</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Licensee Flow-Through Patent Rights</w:t>
      </w:r>
      <w:r>
        <w:rPr>
          <w:rFonts w:ascii="Times New Roman" w:cs="Times New Roman" w:eastAsia="Times New Roman" w:hAnsi="Times New Roman"/>
          <w:sz w:val="15"/>
          <w:szCs w:val="15"/>
          <w:color w:val="auto"/>
        </w:rPr>
        <w:t>” means any and all Licensed Patents (as defined in the [***] Agreement) and Post-Sublicensing Licensed Patents (as defined in the [***] Agreement) Controlled by Licensee or its Affiliates or Sublicensees after the Effective Date.</w:t>
      </w:r>
    </w:p>
    <w:p>
      <w:pPr>
        <w:spacing w:after="0" w:line="141" w:lineRule="exact"/>
        <w:rPr>
          <w:sz w:val="20"/>
          <w:szCs w:val="20"/>
          <w:color w:val="auto"/>
        </w:rPr>
      </w:pPr>
    </w:p>
    <w:p>
      <w:pPr>
        <w:ind w:left="540" w:right="6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1.51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Licensee Intellectual Property</w:t>
      </w:r>
      <w:r>
        <w:rPr>
          <w:rFonts w:ascii="Times New Roman" w:cs="Times New Roman" w:eastAsia="Times New Roman" w:hAnsi="Times New Roman"/>
          <w:sz w:val="15"/>
          <w:szCs w:val="15"/>
          <w:color w:val="auto"/>
        </w:rPr>
        <w:t xml:space="preserve">” means the Licensee Know-How, the Licensee Patent Rights, any Product Trademark owned by Licensee pursuant to </w:t>
      </w:r>
      <w:r>
        <w:rPr>
          <w:rFonts w:ascii="Times New Roman" w:cs="Times New Roman" w:eastAsia="Times New Roman" w:hAnsi="Times New Roman"/>
          <w:sz w:val="15"/>
          <w:szCs w:val="15"/>
          <w:u w:val="single" w:color="auto"/>
          <w:color w:val="auto"/>
        </w:rPr>
        <w:t>Section 12.4</w:t>
      </w:r>
      <w:r>
        <w:rPr>
          <w:rFonts w:ascii="Times New Roman" w:cs="Times New Roman" w:eastAsia="Times New Roman" w:hAnsi="Times New Roman"/>
          <w:sz w:val="15"/>
          <w:szCs w:val="15"/>
          <w:color w:val="auto"/>
        </w:rPr>
        <w:t>, and all intellectual property rights therein.</w:t>
      </w:r>
    </w:p>
    <w:p>
      <w:pPr>
        <w:spacing w:after="0" w:line="141" w:lineRule="exact"/>
        <w:rPr>
          <w:sz w:val="20"/>
          <w:szCs w:val="20"/>
          <w:color w:val="auto"/>
        </w:rPr>
      </w:pPr>
    </w:p>
    <w:p>
      <w:pPr>
        <w:ind w:left="540" w:hanging="526"/>
        <w:spacing w:after="0" w:line="306" w:lineRule="auto"/>
        <w:tabs>
          <w:tab w:leader="none" w:pos="520" w:val="left"/>
        </w:tabs>
        <w:rPr>
          <w:sz w:val="20"/>
          <w:szCs w:val="20"/>
          <w:color w:val="auto"/>
        </w:rPr>
      </w:pPr>
      <w:r>
        <w:rPr>
          <w:rFonts w:ascii="Times New Roman" w:cs="Times New Roman" w:eastAsia="Times New Roman" w:hAnsi="Times New Roman"/>
          <w:sz w:val="15"/>
          <w:szCs w:val="15"/>
          <w:color w:val="auto"/>
        </w:rPr>
        <w:t>1.52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Licensee Know-How</w:t>
      </w:r>
      <w:r>
        <w:rPr>
          <w:rFonts w:ascii="Times New Roman" w:cs="Times New Roman" w:eastAsia="Times New Roman" w:hAnsi="Times New Roman"/>
          <w:sz w:val="14"/>
          <w:szCs w:val="14"/>
          <w:color w:val="auto"/>
        </w:rPr>
        <w:t>” means all Know-How (i) that is Controlled by Licensee or its Affiliates as of the Execution Date or during the License Term that is actually used, applied or incorporated by Licensee in the Development, Manufacture or Commercialization of Licensed Asset or Products in the Licensed Territory, or (ii) that constitutes a Licensee Invention.</w:t>
      </w:r>
    </w:p>
    <w:p>
      <w:pPr>
        <w:spacing w:after="0" w:line="117" w:lineRule="exact"/>
        <w:rPr>
          <w:sz w:val="20"/>
          <w:szCs w:val="20"/>
          <w:color w:val="auto"/>
        </w:rPr>
      </w:pPr>
    </w:p>
    <w:p>
      <w:pPr>
        <w:ind w:left="540" w:right="48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1.53</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Licensee Patent Rights</w:t>
      </w:r>
      <w:r>
        <w:rPr>
          <w:rFonts w:ascii="Times New Roman" w:cs="Times New Roman" w:eastAsia="Times New Roman" w:hAnsi="Times New Roman"/>
          <w:sz w:val="15"/>
          <w:szCs w:val="15"/>
          <w:color w:val="auto"/>
        </w:rPr>
        <w:t>” means all Patent Rights Controlled by Licensee or its Affiliates as of the Execution Date or during the License Term that (i) Cover the Development, Manufacture or Commercialization of Licensed Asset or Products, (ii) Cover Licensee Know-How.</w:t>
      </w:r>
    </w:p>
    <w:p>
      <w:pPr>
        <w:spacing w:after="0" w:line="141" w:lineRule="exact"/>
        <w:rPr>
          <w:sz w:val="20"/>
          <w:szCs w:val="20"/>
          <w:color w:val="auto"/>
        </w:rPr>
      </w:pPr>
    </w:p>
    <w:p>
      <w:pPr>
        <w:ind w:left="540" w:right="2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1.54</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Lien</w:t>
      </w:r>
      <w:r>
        <w:rPr>
          <w:rFonts w:ascii="Times New Roman" w:cs="Times New Roman" w:eastAsia="Times New Roman" w:hAnsi="Times New Roman"/>
          <w:sz w:val="15"/>
          <w:szCs w:val="15"/>
          <w:color w:val="auto"/>
        </w:rPr>
        <w:t>” means any mortgage, pledge, assignment (as security), deposit arrangement, encumbrance, lien (statutory or other), charge or other security interest, or any preference, priority or other security agreement or preferential arrangement of any kind or nature whatsoever having substantially the same economic effect as any of the foregoing (including any conditional sale or other title retention agreement and any capital lease).</w:t>
      </w:r>
    </w:p>
    <w:p>
      <w:pPr>
        <w:spacing w:after="0" w:line="1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1.55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Major Territory</w:t>
      </w:r>
      <w:r>
        <w:rPr>
          <w:rFonts w:ascii="Times New Roman" w:cs="Times New Roman" w:eastAsia="Times New Roman" w:hAnsi="Times New Roman"/>
          <w:sz w:val="14"/>
          <w:szCs w:val="14"/>
          <w:color w:val="auto"/>
        </w:rPr>
        <w:t>” means the U.S., United Kingdom, France, Germany, Italy, and Spain.</w:t>
      </w:r>
    </w:p>
    <w:p>
      <w:pPr>
        <w:spacing w:after="0" w:line="179" w:lineRule="exact"/>
        <w:rPr>
          <w:sz w:val="20"/>
          <w:szCs w:val="20"/>
          <w:color w:val="auto"/>
        </w:rPr>
      </w:pPr>
    </w:p>
    <w:p>
      <w:pPr>
        <w:ind w:left="540" w:right="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1.56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Manufacturing</w:t>
      </w:r>
      <w:r>
        <w:rPr>
          <w:rFonts w:ascii="Times New Roman" w:cs="Times New Roman" w:eastAsia="Times New Roman" w:hAnsi="Times New Roman"/>
          <w:sz w:val="15"/>
          <w:szCs w:val="15"/>
          <w:color w:val="auto"/>
        </w:rPr>
        <w:t>” means any and all activities directed to making, producing, manufacturing, processing, filling, finishing, packaging, labeling, quality assurance testing and release, shipping or storage of a product (or any ingredient thereof). When used as a verb, “</w:t>
      </w:r>
      <w:r>
        <w:rPr>
          <w:rFonts w:ascii="Times New Roman" w:cs="Times New Roman" w:eastAsia="Times New Roman" w:hAnsi="Times New Roman"/>
          <w:sz w:val="15"/>
          <w:szCs w:val="15"/>
          <w:u w:val="single" w:color="auto"/>
          <w:color w:val="auto"/>
        </w:rPr>
        <w:t>Manufacture</w:t>
      </w:r>
      <w:r>
        <w:rPr>
          <w:rFonts w:ascii="Times New Roman" w:cs="Times New Roman" w:eastAsia="Times New Roman" w:hAnsi="Times New Roman"/>
          <w:sz w:val="15"/>
          <w:szCs w:val="15"/>
          <w:color w:val="auto"/>
        </w:rPr>
        <w:t>” means to engage in Manufacturing. For the avoidance of doubt, Manufacturing does not include Commercialization and Development.</w:t>
      </w:r>
    </w:p>
    <w:p>
      <w:pPr>
        <w:spacing w:after="0" w:line="1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1.57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Marketing Authorization Application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MAA</w:t>
      </w:r>
      <w:r>
        <w:rPr>
          <w:rFonts w:ascii="Times New Roman" w:cs="Times New Roman" w:eastAsia="Times New Roman" w:hAnsi="Times New Roman"/>
          <w:sz w:val="14"/>
          <w:szCs w:val="14"/>
          <w:color w:val="auto"/>
        </w:rPr>
        <w:t>” means an application for Regulatory Approval in the Licensed Territory, including a Biologics License Application as described in</w:t>
      </w:r>
    </w:p>
    <w:p>
      <w:pPr>
        <w:spacing w:after="0" w:line="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21 C.F.R. §601.2, as amended.</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40"/>
          </w:cols>
          <w:pgMar w:left="300" w:top="762" w:right="359" w:bottom="1440" w:gutter="0" w:footer="0" w:header="0"/>
        </w:sectPr>
      </w:pPr>
    </w:p>
    <w:bookmarkStart w:id="348" w:name="page349"/>
    <w:bookmarkEnd w:id="348"/>
    <w:p>
      <w:pPr>
        <w:ind w:left="540" w:right="220" w:hanging="526"/>
        <w:spacing w:after="0" w:line="249" w:lineRule="auto"/>
        <w:tabs>
          <w:tab w:leader="none" w:pos="520" w:val="left"/>
        </w:tabs>
        <w:rPr>
          <w:sz w:val="20"/>
          <w:szCs w:val="20"/>
          <w:color w:val="auto"/>
        </w:rPr>
      </w:pPr>
      <w:r>
        <w:rPr>
          <w:rFonts w:ascii="Times New Roman" w:cs="Times New Roman" w:eastAsia="Times New Roman" w:hAnsi="Times New Roman"/>
          <w:sz w:val="15"/>
          <w:szCs w:val="15"/>
          <w:color w:val="auto"/>
        </w:rPr>
        <w:t>1.58</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Material</w:t>
      </w:r>
      <w:r>
        <w:rPr>
          <w:rFonts w:ascii="Times New Roman" w:cs="Times New Roman" w:eastAsia="Times New Roman" w:hAnsi="Times New Roman"/>
          <w:sz w:val="15"/>
          <w:szCs w:val="15"/>
          <w:color w:val="auto"/>
        </w:rPr>
        <w:t>” means, to the extent related to a Licensed Asset or Product and in the possession and Control of XENCOR as of the Effective Date, (a) any tangible materials, including antibodies, antigens, genes, gene fragments, gene sequences, intermediate probes, DNA, RNA, cDNA libraries, plasmids, vectors, expression systems, cells, cell lines, organisms, biological substances (and any constituents, progeny, mutants, derivatives, or replications thereof or therefrom), reagents or chemical compounds; (b) active pharmaceutical ingredient; (c) clinical trial supply of finished product; (d) batch records; (e) preclinical and clinical trial results (including raw and processed data); (f) biospecimens (e.g., tissue samples); (g) Regulatory Submissions (e.g., INDs) or Regulatory Approvals; and (h) any key data identified by the Parties related to a Product and necessary the Development, Manufacture or Commercialization of any Licensed Asset or Product in the Licensed Territory.</w:t>
      </w:r>
    </w:p>
    <w:p>
      <w:pPr>
        <w:spacing w:after="0" w:line="15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1.59</w:t>
      </w:r>
      <w:r>
        <w:rPr>
          <w:sz w:val="20"/>
          <w:szCs w:val="20"/>
          <w:color w:val="auto"/>
        </w:rPr>
        <w:tab/>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means the Collaboration and License Agreement entered into by Xencor and [***] dated [***].</w:t>
      </w:r>
    </w:p>
    <w:p>
      <w:pPr>
        <w:spacing w:after="0" w:line="179" w:lineRule="exact"/>
        <w:rPr>
          <w:sz w:val="20"/>
          <w:szCs w:val="20"/>
          <w:color w:val="auto"/>
        </w:rPr>
      </w:pPr>
    </w:p>
    <w:p>
      <w:pPr>
        <w:ind w:left="540" w:right="58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1.60</w:t>
      </w:r>
      <w:r>
        <w:rPr>
          <w:sz w:val="20"/>
          <w:szCs w:val="20"/>
          <w:color w:val="auto"/>
        </w:rPr>
        <w:tab/>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Flow-Through Know-How</w:t>
      </w:r>
      <w:r>
        <w:rPr>
          <w:rFonts w:ascii="Times New Roman" w:cs="Times New Roman" w:eastAsia="Times New Roman" w:hAnsi="Times New Roman"/>
          <w:sz w:val="15"/>
          <w:szCs w:val="15"/>
          <w:color w:val="auto"/>
        </w:rPr>
        <w:t>” means any and all [***] Know-How (as defined in the [***] Agreement) that, pursuant to the terms of the [***] Agreement, Xencor may sublicense to Licensee as contemplated in Section 2.1 hereunder.</w:t>
      </w:r>
    </w:p>
    <w:p>
      <w:pPr>
        <w:spacing w:after="0" w:line="141" w:lineRule="exact"/>
        <w:rPr>
          <w:sz w:val="20"/>
          <w:szCs w:val="20"/>
          <w:color w:val="auto"/>
        </w:rPr>
      </w:pPr>
    </w:p>
    <w:p>
      <w:pPr>
        <w:ind w:left="540" w:right="3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1.61</w:t>
      </w:r>
      <w:r>
        <w:rPr>
          <w:sz w:val="20"/>
          <w:szCs w:val="20"/>
          <w:color w:val="auto"/>
        </w:rPr>
        <w:tab/>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Flow-through Patent Rights</w:t>
      </w:r>
      <w:r>
        <w:rPr>
          <w:rFonts w:ascii="Times New Roman" w:cs="Times New Roman" w:eastAsia="Times New Roman" w:hAnsi="Times New Roman"/>
          <w:sz w:val="15"/>
          <w:szCs w:val="15"/>
          <w:color w:val="auto"/>
        </w:rPr>
        <w:t xml:space="preserve">” means any and all [***] Pre-Sublicensing Patents (as defined in the [***] Agreement) and Post-Sublicensing Patents (as defined in the [***] Agreement). All [***] Flow-Through Patent Rights existing as of the Execution Date are listed in </w:t>
      </w:r>
      <w:r>
        <w:rPr>
          <w:rFonts w:ascii="Times New Roman" w:cs="Times New Roman" w:eastAsia="Times New Roman" w:hAnsi="Times New Roman"/>
          <w:sz w:val="15"/>
          <w:szCs w:val="15"/>
          <w:u w:val="single" w:color="auto"/>
          <w:color w:val="auto"/>
        </w:rPr>
        <w:t>Schedule 1.61</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ind w:left="5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1.62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Net Sales</w:t>
      </w:r>
      <w:r>
        <w:rPr>
          <w:rFonts w:ascii="Times New Roman" w:cs="Times New Roman" w:eastAsia="Times New Roman" w:hAnsi="Times New Roman"/>
          <w:sz w:val="15"/>
          <w:szCs w:val="15"/>
          <w:color w:val="auto"/>
        </w:rPr>
        <w:t xml:space="preserve">” means, with respect to a Product for any period, the gross amount invoiced for sales of such Product during such period by Licensee, its Affiliates or Sublicensees to Third Parties (including distributors) in the Licensed Territory, in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arm’s length transactions, less the following deductions, in each case related specifically to such Product and actually incurred, paid or accrued by, and not otherwise recovered by or reimbursed to, Licensee, its Affiliates or Sublicensees:</w:t>
      </w:r>
    </w:p>
    <w:p>
      <w:pPr>
        <w:spacing w:after="0" w:line="149" w:lineRule="exact"/>
        <w:rPr>
          <w:sz w:val="20"/>
          <w:szCs w:val="20"/>
          <w:color w:val="auto"/>
        </w:rPr>
      </w:pPr>
    </w:p>
    <w:p>
      <w:pPr>
        <w:ind w:left="1600" w:hanging="537"/>
        <w:spacing w:after="0"/>
        <w:tabs>
          <w:tab w:leader="none" w:pos="160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0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2120" w:hanging="530"/>
        <w:spacing w:after="0"/>
        <w:tabs>
          <w:tab w:leader="none" w:pos="2120" w:val="left"/>
        </w:tabs>
        <w:numPr>
          <w:ilvl w:val="1"/>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2" w:right="339" w:bottom="1440" w:gutter="0" w:footer="0" w:header="0"/>
        </w:sectPr>
      </w:pPr>
    </w:p>
    <w:bookmarkStart w:id="349" w:name="page350"/>
    <w:bookmarkEnd w:id="349"/>
    <w:p>
      <w:pPr>
        <w:ind w:left="2120" w:hanging="530"/>
        <w:spacing w:after="0"/>
        <w:tabs>
          <w:tab w:leader="none" w:pos="2120"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2120" w:hanging="530"/>
        <w:spacing w:after="0"/>
        <w:tabs>
          <w:tab w:leader="none" w:pos="2120"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2120" w:hanging="530"/>
        <w:spacing w:after="0"/>
        <w:tabs>
          <w:tab w:leader="none" w:pos="2120"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540" w:right="52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1.63</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NMPA</w:t>
      </w:r>
      <w:r>
        <w:rPr>
          <w:rFonts w:ascii="Times New Roman" w:cs="Times New Roman" w:eastAsia="Times New Roman" w:hAnsi="Times New Roman"/>
          <w:sz w:val="15"/>
          <w:szCs w:val="15"/>
          <w:color w:val="auto"/>
        </w:rPr>
        <w:t>” means the National Medical Products Administration of People’s Republic of China and any successor agency(ies) or authority thereto having substantially the same function.</w:t>
      </w:r>
    </w:p>
    <w:p>
      <w:pPr>
        <w:spacing w:after="0" w:line="141" w:lineRule="exact"/>
        <w:rPr>
          <w:sz w:val="20"/>
          <w:szCs w:val="20"/>
          <w:color w:val="auto"/>
        </w:rPr>
      </w:pPr>
    </w:p>
    <w:p>
      <w:pPr>
        <w:ind w:left="540" w:right="100" w:hanging="526"/>
        <w:spacing w:after="0" w:line="252" w:lineRule="auto"/>
        <w:tabs>
          <w:tab w:leader="none" w:pos="520" w:val="left"/>
        </w:tabs>
        <w:rPr>
          <w:sz w:val="20"/>
          <w:szCs w:val="20"/>
          <w:color w:val="auto"/>
        </w:rPr>
      </w:pPr>
      <w:r>
        <w:rPr>
          <w:rFonts w:ascii="Times New Roman" w:cs="Times New Roman" w:eastAsia="Times New Roman" w:hAnsi="Times New Roman"/>
          <w:sz w:val="15"/>
          <w:szCs w:val="15"/>
          <w:color w:val="auto"/>
        </w:rPr>
        <w:t>1.64</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Patent Right</w:t>
      </w:r>
      <w:r>
        <w:rPr>
          <w:rFonts w:ascii="Times New Roman" w:cs="Times New Roman" w:eastAsia="Times New Roman" w:hAnsi="Times New Roman"/>
          <w:sz w:val="15"/>
          <w:szCs w:val="15"/>
          <w:color w:val="auto"/>
        </w:rPr>
        <w:t>” means any and all: (a) patent applications filed under Applicable Law in any jurisdiction, including all provisional applications, substitutions, continuations, continuations-in-part, divisions, renewals, and all patents granted thereon; (b) all patents-of-addition, reissues, reexaminations and adjustments, extensions or restorations by existing or future extension or restoration mechanisms, including supplementary protection certificates or the equivalent thereof; (c) inventor’s certificates; (d) any other form of government-issued right substantially similar to any of the foregoing; and (e) United States and foreign counterparts of any of the foregoing.</w:t>
      </w:r>
    </w:p>
    <w:p>
      <w:pPr>
        <w:spacing w:after="0" w:line="154" w:lineRule="exact"/>
        <w:rPr>
          <w:sz w:val="20"/>
          <w:szCs w:val="20"/>
          <w:color w:val="auto"/>
        </w:rPr>
      </w:pPr>
    </w:p>
    <w:p>
      <w:pPr>
        <w:ind w:left="5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1.65</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Patent Term Extension</w:t>
      </w:r>
      <w:r>
        <w:rPr>
          <w:rFonts w:ascii="Times New Roman" w:cs="Times New Roman" w:eastAsia="Times New Roman" w:hAnsi="Times New Roman"/>
          <w:sz w:val="15"/>
          <w:szCs w:val="15"/>
          <w:color w:val="auto"/>
        </w:rPr>
        <w:t>” means any term extensions, supplementary protection certificates and equivalents thereof offering Patent Right protection beyond the initial term with respect to any issued Patent Rights.</w:t>
      </w:r>
    </w:p>
    <w:p>
      <w:pPr>
        <w:spacing w:after="0" w:line="141" w:lineRule="exact"/>
        <w:rPr>
          <w:sz w:val="20"/>
          <w:szCs w:val="20"/>
          <w:color w:val="auto"/>
        </w:rPr>
      </w:pPr>
    </w:p>
    <w:p>
      <w:pPr>
        <w:ind w:left="540" w:right="280" w:hanging="526"/>
        <w:spacing w:after="0" w:line="306" w:lineRule="auto"/>
        <w:tabs>
          <w:tab w:leader="none" w:pos="520" w:val="left"/>
        </w:tabs>
        <w:rPr>
          <w:sz w:val="20"/>
          <w:szCs w:val="20"/>
          <w:color w:val="auto"/>
        </w:rPr>
      </w:pPr>
      <w:r>
        <w:rPr>
          <w:rFonts w:ascii="Times New Roman" w:cs="Times New Roman" w:eastAsia="Times New Roman" w:hAnsi="Times New Roman"/>
          <w:sz w:val="15"/>
          <w:szCs w:val="15"/>
          <w:color w:val="auto"/>
        </w:rPr>
        <w:t>1.66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or department or agency of a government.</w:t>
      </w:r>
    </w:p>
    <w:p>
      <w:pPr>
        <w:spacing w:after="0" w:line="117" w:lineRule="exact"/>
        <w:rPr>
          <w:sz w:val="20"/>
          <w:szCs w:val="20"/>
          <w:color w:val="auto"/>
        </w:rPr>
      </w:pPr>
    </w:p>
    <w:p>
      <w:pPr>
        <w:ind w:left="540" w:right="12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1.67</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PRC</w:t>
      </w:r>
      <w:r>
        <w:rPr>
          <w:rFonts w:ascii="Times New Roman" w:cs="Times New Roman" w:eastAsia="Times New Roman" w:hAnsi="Times New Roman"/>
          <w:sz w:val="15"/>
          <w:szCs w:val="15"/>
          <w:color w:val="auto"/>
        </w:rPr>
        <w:t>” means the People’s Republic of China, which for the purposes of this Agreement, shall include Hong Kong Special Administrative Region, the Macau Special Administrative Region and Taiwan, each of which shall be deemed a separate Region.</w:t>
      </w:r>
    </w:p>
    <w:p>
      <w:pPr>
        <w:spacing w:after="0" w:line="141" w:lineRule="exact"/>
        <w:rPr>
          <w:sz w:val="20"/>
          <w:szCs w:val="20"/>
          <w:color w:val="auto"/>
        </w:rPr>
      </w:pPr>
    </w:p>
    <w:p>
      <w:pPr>
        <w:jc w:val="both"/>
        <w:ind w:left="540" w:right="20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1.68</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Product</w:t>
      </w:r>
      <w:r>
        <w:rPr>
          <w:rFonts w:ascii="Times New Roman" w:cs="Times New Roman" w:eastAsia="Times New Roman" w:hAnsi="Times New Roman"/>
          <w:sz w:val="15"/>
          <w:szCs w:val="15"/>
          <w:color w:val="auto"/>
        </w:rPr>
        <w:t xml:space="preserve">” means, in relation to the Licensed Asset, any biological product in finished form that contains the Licensed Asset and all presentations, formulations, dosages and dosage forms thereof;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 Product does not include any proprietary Active Ingredient of XENCOR or any of its Affiliates (or any product containing such an Active Ingredient) other than the Licensed Asset (or any intellectual property rights related to any such other proprietary Active Ingredient).</w:t>
      </w:r>
    </w:p>
    <w:p>
      <w:pPr>
        <w:spacing w:after="0" w:line="1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1.69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Region</w:t>
      </w:r>
      <w:r>
        <w:rPr>
          <w:rFonts w:ascii="Times New Roman" w:cs="Times New Roman" w:eastAsia="Times New Roman" w:hAnsi="Times New Roman"/>
          <w:sz w:val="14"/>
          <w:szCs w:val="14"/>
          <w:color w:val="auto"/>
        </w:rPr>
        <w:t>” means a country [***].</w:t>
      </w:r>
    </w:p>
    <w:p>
      <w:pPr>
        <w:spacing w:after="0" w:line="179" w:lineRule="exact"/>
        <w:rPr>
          <w:sz w:val="20"/>
          <w:szCs w:val="20"/>
          <w:color w:val="auto"/>
        </w:rPr>
      </w:pPr>
    </w:p>
    <w:p>
      <w:pPr>
        <w:ind w:left="540" w:right="4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1.70</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Regulatory Approval</w:t>
      </w:r>
      <w:r>
        <w:rPr>
          <w:rFonts w:ascii="Times New Roman" w:cs="Times New Roman" w:eastAsia="Times New Roman" w:hAnsi="Times New Roman"/>
          <w:sz w:val="15"/>
          <w:szCs w:val="15"/>
          <w:color w:val="auto"/>
        </w:rPr>
        <w:t>” means the approval(s) and authorization(s) of a Regulatory Authority in a Region or regulatory jurisdiction necessary to Develop, Manufacture or Commercialize a product in such Region or regulatory jurisdiction (including pricing and reimbursement approval, where required), prior to the commencement of manufacture, sales, and distribution in such Region or regulatory jurisdiction (excluding compassionate use sales and other similar sales for which a limited approval is granted).</w:t>
      </w:r>
    </w:p>
    <w:p>
      <w:pPr>
        <w:spacing w:after="0" w:line="147" w:lineRule="exact"/>
        <w:rPr>
          <w:sz w:val="20"/>
          <w:szCs w:val="20"/>
          <w:color w:val="auto"/>
        </w:rPr>
      </w:pPr>
    </w:p>
    <w:p>
      <w:pPr>
        <w:ind w:left="540" w:right="30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1.71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Regulatory Authority</w:t>
      </w:r>
      <w:r>
        <w:rPr>
          <w:rFonts w:ascii="Times New Roman" w:cs="Times New Roman" w:eastAsia="Times New Roman" w:hAnsi="Times New Roman"/>
          <w:sz w:val="15"/>
          <w:szCs w:val="15"/>
          <w:color w:val="auto"/>
        </w:rPr>
        <w:t>” means the NMPA, US FDA, EMA or any Government Authority with similar regulatory authority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xml:space="preserve"> involved in granting Regulatory Approvals) in any other Region or regulatory jurisdiction anywhere in the world.</w:t>
      </w: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350" w:name="page351"/>
    <w:bookmarkEnd w:id="350"/>
    <w:p>
      <w:pPr>
        <w:jc w:val="both"/>
        <w:ind w:left="540" w:right="200" w:hanging="526"/>
        <w:spacing w:after="0" w:line="257" w:lineRule="auto"/>
        <w:tabs>
          <w:tab w:leader="none" w:pos="520" w:val="left"/>
        </w:tabs>
        <w:rPr>
          <w:sz w:val="20"/>
          <w:szCs w:val="20"/>
          <w:color w:val="auto"/>
        </w:rPr>
      </w:pPr>
      <w:r>
        <w:rPr>
          <w:rFonts w:ascii="Times New Roman" w:cs="Times New Roman" w:eastAsia="Times New Roman" w:hAnsi="Times New Roman"/>
          <w:sz w:val="15"/>
          <w:szCs w:val="15"/>
          <w:color w:val="auto"/>
        </w:rPr>
        <w:t>1.72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Regulatory Exclusivity</w:t>
      </w:r>
      <w:r>
        <w:rPr>
          <w:rFonts w:ascii="Times New Roman" w:cs="Times New Roman" w:eastAsia="Times New Roman" w:hAnsi="Times New Roman"/>
          <w:sz w:val="15"/>
          <w:szCs w:val="15"/>
          <w:color w:val="auto"/>
        </w:rPr>
        <w:t>” means any exclusive marketing rights or data exclusivity rights conferred by any Regulatory Authority with respect to a Product in a Region, other than a Patent Right (potentially including new clinical data exclusivity, orphan drug exclusivity, pediatric exclusivity, or rights similar thereto in other Regions), in each case, that confers exclusive rights to Licensee, its Affiliates or Sublicensees, as applicable to market such Product in such Region.</w:t>
      </w:r>
    </w:p>
    <w:p>
      <w:pPr>
        <w:spacing w:after="0" w:line="149" w:lineRule="exact"/>
        <w:rPr>
          <w:sz w:val="20"/>
          <w:szCs w:val="20"/>
          <w:color w:val="auto"/>
        </w:rPr>
      </w:pPr>
    </w:p>
    <w:p>
      <w:pPr>
        <w:ind w:left="540" w:right="100" w:hanging="526"/>
        <w:spacing w:after="0" w:line="250" w:lineRule="auto"/>
        <w:tabs>
          <w:tab w:leader="none" w:pos="520" w:val="left"/>
        </w:tabs>
        <w:rPr>
          <w:sz w:val="20"/>
          <w:szCs w:val="20"/>
          <w:color w:val="auto"/>
        </w:rPr>
      </w:pPr>
      <w:r>
        <w:rPr>
          <w:rFonts w:ascii="Times New Roman" w:cs="Times New Roman" w:eastAsia="Times New Roman" w:hAnsi="Times New Roman"/>
          <w:sz w:val="15"/>
          <w:szCs w:val="15"/>
          <w:color w:val="auto"/>
        </w:rPr>
        <w:t>1.73</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Regulatory Submissions</w:t>
      </w:r>
      <w:r>
        <w:rPr>
          <w:rFonts w:ascii="Times New Roman" w:cs="Times New Roman" w:eastAsia="Times New Roman" w:hAnsi="Times New Roman"/>
          <w:sz w:val="15"/>
          <w:szCs w:val="15"/>
          <w:color w:val="auto"/>
        </w:rPr>
        <w:t>” means applications for Regulatory Approval, notifications, communications, correspondence, meeting minutes, registrations, and other submissions made to or with a Regulatory Authority that are necessary or reasonably desirable to Develop, Manufacture or Commercialize a product in a Region or regulatory jurisdiction, whether obtained before or after a Regulatory Approval in such Region or regulatory jurisdiction, including investigative new drug applications and MAAs, and amendments, renewals and supplements to any of the foregoing and their foreign counterparts, applications for pricing and reimbursement approvals, and all proposed labels, labeling, package inserts, monographs and packaging for a product in a particular Region or regulatory jurisdiction.</w:t>
      </w:r>
    </w:p>
    <w:p>
      <w:pPr>
        <w:spacing w:after="0" w:line="156" w:lineRule="exact"/>
        <w:rPr>
          <w:sz w:val="20"/>
          <w:szCs w:val="20"/>
          <w:color w:val="auto"/>
        </w:rPr>
      </w:pPr>
    </w:p>
    <w:p>
      <w:pPr>
        <w:ind w:left="540" w:right="6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1.74</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Specified Joint Patent Rights</w:t>
      </w:r>
      <w:r>
        <w:rPr>
          <w:rFonts w:ascii="Times New Roman" w:cs="Times New Roman" w:eastAsia="Times New Roman" w:hAnsi="Times New Roman"/>
          <w:sz w:val="15"/>
          <w:szCs w:val="15"/>
          <w:color w:val="auto"/>
        </w:rPr>
        <w:t xml:space="preserve">” means any Patent Rights with one or more claims primarily based on the use of one or both of the biomarkers set forth in </w:t>
      </w:r>
      <w:r>
        <w:rPr>
          <w:rFonts w:ascii="Times New Roman" w:cs="Times New Roman" w:eastAsia="Times New Roman" w:hAnsi="Times New Roman"/>
          <w:sz w:val="15"/>
          <w:szCs w:val="15"/>
          <w:u w:val="single" w:color="auto"/>
          <w:color w:val="auto"/>
        </w:rPr>
        <w:t>Schedule 1.74</w:t>
      </w:r>
      <w:r>
        <w:rPr>
          <w:rFonts w:ascii="Times New Roman" w:cs="Times New Roman" w:eastAsia="Times New Roman" w:hAnsi="Times New Roman"/>
          <w:sz w:val="15"/>
          <w:szCs w:val="15"/>
          <w:color w:val="auto"/>
        </w:rPr>
        <w:t xml:space="preserve"> (in each case, either alone or in combination with other biomarkers) in the Field.</w:t>
      </w:r>
    </w:p>
    <w:p>
      <w:pPr>
        <w:spacing w:after="0" w:line="14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1.75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Third Party</w:t>
      </w:r>
      <w:r>
        <w:rPr>
          <w:rFonts w:ascii="Times New Roman" w:cs="Times New Roman" w:eastAsia="Times New Roman" w:hAnsi="Times New Roman"/>
          <w:sz w:val="14"/>
          <w:szCs w:val="14"/>
          <w:color w:val="auto"/>
        </w:rPr>
        <w:t>” means any Person other than XENCOR and its Affiliates, and Licensee and its Affiliates.</w:t>
      </w:r>
    </w:p>
    <w:p>
      <w:pPr>
        <w:spacing w:after="0" w:line="179" w:lineRule="exact"/>
        <w:rPr>
          <w:sz w:val="20"/>
          <w:szCs w:val="20"/>
          <w:color w:val="auto"/>
        </w:rPr>
      </w:pPr>
    </w:p>
    <w:p>
      <w:pPr>
        <w:ind w:left="540" w:right="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1.76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Trademark</w:t>
      </w:r>
      <w:r>
        <w:rPr>
          <w:rFonts w:ascii="Times New Roman" w:cs="Times New Roman" w:eastAsia="Times New Roman" w:hAnsi="Times New Roman"/>
          <w:sz w:val="15"/>
          <w:szCs w:val="15"/>
          <w:color w:val="auto"/>
        </w:rPr>
        <w:t>” means any trademark, trade name, service mark, service name, brand, trade dress, slogan or other indicia of origin or ownership, including registrations and applications therefor and the goodwill associated with each of the foregoing.</w:t>
      </w:r>
    </w:p>
    <w:p>
      <w:pPr>
        <w:spacing w:after="0" w:line="14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1.77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Upstream Licenses”</w:t>
      </w:r>
      <w:r>
        <w:rPr>
          <w:rFonts w:ascii="Times New Roman" w:cs="Times New Roman" w:eastAsia="Times New Roman" w:hAnsi="Times New Roman"/>
          <w:sz w:val="14"/>
          <w:szCs w:val="14"/>
          <w:color w:val="auto"/>
        </w:rPr>
        <w:t xml:space="preserve"> means the agreements set forth in </w:t>
      </w:r>
      <w:r>
        <w:rPr>
          <w:rFonts w:ascii="Times New Roman" w:cs="Times New Roman" w:eastAsia="Times New Roman" w:hAnsi="Times New Roman"/>
          <w:sz w:val="14"/>
          <w:szCs w:val="14"/>
          <w:u w:val="single" w:color="auto"/>
          <w:color w:val="auto"/>
        </w:rPr>
        <w:t>Schedule 1.77</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1.78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Upstream Licensors</w:t>
      </w:r>
      <w:r>
        <w:rPr>
          <w:rFonts w:ascii="Times New Roman" w:cs="Times New Roman" w:eastAsia="Times New Roman" w:hAnsi="Times New Roman"/>
          <w:sz w:val="14"/>
          <w:szCs w:val="14"/>
          <w:color w:val="auto"/>
        </w:rPr>
        <w:t>” means the counterparties of the Upstream Licenses.</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1.79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w:t>
      </w:r>
      <w:r>
        <w:rPr>
          <w:rFonts w:ascii="Times New Roman" w:cs="Times New Roman" w:eastAsia="Times New Roman" w:hAnsi="Times New Roman"/>
          <w:sz w:val="14"/>
          <w:szCs w:val="14"/>
          <w:color w:val="auto"/>
        </w:rPr>
        <w:t>” means the United States.</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1.80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FDA</w:t>
      </w:r>
      <w:r>
        <w:rPr>
          <w:rFonts w:ascii="Times New Roman" w:cs="Times New Roman" w:eastAsia="Times New Roman" w:hAnsi="Times New Roman"/>
          <w:sz w:val="14"/>
          <w:szCs w:val="14"/>
          <w:color w:val="auto"/>
        </w:rPr>
        <w:t>” means the United States Food and Drug Administration or any successor agency thereto.</w:t>
      </w:r>
    </w:p>
    <w:p>
      <w:pPr>
        <w:spacing w:after="0" w:line="179" w:lineRule="exact"/>
        <w:rPr>
          <w:sz w:val="20"/>
          <w:szCs w:val="20"/>
          <w:color w:val="auto"/>
        </w:rPr>
      </w:pPr>
    </w:p>
    <w:p>
      <w:pPr>
        <w:ind w:left="540" w:hanging="526"/>
        <w:spacing w:after="0" w:line="250" w:lineRule="auto"/>
        <w:tabs>
          <w:tab w:leader="none" w:pos="520" w:val="left"/>
        </w:tabs>
        <w:rPr>
          <w:sz w:val="20"/>
          <w:szCs w:val="20"/>
          <w:color w:val="auto"/>
        </w:rPr>
      </w:pPr>
      <w:r>
        <w:rPr>
          <w:rFonts w:ascii="Times New Roman" w:cs="Times New Roman" w:eastAsia="Times New Roman" w:hAnsi="Times New Roman"/>
          <w:sz w:val="15"/>
          <w:szCs w:val="15"/>
          <w:color w:val="auto"/>
        </w:rPr>
        <w:t>1.81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Valid Claim</w:t>
      </w:r>
      <w:r>
        <w:rPr>
          <w:rFonts w:ascii="Times New Roman" w:cs="Times New Roman" w:eastAsia="Times New Roman" w:hAnsi="Times New Roman"/>
          <w:sz w:val="15"/>
          <w:szCs w:val="15"/>
          <w:color w:val="auto"/>
        </w:rPr>
        <w:t xml:space="preserve">” means a claim of a Patent Right, which has not expired, been revoked or held unenforceable, unpatentable or invalid by a decision of a court or other Government Authority of competent jurisdiction, which is not appealable or has not been appealed within the time allowed for appeal, and which has not been abandoned, disclaimed, denied or admitted to be invalid or unenforceable through reissue, re-examination or disclaimer or other final, irrevocable action;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if a claim of a pending patent application has not issued within seven (7) years after the earliest filing date from which such claim takes priority, then such claim will not constitute a Valid Claim for the purposes of this Agreement unless and until a patent issues with such claim.</w:t>
      </w:r>
    </w:p>
    <w:p>
      <w:pPr>
        <w:spacing w:after="0" w:line="156" w:lineRule="exact"/>
        <w:rPr>
          <w:sz w:val="20"/>
          <w:szCs w:val="20"/>
          <w:color w:val="auto"/>
        </w:rPr>
      </w:pPr>
    </w:p>
    <w:p>
      <w:pPr>
        <w:ind w:left="540" w:right="40" w:hanging="526"/>
        <w:spacing w:after="0" w:line="249" w:lineRule="auto"/>
        <w:tabs>
          <w:tab w:leader="none" w:pos="520" w:val="left"/>
        </w:tabs>
        <w:rPr>
          <w:sz w:val="20"/>
          <w:szCs w:val="20"/>
          <w:color w:val="auto"/>
        </w:rPr>
      </w:pPr>
      <w:r>
        <w:rPr>
          <w:rFonts w:ascii="Times New Roman" w:cs="Times New Roman" w:eastAsia="Times New Roman" w:hAnsi="Times New Roman"/>
          <w:sz w:val="15"/>
          <w:szCs w:val="15"/>
          <w:color w:val="auto"/>
        </w:rPr>
        <w:t>1.82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XENCOR General Patent Rights</w:t>
      </w:r>
      <w:r>
        <w:rPr>
          <w:rFonts w:ascii="Times New Roman" w:cs="Times New Roman" w:eastAsia="Times New Roman" w:hAnsi="Times New Roman"/>
          <w:sz w:val="15"/>
          <w:szCs w:val="15"/>
          <w:color w:val="auto"/>
        </w:rPr>
        <w:t xml:space="preserve">” means (i) the Patent Rights identified on </w:t>
      </w:r>
      <w:r>
        <w:rPr>
          <w:rFonts w:ascii="Times New Roman" w:cs="Times New Roman" w:eastAsia="Times New Roman" w:hAnsi="Times New Roman"/>
          <w:sz w:val="15"/>
          <w:szCs w:val="15"/>
          <w:u w:val="single" w:color="auto"/>
          <w:color w:val="auto"/>
        </w:rPr>
        <w:t>Schedule 1.82,</w:t>
      </w:r>
      <w:r>
        <w:rPr>
          <w:rFonts w:ascii="Times New Roman" w:cs="Times New Roman" w:eastAsia="Times New Roman" w:hAnsi="Times New Roman"/>
          <w:sz w:val="15"/>
          <w:szCs w:val="15"/>
          <w:color w:val="auto"/>
        </w:rPr>
        <w:t xml:space="preserve"> (ii) with respect to such Patent Rights set forth on </w:t>
      </w:r>
      <w:r>
        <w:rPr>
          <w:rFonts w:ascii="Times New Roman" w:cs="Times New Roman" w:eastAsia="Times New Roman" w:hAnsi="Times New Roman"/>
          <w:sz w:val="15"/>
          <w:szCs w:val="15"/>
          <w:u w:val="single" w:color="auto"/>
          <w:color w:val="auto"/>
        </w:rPr>
        <w:t>Schedule 1.82</w:t>
      </w:r>
      <w:r>
        <w:rPr>
          <w:rFonts w:ascii="Times New Roman" w:cs="Times New Roman" w:eastAsia="Times New Roman" w:hAnsi="Times New Roman"/>
          <w:sz w:val="15"/>
          <w:szCs w:val="15"/>
          <w:color w:val="auto"/>
        </w:rPr>
        <w:t>, all provisional applications, substitutions, continuations, continuations-in-part, divisionals, renewals, patents of addition, reissues, reexaminations and extensions (other than XENCOR Product Specific Patent Rights), (iii) all international and domestic counterparts of any of the foregoing, (iv) any patents issuing from any patent application described in any of the foregoing, and (v) any other Patent Rights Controlled by Xencor or its Affiliates as of the Execution Date or during the License Term, including [***] Patents (as defined in the [***] Agreement), that (A) Cover the Development, Manufacture or Commercialization of Licensed Asset or Products, or (B) Cover Xencor Know-How. For the avoidance of doubt, XENCOR General Patent Rights exclude any Joint Patent Rights.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40"/>
          </w:cols>
          <w:pgMar w:left="300" w:top="763" w:right="359" w:bottom="1440" w:gutter="0" w:footer="0" w:header="0"/>
        </w:sectPr>
      </w:pPr>
    </w:p>
    <w:bookmarkStart w:id="351" w:name="page352"/>
    <w:bookmarkEnd w:id="351"/>
    <w:p>
      <w:pPr>
        <w:ind w:left="540" w:right="46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1.83</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XENCOR Intellectual Property</w:t>
      </w:r>
      <w:r>
        <w:rPr>
          <w:rFonts w:ascii="Times New Roman" w:cs="Times New Roman" w:eastAsia="Times New Roman" w:hAnsi="Times New Roman"/>
          <w:sz w:val="15"/>
          <w:szCs w:val="15"/>
          <w:color w:val="auto"/>
        </w:rPr>
        <w:t xml:space="preserve">” means the XENCOR Know-How, the XENCOR Patent Rights, any Product Trademark owned by XENCOR pursuant to </w:t>
      </w:r>
      <w:r>
        <w:rPr>
          <w:rFonts w:ascii="Times New Roman" w:cs="Times New Roman" w:eastAsia="Times New Roman" w:hAnsi="Times New Roman"/>
          <w:sz w:val="15"/>
          <w:szCs w:val="15"/>
          <w:u w:val="single" w:color="auto"/>
          <w:color w:val="auto"/>
        </w:rPr>
        <w:t>Section 12.4</w:t>
      </w:r>
      <w:r>
        <w:rPr>
          <w:rFonts w:ascii="Times New Roman" w:cs="Times New Roman" w:eastAsia="Times New Roman" w:hAnsi="Times New Roman"/>
          <w:sz w:val="15"/>
          <w:szCs w:val="15"/>
          <w:color w:val="auto"/>
        </w:rPr>
        <w:t>, and all intellectual property rights therein.</w:t>
      </w:r>
    </w:p>
    <w:p>
      <w:pPr>
        <w:spacing w:after="0" w:line="141" w:lineRule="exact"/>
        <w:rPr>
          <w:sz w:val="20"/>
          <w:szCs w:val="20"/>
          <w:color w:val="auto"/>
        </w:rPr>
      </w:pPr>
    </w:p>
    <w:p>
      <w:pPr>
        <w:jc w:val="right"/>
        <w:ind w:right="260"/>
        <w:spacing w:after="0" w:line="273" w:lineRule="auto"/>
        <w:rPr>
          <w:sz w:val="20"/>
          <w:szCs w:val="20"/>
          <w:color w:val="auto"/>
        </w:rPr>
      </w:pPr>
      <w:r>
        <w:rPr>
          <w:rFonts w:ascii="Times New Roman" w:cs="Times New Roman" w:eastAsia="Times New Roman" w:hAnsi="Times New Roman"/>
          <w:sz w:val="14"/>
          <w:szCs w:val="14"/>
          <w:color w:val="auto"/>
        </w:rPr>
        <w:t>1.84    “</w:t>
      </w:r>
      <w:r>
        <w:rPr>
          <w:rFonts w:ascii="Times New Roman" w:cs="Times New Roman" w:eastAsia="Times New Roman" w:hAnsi="Times New Roman"/>
          <w:sz w:val="14"/>
          <w:szCs w:val="14"/>
          <w:u w:val="single" w:color="auto"/>
          <w:color w:val="auto"/>
        </w:rPr>
        <w:t>XENCOR Know-How</w:t>
      </w:r>
      <w:r>
        <w:rPr>
          <w:rFonts w:ascii="Times New Roman" w:cs="Times New Roman" w:eastAsia="Times New Roman" w:hAnsi="Times New Roman"/>
          <w:sz w:val="14"/>
          <w:szCs w:val="14"/>
          <w:color w:val="auto"/>
        </w:rPr>
        <w:t>” means (i) all Know-How Controlled by XENCOR or its Affiliates as of the Execution Date or, if transferred by XENCOR to Licensee during the License Term for the corresponding Licensed Asset, that is necessary for the Development, Manufacture or Commercialization of any Licensed Asset or Product in the Licensed Territory,</w:t>
      </w:r>
    </w:p>
    <w:p>
      <w:pPr>
        <w:ind w:left="540" w:right="200" w:hanging="5"/>
        <w:spacing w:after="0" w:line="249" w:lineRule="auto"/>
        <w:tabs>
          <w:tab w:leader="none" w:pos="756"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Know-How that constitutes a XENCOR Invention, and (iii) all [***] Flow-Through Know-How. Notwithstanding the foregoing, in all cases, XENCOR Know-How does not include [***].</w:t>
      </w:r>
    </w:p>
    <w:p>
      <w:pPr>
        <w:spacing w:after="0" w:line="155" w:lineRule="exact"/>
        <w:rPr>
          <w:sz w:val="20"/>
          <w:szCs w:val="20"/>
          <w:color w:val="auto"/>
        </w:rPr>
      </w:pPr>
    </w:p>
    <w:p>
      <w:pPr>
        <w:ind w:left="540" w:right="14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1.85</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XENCOR Patent Rights</w:t>
      </w:r>
      <w:r>
        <w:rPr>
          <w:rFonts w:ascii="Times New Roman" w:cs="Times New Roman" w:eastAsia="Times New Roman" w:hAnsi="Times New Roman"/>
          <w:sz w:val="15"/>
          <w:szCs w:val="15"/>
          <w:color w:val="auto"/>
        </w:rPr>
        <w:t>” means all XENCOR General Patent Rights, all XENCOR Product Specific Patent Rights, and all [***] Flow-Through Patent Rights. For the avoidance of doubt, XENCOR Patent Rights exclude any Joint Patent Rights.</w:t>
      </w:r>
    </w:p>
    <w:p>
      <w:pPr>
        <w:spacing w:after="0" w:line="141" w:lineRule="exact"/>
        <w:rPr>
          <w:sz w:val="20"/>
          <w:szCs w:val="20"/>
          <w:color w:val="auto"/>
        </w:rPr>
      </w:pPr>
    </w:p>
    <w:p>
      <w:pPr>
        <w:ind w:left="540" w:right="40" w:hanging="526"/>
        <w:spacing w:after="0" w:line="248" w:lineRule="auto"/>
        <w:tabs>
          <w:tab w:leader="none" w:pos="520" w:val="left"/>
        </w:tabs>
        <w:rPr>
          <w:sz w:val="20"/>
          <w:szCs w:val="20"/>
          <w:color w:val="auto"/>
        </w:rPr>
      </w:pPr>
      <w:r>
        <w:rPr>
          <w:rFonts w:ascii="Times New Roman" w:cs="Times New Roman" w:eastAsia="Times New Roman" w:hAnsi="Times New Roman"/>
          <w:sz w:val="15"/>
          <w:szCs w:val="15"/>
          <w:color w:val="auto"/>
        </w:rPr>
        <w:t>1.86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XENCOR Product Specific Patent Rights</w:t>
      </w:r>
      <w:r>
        <w:rPr>
          <w:rFonts w:ascii="Times New Roman" w:cs="Times New Roman" w:eastAsia="Times New Roman" w:hAnsi="Times New Roman"/>
          <w:sz w:val="15"/>
          <w:szCs w:val="15"/>
          <w:color w:val="auto"/>
        </w:rPr>
        <w:t xml:space="preserve">” means (i) the Patent Rights identified on </w:t>
      </w:r>
      <w:r>
        <w:rPr>
          <w:rFonts w:ascii="Times New Roman" w:cs="Times New Roman" w:eastAsia="Times New Roman" w:hAnsi="Times New Roman"/>
          <w:sz w:val="15"/>
          <w:szCs w:val="15"/>
          <w:u w:val="single" w:color="auto"/>
          <w:color w:val="auto"/>
        </w:rPr>
        <w:t>Schedule 1.86</w:t>
      </w:r>
      <w:r>
        <w:rPr>
          <w:rFonts w:ascii="Times New Roman" w:cs="Times New Roman" w:eastAsia="Times New Roman" w:hAnsi="Times New Roman"/>
          <w:sz w:val="15"/>
          <w:szCs w:val="15"/>
          <w:color w:val="auto"/>
        </w:rPr>
        <w:t xml:space="preserve">, (ii) with respect to such Patent Rights set forth on </w:t>
      </w:r>
      <w:r>
        <w:rPr>
          <w:rFonts w:ascii="Times New Roman" w:cs="Times New Roman" w:eastAsia="Times New Roman" w:hAnsi="Times New Roman"/>
          <w:sz w:val="15"/>
          <w:szCs w:val="15"/>
          <w:u w:val="single" w:color="auto"/>
          <w:color w:val="auto"/>
        </w:rPr>
        <w:t>Schedule 1.86</w:t>
      </w:r>
      <w:r>
        <w:rPr>
          <w:rFonts w:ascii="Times New Roman" w:cs="Times New Roman" w:eastAsia="Times New Roman" w:hAnsi="Times New Roman"/>
          <w:sz w:val="15"/>
          <w:szCs w:val="15"/>
          <w:color w:val="auto"/>
        </w:rPr>
        <w:t>, all provisional applications, substitutions, continuations, continuations-in-part, divisionals, renewals, patents of addition, reissues, reexaminations and extensions, in each case, that solely and specifically Cover the Licensed Asset or Product, (iii) all continuations, continuations-in-part, and divisionals of the XENCOR General Patent Rights filed after the Execution Date, in each case, that solely and specifically Cover the Licensed Asset or Product, (iv) all international and domestic counterparts of any of the foregoing, (v) any patents issuing from any patent application described in any of the foregoing (including, without limitation, all renewals, patents of additions, reissues, reexaminations and extensions of any patent issuing from a continuation, continuation-in-part or divisional referenced in clause (iii)), and (vi) any Patent Rights that claim XENCOR Inventions. For the avoidance of doubt, XENCOR Product Specific Patent Rights exclude any Joint Patent Rights.</w:t>
      </w:r>
    </w:p>
    <w:p>
      <w:pPr>
        <w:spacing w:after="0" w:line="15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1.87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XmAb5871 Program Antibodies</w:t>
      </w:r>
      <w:r>
        <w:rPr>
          <w:rFonts w:ascii="Times New Roman" w:cs="Times New Roman" w:eastAsia="Times New Roman" w:hAnsi="Times New Roman"/>
          <w:sz w:val="14"/>
          <w:szCs w:val="14"/>
          <w:color w:val="auto"/>
        </w:rPr>
        <w:t>” shall have the meaning ascribed to such term in the [***] Agreement as of the Execution Date.</w:t>
      </w:r>
    </w:p>
    <w:p>
      <w:pPr>
        <w:spacing w:after="0" w:line="1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1.88</w:t>
      </w:r>
      <w:r>
        <w:rPr>
          <w:sz w:val="20"/>
          <w:szCs w:val="20"/>
          <w:color w:val="auto"/>
        </w:rPr>
        <w:tab/>
      </w:r>
      <w:r>
        <w:rPr>
          <w:rFonts w:ascii="Times New Roman" w:cs="Times New Roman" w:eastAsia="Times New Roman" w:hAnsi="Times New Roman"/>
          <w:sz w:val="14"/>
          <w:szCs w:val="14"/>
          <w:b w:val="1"/>
          <w:bCs w:val="1"/>
          <w:color w:val="auto"/>
        </w:rPr>
        <w:t>Other Defined Terms</w:t>
      </w:r>
      <w:r>
        <w:rPr>
          <w:rFonts w:ascii="Times New Roman" w:cs="Times New Roman" w:eastAsia="Times New Roman" w:hAnsi="Times New Roman"/>
          <w:sz w:val="14"/>
          <w:szCs w:val="14"/>
          <w:color w:val="auto"/>
        </w:rPr>
        <w:t>. The following terms shall have the meanings defined for such terms in the Sections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8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Acquirer</w:t>
            </w:r>
          </w:p>
        </w:tc>
        <w:tc>
          <w:tcPr>
            <w:tcW w:w="630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Section 2.5.3</w:t>
            </w:r>
          </w:p>
        </w:tc>
      </w:tr>
      <w:tr>
        <w:trPr>
          <w:trHeight w:val="20"/>
        </w:trPr>
        <w:tc>
          <w:tcPr>
            <w:tcW w:w="4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Acting Improperly</w:t>
            </w:r>
          </w:p>
        </w:tc>
        <w:tc>
          <w:tcPr>
            <w:tcW w:w="6300" w:type="dxa"/>
            <w:vAlign w:val="bottom"/>
            <w:gridSpan w:val="8"/>
          </w:tcPr>
          <w:p>
            <w:pPr>
              <w:spacing w:after="0" w:line="156" w:lineRule="exact"/>
              <w:rPr>
                <w:sz w:val="20"/>
                <w:szCs w:val="20"/>
                <w:color w:val="auto"/>
              </w:rPr>
            </w:pPr>
            <w:r>
              <w:rPr>
                <w:rFonts w:ascii="Times New Roman" w:cs="Times New Roman" w:eastAsia="Times New Roman" w:hAnsi="Times New Roman"/>
                <w:sz w:val="15"/>
                <w:szCs w:val="15"/>
                <w:color w:val="auto"/>
              </w:rPr>
              <w:t>Section 10.3.3(b)</w:t>
            </w: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Agreement</w:t>
            </w:r>
          </w:p>
        </w:tc>
        <w:tc>
          <w:tcPr>
            <w:tcW w:w="1000" w:type="dxa"/>
            <w:vAlign w:val="bottom"/>
            <w:tcBorders>
              <w:top w:val="single" w:sz="8" w:color="auto"/>
            </w:tcBorders>
            <w:gridSpan w:val="7"/>
          </w:tcPr>
          <w:p>
            <w:pPr>
              <w:spacing w:after="0" w:line="156" w:lineRule="exact"/>
              <w:rPr>
                <w:sz w:val="20"/>
                <w:szCs w:val="20"/>
                <w:color w:val="auto"/>
              </w:rPr>
            </w:pPr>
            <w:r>
              <w:rPr>
                <w:rFonts w:ascii="Times New Roman" w:cs="Times New Roman" w:eastAsia="Times New Roman" w:hAnsi="Times New Roman"/>
                <w:sz w:val="15"/>
                <w:szCs w:val="15"/>
                <w:color w:val="auto"/>
              </w:rPr>
              <w:t>Preamble</w:t>
            </w:r>
          </w:p>
        </w:tc>
        <w:tc>
          <w:tcPr>
            <w:tcW w:w="5300" w:type="dxa"/>
            <w:vAlign w:val="bottom"/>
          </w:tcPr>
          <w:p>
            <w:pPr>
              <w:spacing w:after="0"/>
              <w:rPr>
                <w:sz w:val="13"/>
                <w:szCs w:val="13"/>
                <w:color w:val="auto"/>
              </w:rPr>
            </w:pPr>
          </w:p>
        </w:tc>
      </w:tr>
      <w:tr>
        <w:trPr>
          <w:trHeight w:val="20"/>
        </w:trPr>
        <w:tc>
          <w:tcPr>
            <w:tcW w:w="4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Anti-Corruption Policies</w:t>
            </w:r>
          </w:p>
        </w:tc>
        <w:tc>
          <w:tcPr>
            <w:tcW w:w="860" w:type="dxa"/>
            <w:vAlign w:val="bottom"/>
            <w:tcBorders>
              <w:bottom w:val="single" w:sz="8" w:color="auto"/>
            </w:tcBorders>
            <w:gridSpan w:val="6"/>
          </w:tcPr>
          <w:p>
            <w:pPr>
              <w:spacing w:after="0" w:line="156" w:lineRule="exact"/>
              <w:rPr>
                <w:sz w:val="20"/>
                <w:szCs w:val="20"/>
                <w:color w:val="auto"/>
              </w:rPr>
            </w:pPr>
            <w:r>
              <w:rPr>
                <w:rFonts w:ascii="Times New Roman" w:cs="Times New Roman" w:eastAsia="Times New Roman" w:hAnsi="Times New Roman"/>
                <w:sz w:val="15"/>
                <w:szCs w:val="15"/>
                <w:color w:val="auto"/>
                <w:w w:val="97"/>
              </w:rPr>
              <w:t>Section 10.3.1</w:t>
            </w:r>
          </w:p>
        </w:tc>
        <w:tc>
          <w:tcPr>
            <w:tcW w:w="5440" w:type="dxa"/>
            <w:vAlign w:val="bottom"/>
            <w:gridSpan w:val="2"/>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Arbitral Tribunal</w:t>
            </w:r>
          </w:p>
        </w:tc>
        <w:tc>
          <w:tcPr>
            <w:tcW w:w="860" w:type="dxa"/>
            <w:vAlign w:val="bottom"/>
            <w:tcBorders>
              <w:bottom w:val="single" w:sz="8" w:color="auto"/>
            </w:tcBorders>
            <w:gridSpan w:val="6"/>
          </w:tcPr>
          <w:p>
            <w:pPr>
              <w:spacing w:after="0" w:line="156" w:lineRule="exact"/>
              <w:rPr>
                <w:sz w:val="20"/>
                <w:szCs w:val="20"/>
                <w:color w:val="auto"/>
              </w:rPr>
            </w:pPr>
            <w:r>
              <w:rPr>
                <w:rFonts w:ascii="Times New Roman" w:cs="Times New Roman" w:eastAsia="Times New Roman" w:hAnsi="Times New Roman"/>
                <w:sz w:val="15"/>
                <w:szCs w:val="15"/>
                <w:color w:val="auto"/>
                <w:w w:val="97"/>
              </w:rPr>
              <w:t>Section 16.3.3</w:t>
            </w:r>
          </w:p>
        </w:tc>
        <w:tc>
          <w:tcPr>
            <w:tcW w:w="5440" w:type="dxa"/>
            <w:vAlign w:val="bottom"/>
            <w:gridSpan w:val="2"/>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Claimant</w:t>
            </w:r>
          </w:p>
        </w:tc>
        <w:tc>
          <w:tcPr>
            <w:tcW w:w="840" w:type="dxa"/>
            <w:vAlign w:val="bottom"/>
            <w:tcBorders>
              <w:bottom w:val="single" w:sz="8" w:color="auto"/>
            </w:tcBorders>
            <w:gridSpan w:val="5"/>
          </w:tcPr>
          <w:p>
            <w:pPr>
              <w:spacing w:after="0" w:line="156" w:lineRule="exact"/>
              <w:rPr>
                <w:sz w:val="20"/>
                <w:szCs w:val="20"/>
                <w:color w:val="auto"/>
              </w:rPr>
            </w:pPr>
            <w:r>
              <w:rPr>
                <w:rFonts w:ascii="Times New Roman" w:cs="Times New Roman" w:eastAsia="Times New Roman" w:hAnsi="Times New Roman"/>
                <w:sz w:val="15"/>
                <w:szCs w:val="15"/>
                <w:color w:val="auto"/>
                <w:w w:val="95"/>
              </w:rPr>
              <w:t>Section 16.3.3</w:t>
            </w:r>
          </w:p>
        </w:tc>
        <w:tc>
          <w:tcPr>
            <w:tcW w:w="5460" w:type="dxa"/>
            <w:vAlign w:val="bottom"/>
            <w:gridSpan w:val="3"/>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CNIPA</w:t>
            </w:r>
          </w:p>
        </w:tc>
        <w:tc>
          <w:tcPr>
            <w:tcW w:w="800" w:type="dxa"/>
            <w:vAlign w:val="bottom"/>
            <w:tcBorders>
              <w:bottom w:val="single" w:sz="8" w:color="auto"/>
            </w:tcBorders>
            <w:gridSpan w:val="4"/>
          </w:tcPr>
          <w:p>
            <w:pPr>
              <w:spacing w:after="0" w:line="156" w:lineRule="exact"/>
              <w:rPr>
                <w:sz w:val="20"/>
                <w:szCs w:val="20"/>
                <w:color w:val="auto"/>
              </w:rPr>
            </w:pPr>
            <w:r>
              <w:rPr>
                <w:rFonts w:ascii="Times New Roman" w:cs="Times New Roman" w:eastAsia="Times New Roman" w:hAnsi="Times New Roman"/>
                <w:sz w:val="15"/>
                <w:szCs w:val="15"/>
                <w:color w:val="auto"/>
                <w:w w:val="94"/>
              </w:rPr>
              <w:t>Section 12.12</w:t>
            </w:r>
          </w:p>
        </w:tc>
        <w:tc>
          <w:tcPr>
            <w:tcW w:w="5500" w:type="dxa"/>
            <w:vAlign w:val="bottom"/>
            <w:gridSpan w:val="4"/>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Commercialization Plan</w:t>
            </w:r>
          </w:p>
        </w:tc>
        <w:tc>
          <w:tcPr>
            <w:tcW w:w="660" w:type="dxa"/>
            <w:vAlign w:val="bottom"/>
            <w:tcBorders>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5"/>
                <w:szCs w:val="15"/>
                <w:color w:val="auto"/>
                <w:w w:val="94"/>
              </w:rPr>
              <w:t>Section 8.2</w:t>
            </w:r>
          </w:p>
        </w:tc>
        <w:tc>
          <w:tcPr>
            <w:tcW w:w="5640" w:type="dxa"/>
            <w:vAlign w:val="bottom"/>
            <w:gridSpan w:val="6"/>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Competing Activities</w:t>
            </w:r>
          </w:p>
        </w:tc>
        <w:tc>
          <w:tcPr>
            <w:tcW w:w="6300" w:type="dxa"/>
            <w:vAlign w:val="bottom"/>
            <w:gridSpan w:val="8"/>
          </w:tcPr>
          <w:p>
            <w:pPr>
              <w:spacing w:after="0" w:line="156" w:lineRule="exact"/>
              <w:rPr>
                <w:sz w:val="20"/>
                <w:szCs w:val="20"/>
                <w:color w:val="auto"/>
              </w:rPr>
            </w:pPr>
            <w:r>
              <w:rPr>
                <w:rFonts w:ascii="Times New Roman" w:cs="Times New Roman" w:eastAsia="Times New Roman" w:hAnsi="Times New Roman"/>
                <w:sz w:val="15"/>
                <w:szCs w:val="15"/>
                <w:color w:val="auto"/>
              </w:rPr>
              <w:t>Section 2.5.3</w:t>
            </w:r>
          </w:p>
        </w:tc>
      </w:tr>
      <w:tr>
        <w:trPr>
          <w:trHeight w:val="562"/>
        </w:trPr>
        <w:tc>
          <w:tcPr>
            <w:tcW w:w="498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gridSpan w:val="3"/>
          </w:tcPr>
          <w:p>
            <w:pPr>
              <w:ind w:left="580"/>
              <w:spacing w:after="0"/>
              <w:rPr>
                <w:sz w:val="20"/>
                <w:szCs w:val="20"/>
                <w:color w:val="auto"/>
              </w:rPr>
            </w:pPr>
            <w:r>
              <w:rPr>
                <w:rFonts w:ascii="Times New Roman" w:cs="Times New Roman" w:eastAsia="Times New Roman" w:hAnsi="Times New Roman"/>
                <w:sz w:val="15"/>
                <w:szCs w:val="15"/>
                <w:color w:val="auto"/>
              </w:rPr>
              <w:t>11</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62" w:right="319" w:bottom="1440" w:gutter="0" w:footer="0" w:header="0"/>
        </w:sectPr>
      </w:pPr>
    </w:p>
    <w:bookmarkStart w:id="352" w:name="page353"/>
    <w:bookmarkEnd w:id="3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8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Consideration Election Notice</w:t>
            </w:r>
          </w:p>
        </w:tc>
        <w:tc>
          <w:tcPr>
            <w:tcW w:w="630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Section 9.2.1(a)</w:t>
            </w: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Development Plan</w:t>
            </w:r>
          </w:p>
        </w:tc>
        <w:tc>
          <w:tcPr>
            <w:tcW w:w="660" w:type="dxa"/>
            <w:vAlign w:val="bottom"/>
            <w:tcBorders>
              <w:top w:val="single" w:sz="8" w:color="auto"/>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5"/>
                <w:szCs w:val="15"/>
                <w:color w:val="auto"/>
                <w:w w:val="94"/>
              </w:rPr>
              <w:t>Section 5.2</w:t>
            </w:r>
          </w:p>
        </w:tc>
        <w:tc>
          <w:tcPr>
            <w:tcW w:w="260" w:type="dxa"/>
            <w:vAlign w:val="bottom"/>
            <w:tcBorders>
              <w:top w:val="single" w:sz="8" w:color="auto"/>
            </w:tcBorders>
            <w:gridSpan w:val="6"/>
          </w:tcPr>
          <w:p>
            <w:pPr>
              <w:spacing w:after="0"/>
              <w:rPr>
                <w:sz w:val="13"/>
                <w:szCs w:val="13"/>
                <w:color w:val="auto"/>
              </w:rPr>
            </w:pPr>
          </w:p>
        </w:tc>
        <w:tc>
          <w:tcPr>
            <w:tcW w:w="5380" w:type="dxa"/>
            <w:vAlign w:val="bottom"/>
            <w:gridSpan w:val="4"/>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Development Milestone Equity Consideration</w:t>
            </w:r>
          </w:p>
        </w:tc>
        <w:tc>
          <w:tcPr>
            <w:tcW w:w="6300" w:type="dxa"/>
            <w:vAlign w:val="bottom"/>
            <w:gridSpan w:val="12"/>
          </w:tcPr>
          <w:p>
            <w:pPr>
              <w:spacing w:after="0" w:line="156" w:lineRule="exact"/>
              <w:rPr>
                <w:sz w:val="20"/>
                <w:szCs w:val="20"/>
                <w:color w:val="auto"/>
              </w:rPr>
            </w:pPr>
            <w:r>
              <w:rPr>
                <w:rFonts w:ascii="Times New Roman" w:cs="Times New Roman" w:eastAsia="Times New Roman" w:hAnsi="Times New Roman"/>
                <w:sz w:val="15"/>
                <w:szCs w:val="15"/>
                <w:color w:val="auto"/>
              </w:rPr>
              <w:t>Section 9.2.1(a)</w:t>
            </w: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Disclosing Party</w:t>
            </w:r>
          </w:p>
        </w:tc>
        <w:tc>
          <w:tcPr>
            <w:tcW w:w="860" w:type="dxa"/>
            <w:vAlign w:val="bottom"/>
            <w:tcBorders>
              <w:top w:val="single" w:sz="8" w:color="auto"/>
              <w:bottom w:val="single" w:sz="8" w:color="auto"/>
            </w:tcBorders>
            <w:gridSpan w:val="7"/>
          </w:tcPr>
          <w:p>
            <w:pPr>
              <w:spacing w:after="0" w:line="156" w:lineRule="exact"/>
              <w:rPr>
                <w:sz w:val="20"/>
                <w:szCs w:val="20"/>
                <w:color w:val="auto"/>
              </w:rPr>
            </w:pPr>
            <w:r>
              <w:rPr>
                <w:rFonts w:ascii="Times New Roman" w:cs="Times New Roman" w:eastAsia="Times New Roman" w:hAnsi="Times New Roman"/>
                <w:sz w:val="15"/>
                <w:szCs w:val="15"/>
                <w:color w:val="auto"/>
                <w:w w:val="97"/>
              </w:rPr>
              <w:t>Section 10.1.1</w:t>
            </w:r>
          </w:p>
        </w:tc>
        <w:tc>
          <w:tcPr>
            <w:tcW w:w="60" w:type="dxa"/>
            <w:vAlign w:val="bottom"/>
            <w:tcBorders>
              <w:top w:val="single" w:sz="8" w:color="auto"/>
            </w:tcBorders>
          </w:tcPr>
          <w:p>
            <w:pPr>
              <w:spacing w:after="0"/>
              <w:rPr>
                <w:sz w:val="13"/>
                <w:szCs w:val="13"/>
                <w:color w:val="auto"/>
              </w:rPr>
            </w:pPr>
          </w:p>
        </w:tc>
        <w:tc>
          <w:tcPr>
            <w:tcW w:w="5380" w:type="dxa"/>
            <w:vAlign w:val="bottom"/>
            <w:gridSpan w:val="4"/>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Dispute</w:t>
            </w:r>
          </w:p>
        </w:tc>
        <w:tc>
          <w:tcPr>
            <w:tcW w:w="860" w:type="dxa"/>
            <w:vAlign w:val="bottom"/>
            <w:tcBorders>
              <w:bottom w:val="single" w:sz="8" w:color="auto"/>
            </w:tcBorders>
            <w:gridSpan w:val="7"/>
          </w:tcPr>
          <w:p>
            <w:pPr>
              <w:spacing w:after="0" w:line="156" w:lineRule="exact"/>
              <w:rPr>
                <w:sz w:val="20"/>
                <w:szCs w:val="20"/>
                <w:color w:val="auto"/>
              </w:rPr>
            </w:pPr>
            <w:r>
              <w:rPr>
                <w:rFonts w:ascii="Times New Roman" w:cs="Times New Roman" w:eastAsia="Times New Roman" w:hAnsi="Times New Roman"/>
                <w:sz w:val="15"/>
                <w:szCs w:val="15"/>
                <w:color w:val="auto"/>
                <w:w w:val="97"/>
              </w:rPr>
              <w:t>Section 16.3.1</w:t>
            </w:r>
          </w:p>
        </w:tc>
        <w:tc>
          <w:tcPr>
            <w:tcW w:w="5440" w:type="dxa"/>
            <w:vAlign w:val="bottom"/>
            <w:gridSpan w:val="5"/>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Effective Date</w:t>
            </w:r>
          </w:p>
        </w:tc>
        <w:tc>
          <w:tcPr>
            <w:tcW w:w="860" w:type="dxa"/>
            <w:vAlign w:val="bottom"/>
            <w:tcBorders>
              <w:bottom w:val="single" w:sz="8" w:color="auto"/>
            </w:tcBorders>
            <w:gridSpan w:val="7"/>
          </w:tcPr>
          <w:p>
            <w:pPr>
              <w:spacing w:after="0" w:line="156" w:lineRule="exact"/>
              <w:rPr>
                <w:sz w:val="20"/>
                <w:szCs w:val="20"/>
                <w:color w:val="auto"/>
              </w:rPr>
            </w:pPr>
            <w:r>
              <w:rPr>
                <w:rFonts w:ascii="Times New Roman" w:cs="Times New Roman" w:eastAsia="Times New Roman" w:hAnsi="Times New Roman"/>
                <w:sz w:val="15"/>
                <w:szCs w:val="15"/>
                <w:color w:val="auto"/>
                <w:w w:val="97"/>
              </w:rPr>
              <w:t>Section 14.1.2</w:t>
            </w:r>
          </w:p>
        </w:tc>
        <w:tc>
          <w:tcPr>
            <w:tcW w:w="5440" w:type="dxa"/>
            <w:vAlign w:val="bottom"/>
            <w:gridSpan w:val="5"/>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Equity Consideration</w:t>
            </w:r>
          </w:p>
        </w:tc>
        <w:tc>
          <w:tcPr>
            <w:tcW w:w="1020" w:type="dxa"/>
            <w:vAlign w:val="bottom"/>
            <w:tcBorders>
              <w:bottom w:val="single" w:sz="8" w:color="auto"/>
            </w:tcBorders>
            <w:gridSpan w:val="10"/>
          </w:tcPr>
          <w:p>
            <w:pPr>
              <w:spacing w:after="0" w:line="156" w:lineRule="exact"/>
              <w:rPr>
                <w:sz w:val="20"/>
                <w:szCs w:val="20"/>
                <w:color w:val="auto"/>
              </w:rPr>
            </w:pPr>
            <w:r>
              <w:rPr>
                <w:rFonts w:ascii="Times New Roman" w:cs="Times New Roman" w:eastAsia="Times New Roman" w:hAnsi="Times New Roman"/>
                <w:sz w:val="15"/>
                <w:szCs w:val="15"/>
                <w:color w:val="auto"/>
                <w:w w:val="96"/>
              </w:rPr>
              <w:t>Section 14.1.2(b)</w:t>
            </w:r>
          </w:p>
        </w:tc>
        <w:tc>
          <w:tcPr>
            <w:tcW w:w="5280" w:type="dxa"/>
            <w:vAlign w:val="bottom"/>
            <w:gridSpan w:val="2"/>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Execution Date</w:t>
            </w:r>
          </w:p>
        </w:tc>
        <w:tc>
          <w:tcPr>
            <w:tcW w:w="6300" w:type="dxa"/>
            <w:vAlign w:val="bottom"/>
            <w:gridSpan w:val="12"/>
          </w:tcPr>
          <w:p>
            <w:pPr>
              <w:spacing w:after="0" w:line="156" w:lineRule="exact"/>
              <w:rPr>
                <w:sz w:val="20"/>
                <w:szCs w:val="20"/>
                <w:color w:val="auto"/>
              </w:rPr>
            </w:pPr>
            <w:r>
              <w:rPr>
                <w:rFonts w:ascii="Times New Roman" w:cs="Times New Roman" w:eastAsia="Times New Roman" w:hAnsi="Times New Roman"/>
                <w:sz w:val="15"/>
                <w:szCs w:val="15"/>
                <w:color w:val="auto"/>
              </w:rPr>
              <w:t>Preamble</w:t>
            </w:r>
          </w:p>
        </w:tc>
      </w:tr>
      <w:tr>
        <w:trPr>
          <w:trHeight w:val="20"/>
        </w:trPr>
        <w:tc>
          <w:tcPr>
            <w:tcW w:w="4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Final Subsequent Closing</w:t>
            </w:r>
          </w:p>
        </w:tc>
        <w:tc>
          <w:tcPr>
            <w:tcW w:w="840" w:type="dxa"/>
            <w:vAlign w:val="bottom"/>
            <w:tcBorders>
              <w:bottom w:val="single" w:sz="8" w:color="auto"/>
            </w:tcBorders>
            <w:gridSpan w:val="6"/>
          </w:tcPr>
          <w:p>
            <w:pPr>
              <w:spacing w:after="0" w:line="156" w:lineRule="exact"/>
              <w:rPr>
                <w:sz w:val="20"/>
                <w:szCs w:val="20"/>
                <w:color w:val="auto"/>
              </w:rPr>
            </w:pPr>
            <w:r>
              <w:rPr>
                <w:rFonts w:ascii="Times New Roman" w:cs="Times New Roman" w:eastAsia="Times New Roman" w:hAnsi="Times New Roman"/>
                <w:sz w:val="15"/>
                <w:szCs w:val="15"/>
                <w:color w:val="auto"/>
                <w:w w:val="95"/>
              </w:rPr>
              <w:t>Section 14.1.4</w:t>
            </w:r>
          </w:p>
        </w:tc>
        <w:tc>
          <w:tcPr>
            <w:tcW w:w="5460" w:type="dxa"/>
            <w:vAlign w:val="bottom"/>
            <w:gridSpan w:val="6"/>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Force Majeure Event</w:t>
            </w:r>
          </w:p>
        </w:tc>
        <w:tc>
          <w:tcPr>
            <w:tcW w:w="6300" w:type="dxa"/>
            <w:vAlign w:val="bottom"/>
            <w:gridSpan w:val="12"/>
          </w:tcPr>
          <w:p>
            <w:pPr>
              <w:spacing w:after="0" w:line="156" w:lineRule="exact"/>
              <w:rPr>
                <w:sz w:val="20"/>
                <w:szCs w:val="20"/>
                <w:color w:val="auto"/>
              </w:rPr>
            </w:pPr>
            <w:r>
              <w:rPr>
                <w:rFonts w:ascii="Times New Roman" w:cs="Times New Roman" w:eastAsia="Times New Roman" w:hAnsi="Times New Roman"/>
                <w:sz w:val="15"/>
                <w:szCs w:val="15"/>
                <w:color w:val="auto"/>
              </w:rPr>
              <w:t>Section 16.4</w:t>
            </w:r>
          </w:p>
        </w:tc>
      </w:tr>
      <w:tr>
        <w:trPr>
          <w:trHeight w:val="20"/>
        </w:trPr>
        <w:tc>
          <w:tcPr>
            <w:tcW w:w="498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Force Majeure Party</w:t>
            </w:r>
          </w:p>
        </w:tc>
        <w:tc>
          <w:tcPr>
            <w:tcW w:w="6300" w:type="dxa"/>
            <w:vAlign w:val="bottom"/>
            <w:gridSpan w:val="12"/>
          </w:tcPr>
          <w:p>
            <w:pPr>
              <w:spacing w:after="0" w:line="156" w:lineRule="exact"/>
              <w:rPr>
                <w:sz w:val="20"/>
                <w:szCs w:val="20"/>
                <w:color w:val="auto"/>
              </w:rPr>
            </w:pPr>
            <w:r>
              <w:rPr>
                <w:rFonts w:ascii="Times New Roman" w:cs="Times New Roman" w:eastAsia="Times New Roman" w:hAnsi="Times New Roman"/>
                <w:sz w:val="15"/>
                <w:szCs w:val="15"/>
                <w:color w:val="auto"/>
              </w:rPr>
              <w:t>Section 16.4</w:t>
            </w:r>
          </w:p>
        </w:tc>
      </w:tr>
      <w:tr>
        <w:trPr>
          <w:trHeight w:val="20"/>
        </w:trPr>
        <w:tc>
          <w:tcPr>
            <w:tcW w:w="498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Fully Diluted Capitalization</w:t>
            </w:r>
          </w:p>
        </w:tc>
        <w:tc>
          <w:tcPr>
            <w:tcW w:w="1020" w:type="dxa"/>
            <w:vAlign w:val="bottom"/>
            <w:tcBorders>
              <w:bottom w:val="single" w:sz="8" w:color="auto"/>
            </w:tcBorders>
            <w:gridSpan w:val="10"/>
          </w:tcPr>
          <w:p>
            <w:pPr>
              <w:spacing w:after="0" w:line="156" w:lineRule="exact"/>
              <w:rPr>
                <w:sz w:val="20"/>
                <w:szCs w:val="20"/>
                <w:color w:val="auto"/>
              </w:rPr>
            </w:pPr>
            <w:r>
              <w:rPr>
                <w:rFonts w:ascii="Times New Roman" w:cs="Times New Roman" w:eastAsia="Times New Roman" w:hAnsi="Times New Roman"/>
                <w:sz w:val="15"/>
                <w:szCs w:val="15"/>
                <w:color w:val="auto"/>
                <w:w w:val="96"/>
              </w:rPr>
              <w:t>Section 14.1.2(b)</w:t>
            </w:r>
          </w:p>
        </w:tc>
        <w:tc>
          <w:tcPr>
            <w:tcW w:w="5280" w:type="dxa"/>
            <w:vAlign w:val="bottom"/>
            <w:gridSpan w:val="2"/>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ICC Rules</w:t>
            </w:r>
          </w:p>
        </w:tc>
        <w:tc>
          <w:tcPr>
            <w:tcW w:w="840" w:type="dxa"/>
            <w:vAlign w:val="bottom"/>
            <w:tcBorders>
              <w:bottom w:val="single" w:sz="8" w:color="auto"/>
            </w:tcBorders>
            <w:gridSpan w:val="6"/>
          </w:tcPr>
          <w:p>
            <w:pPr>
              <w:spacing w:after="0" w:line="156" w:lineRule="exact"/>
              <w:rPr>
                <w:sz w:val="20"/>
                <w:szCs w:val="20"/>
                <w:color w:val="auto"/>
              </w:rPr>
            </w:pPr>
            <w:r>
              <w:rPr>
                <w:rFonts w:ascii="Times New Roman" w:cs="Times New Roman" w:eastAsia="Times New Roman" w:hAnsi="Times New Roman"/>
                <w:sz w:val="15"/>
                <w:szCs w:val="15"/>
                <w:color w:val="auto"/>
                <w:w w:val="95"/>
              </w:rPr>
              <w:t>Section 16.3.2</w:t>
            </w:r>
          </w:p>
        </w:tc>
        <w:tc>
          <w:tcPr>
            <w:tcW w:w="5460" w:type="dxa"/>
            <w:vAlign w:val="bottom"/>
            <w:gridSpan w:val="6"/>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Indemnified Party</w:t>
            </w:r>
          </w:p>
        </w:tc>
        <w:tc>
          <w:tcPr>
            <w:tcW w:w="6300" w:type="dxa"/>
            <w:vAlign w:val="bottom"/>
            <w:gridSpan w:val="12"/>
          </w:tcPr>
          <w:p>
            <w:pPr>
              <w:spacing w:after="0" w:line="156" w:lineRule="exact"/>
              <w:rPr>
                <w:sz w:val="20"/>
                <w:szCs w:val="20"/>
                <w:color w:val="auto"/>
              </w:rPr>
            </w:pPr>
            <w:r>
              <w:rPr>
                <w:rFonts w:ascii="Times New Roman" w:cs="Times New Roman" w:eastAsia="Times New Roman" w:hAnsi="Times New Roman"/>
                <w:sz w:val="15"/>
                <w:szCs w:val="15"/>
                <w:color w:val="auto"/>
              </w:rPr>
              <w:t>Section 15.3</w:t>
            </w:r>
          </w:p>
        </w:tc>
      </w:tr>
      <w:tr>
        <w:trPr>
          <w:trHeight w:val="20"/>
        </w:trPr>
        <w:tc>
          <w:tcPr>
            <w:tcW w:w="498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Indemnifying Party</w:t>
            </w:r>
          </w:p>
        </w:tc>
        <w:tc>
          <w:tcPr>
            <w:tcW w:w="6300" w:type="dxa"/>
            <w:vAlign w:val="bottom"/>
            <w:gridSpan w:val="12"/>
          </w:tcPr>
          <w:p>
            <w:pPr>
              <w:spacing w:after="0" w:line="156" w:lineRule="exact"/>
              <w:rPr>
                <w:sz w:val="20"/>
                <w:szCs w:val="20"/>
                <w:color w:val="auto"/>
              </w:rPr>
            </w:pPr>
            <w:r>
              <w:rPr>
                <w:rFonts w:ascii="Times New Roman" w:cs="Times New Roman" w:eastAsia="Times New Roman" w:hAnsi="Times New Roman"/>
                <w:sz w:val="15"/>
                <w:szCs w:val="15"/>
                <w:color w:val="auto"/>
              </w:rPr>
              <w:t>Section 15.3</w:t>
            </w:r>
          </w:p>
        </w:tc>
      </w:tr>
      <w:tr>
        <w:trPr>
          <w:trHeight w:val="20"/>
        </w:trPr>
        <w:tc>
          <w:tcPr>
            <w:tcW w:w="498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Infringement</w:t>
            </w:r>
          </w:p>
        </w:tc>
        <w:tc>
          <w:tcPr>
            <w:tcW w:w="860" w:type="dxa"/>
            <w:vAlign w:val="bottom"/>
            <w:tcBorders>
              <w:bottom w:val="single" w:sz="8" w:color="auto"/>
            </w:tcBorders>
            <w:gridSpan w:val="7"/>
          </w:tcPr>
          <w:p>
            <w:pPr>
              <w:spacing w:after="0" w:line="156" w:lineRule="exact"/>
              <w:rPr>
                <w:sz w:val="20"/>
                <w:szCs w:val="20"/>
                <w:color w:val="auto"/>
              </w:rPr>
            </w:pPr>
            <w:r>
              <w:rPr>
                <w:rFonts w:ascii="Times New Roman" w:cs="Times New Roman" w:eastAsia="Times New Roman" w:hAnsi="Times New Roman"/>
                <w:sz w:val="15"/>
                <w:szCs w:val="15"/>
                <w:color w:val="auto"/>
                <w:w w:val="97"/>
              </w:rPr>
              <w:t>Section 12.5.1</w:t>
            </w:r>
          </w:p>
        </w:tc>
        <w:tc>
          <w:tcPr>
            <w:tcW w:w="5440" w:type="dxa"/>
            <w:vAlign w:val="bottom"/>
            <w:gridSpan w:val="5"/>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Infringement Remedy</w:t>
            </w:r>
          </w:p>
        </w:tc>
        <w:tc>
          <w:tcPr>
            <w:tcW w:w="860" w:type="dxa"/>
            <w:vAlign w:val="bottom"/>
            <w:tcBorders>
              <w:bottom w:val="single" w:sz="8" w:color="auto"/>
            </w:tcBorders>
            <w:gridSpan w:val="7"/>
          </w:tcPr>
          <w:p>
            <w:pPr>
              <w:spacing w:after="0" w:line="156" w:lineRule="exact"/>
              <w:rPr>
                <w:sz w:val="20"/>
                <w:szCs w:val="20"/>
                <w:color w:val="auto"/>
              </w:rPr>
            </w:pPr>
            <w:r>
              <w:rPr>
                <w:rFonts w:ascii="Times New Roman" w:cs="Times New Roman" w:eastAsia="Times New Roman" w:hAnsi="Times New Roman"/>
                <w:sz w:val="15"/>
                <w:szCs w:val="15"/>
                <w:color w:val="auto"/>
                <w:w w:val="97"/>
              </w:rPr>
              <w:t>Section 12.5.2</w:t>
            </w:r>
          </w:p>
        </w:tc>
        <w:tc>
          <w:tcPr>
            <w:tcW w:w="5440" w:type="dxa"/>
            <w:vAlign w:val="bottom"/>
            <w:gridSpan w:val="5"/>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Investors</w:t>
            </w:r>
          </w:p>
        </w:tc>
        <w:tc>
          <w:tcPr>
            <w:tcW w:w="1000" w:type="dxa"/>
            <w:vAlign w:val="bottom"/>
            <w:tcBorders>
              <w:bottom w:val="single" w:sz="8" w:color="auto"/>
            </w:tcBorders>
            <w:gridSpan w:val="9"/>
          </w:tcPr>
          <w:p>
            <w:pPr>
              <w:spacing w:after="0" w:line="156" w:lineRule="exact"/>
              <w:rPr>
                <w:sz w:val="20"/>
                <w:szCs w:val="20"/>
                <w:color w:val="auto"/>
              </w:rPr>
            </w:pPr>
            <w:r>
              <w:rPr>
                <w:rFonts w:ascii="Times New Roman" w:cs="Times New Roman" w:eastAsia="Times New Roman" w:hAnsi="Times New Roman"/>
                <w:sz w:val="15"/>
                <w:szCs w:val="15"/>
                <w:color w:val="auto"/>
                <w:w w:val="95"/>
              </w:rPr>
              <w:t>Section 14.1.2(a)</w:t>
            </w:r>
          </w:p>
        </w:tc>
        <w:tc>
          <w:tcPr>
            <w:tcW w:w="5300" w:type="dxa"/>
            <w:vAlign w:val="bottom"/>
            <w:gridSpan w:val="3"/>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Liability</w:t>
            </w:r>
          </w:p>
        </w:tc>
        <w:tc>
          <w:tcPr>
            <w:tcW w:w="6300" w:type="dxa"/>
            <w:vAlign w:val="bottom"/>
            <w:gridSpan w:val="12"/>
          </w:tcPr>
          <w:p>
            <w:pPr>
              <w:spacing w:after="0" w:line="156" w:lineRule="exact"/>
              <w:rPr>
                <w:sz w:val="20"/>
                <w:szCs w:val="20"/>
                <w:color w:val="auto"/>
              </w:rPr>
            </w:pPr>
            <w:r>
              <w:rPr>
                <w:rFonts w:ascii="Times New Roman" w:cs="Times New Roman" w:eastAsia="Times New Roman" w:hAnsi="Times New Roman"/>
                <w:sz w:val="15"/>
                <w:szCs w:val="15"/>
                <w:color w:val="auto"/>
              </w:rPr>
              <w:t>Section 15.1</w:t>
            </w:r>
          </w:p>
        </w:tc>
      </w:tr>
      <w:tr>
        <w:trPr>
          <w:trHeight w:val="20"/>
        </w:trPr>
        <w:tc>
          <w:tcPr>
            <w:tcW w:w="498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License Term</w:t>
            </w:r>
          </w:p>
        </w:tc>
        <w:tc>
          <w:tcPr>
            <w:tcW w:w="840" w:type="dxa"/>
            <w:vAlign w:val="bottom"/>
            <w:tcBorders>
              <w:bottom w:val="single" w:sz="8" w:color="auto"/>
            </w:tcBorders>
            <w:gridSpan w:val="6"/>
          </w:tcPr>
          <w:p>
            <w:pPr>
              <w:spacing w:after="0" w:line="156" w:lineRule="exact"/>
              <w:rPr>
                <w:sz w:val="20"/>
                <w:szCs w:val="20"/>
                <w:color w:val="auto"/>
              </w:rPr>
            </w:pPr>
            <w:r>
              <w:rPr>
                <w:rFonts w:ascii="Times New Roman" w:cs="Times New Roman" w:eastAsia="Times New Roman" w:hAnsi="Times New Roman"/>
                <w:sz w:val="15"/>
                <w:szCs w:val="15"/>
                <w:color w:val="auto"/>
                <w:w w:val="95"/>
              </w:rPr>
              <w:t>Section 14.1.1</w:t>
            </w:r>
          </w:p>
        </w:tc>
        <w:tc>
          <w:tcPr>
            <w:tcW w:w="5460" w:type="dxa"/>
            <w:vAlign w:val="bottom"/>
            <w:gridSpan w:val="6"/>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Licensee</w:t>
            </w:r>
          </w:p>
        </w:tc>
        <w:tc>
          <w:tcPr>
            <w:tcW w:w="6300" w:type="dxa"/>
            <w:vAlign w:val="bottom"/>
            <w:gridSpan w:val="12"/>
          </w:tcPr>
          <w:p>
            <w:pPr>
              <w:spacing w:after="0" w:line="156" w:lineRule="exact"/>
              <w:rPr>
                <w:sz w:val="20"/>
                <w:szCs w:val="20"/>
                <w:color w:val="auto"/>
              </w:rPr>
            </w:pPr>
            <w:r>
              <w:rPr>
                <w:rFonts w:ascii="Times New Roman" w:cs="Times New Roman" w:eastAsia="Times New Roman" w:hAnsi="Times New Roman"/>
                <w:sz w:val="15"/>
                <w:szCs w:val="15"/>
                <w:color w:val="auto"/>
              </w:rPr>
              <w:t>Preamble</w:t>
            </w:r>
          </w:p>
        </w:tc>
      </w:tr>
      <w:tr>
        <w:trPr>
          <w:trHeight w:val="20"/>
        </w:trPr>
        <w:tc>
          <w:tcPr>
            <w:tcW w:w="4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Licensee Controlled Patent Rights</w:t>
            </w:r>
          </w:p>
        </w:tc>
        <w:tc>
          <w:tcPr>
            <w:tcW w:w="840" w:type="dxa"/>
            <w:vAlign w:val="bottom"/>
            <w:tcBorders>
              <w:bottom w:val="single" w:sz="8" w:color="auto"/>
            </w:tcBorders>
            <w:gridSpan w:val="6"/>
          </w:tcPr>
          <w:p>
            <w:pPr>
              <w:spacing w:after="0" w:line="156" w:lineRule="exact"/>
              <w:rPr>
                <w:sz w:val="20"/>
                <w:szCs w:val="20"/>
                <w:color w:val="auto"/>
              </w:rPr>
            </w:pPr>
            <w:r>
              <w:rPr>
                <w:rFonts w:ascii="Times New Roman" w:cs="Times New Roman" w:eastAsia="Times New Roman" w:hAnsi="Times New Roman"/>
                <w:sz w:val="15"/>
                <w:szCs w:val="15"/>
                <w:color w:val="auto"/>
                <w:w w:val="95"/>
              </w:rPr>
              <w:t>Section 12.3.2</w:t>
            </w:r>
          </w:p>
        </w:tc>
        <w:tc>
          <w:tcPr>
            <w:tcW w:w="5460" w:type="dxa"/>
            <w:vAlign w:val="bottom"/>
            <w:gridSpan w:val="6"/>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Licensee Indemnified Party</w:t>
            </w:r>
          </w:p>
        </w:tc>
        <w:tc>
          <w:tcPr>
            <w:tcW w:w="6300" w:type="dxa"/>
            <w:vAlign w:val="bottom"/>
            <w:gridSpan w:val="12"/>
          </w:tcPr>
          <w:p>
            <w:pPr>
              <w:spacing w:after="0" w:line="156" w:lineRule="exact"/>
              <w:rPr>
                <w:sz w:val="20"/>
                <w:szCs w:val="20"/>
                <w:color w:val="auto"/>
              </w:rPr>
            </w:pPr>
            <w:r>
              <w:rPr>
                <w:rFonts w:ascii="Times New Roman" w:cs="Times New Roman" w:eastAsia="Times New Roman" w:hAnsi="Times New Roman"/>
                <w:sz w:val="15"/>
                <w:szCs w:val="15"/>
                <w:color w:val="auto"/>
              </w:rPr>
              <w:t>Section 15.1</w:t>
            </w:r>
          </w:p>
        </w:tc>
      </w:tr>
      <w:tr>
        <w:trPr>
          <w:trHeight w:val="20"/>
        </w:trPr>
        <w:tc>
          <w:tcPr>
            <w:tcW w:w="498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Licensee Invention</w:t>
            </w:r>
          </w:p>
        </w:tc>
        <w:tc>
          <w:tcPr>
            <w:tcW w:w="840" w:type="dxa"/>
            <w:vAlign w:val="bottom"/>
            <w:tcBorders>
              <w:bottom w:val="single" w:sz="8" w:color="auto"/>
            </w:tcBorders>
            <w:gridSpan w:val="6"/>
          </w:tcPr>
          <w:p>
            <w:pPr>
              <w:spacing w:after="0" w:line="156" w:lineRule="exact"/>
              <w:rPr>
                <w:sz w:val="20"/>
                <w:szCs w:val="20"/>
                <w:color w:val="auto"/>
              </w:rPr>
            </w:pPr>
            <w:r>
              <w:rPr>
                <w:rFonts w:ascii="Times New Roman" w:cs="Times New Roman" w:eastAsia="Times New Roman" w:hAnsi="Times New Roman"/>
                <w:sz w:val="15"/>
                <w:szCs w:val="15"/>
                <w:color w:val="auto"/>
                <w:w w:val="95"/>
              </w:rPr>
              <w:t>Section 12.2.1</w:t>
            </w:r>
          </w:p>
        </w:tc>
        <w:tc>
          <w:tcPr>
            <w:tcW w:w="5460" w:type="dxa"/>
            <w:vAlign w:val="bottom"/>
            <w:gridSpan w:val="6"/>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Licensee Regulatory Submission</w:t>
            </w:r>
          </w:p>
        </w:tc>
        <w:tc>
          <w:tcPr>
            <w:tcW w:w="6300" w:type="dxa"/>
            <w:vAlign w:val="bottom"/>
            <w:gridSpan w:val="12"/>
          </w:tcPr>
          <w:p>
            <w:pPr>
              <w:spacing w:after="0" w:line="156" w:lineRule="exact"/>
              <w:rPr>
                <w:sz w:val="20"/>
                <w:szCs w:val="20"/>
                <w:color w:val="auto"/>
              </w:rPr>
            </w:pPr>
            <w:r>
              <w:rPr>
                <w:rFonts w:ascii="Times New Roman" w:cs="Times New Roman" w:eastAsia="Times New Roman" w:hAnsi="Times New Roman"/>
                <w:sz w:val="15"/>
                <w:szCs w:val="15"/>
                <w:color w:val="auto"/>
              </w:rPr>
              <w:t>Section 6.2.1</w:t>
            </w: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Licensee Representatives</w:t>
            </w:r>
          </w:p>
        </w:tc>
        <w:tc>
          <w:tcPr>
            <w:tcW w:w="720" w:type="dxa"/>
            <w:vAlign w:val="bottom"/>
            <w:tcBorders>
              <w:top w:val="single" w:sz="8" w:color="auto"/>
            </w:tcBorders>
            <w:gridSpan w:val="3"/>
          </w:tcPr>
          <w:p>
            <w:pPr>
              <w:spacing w:after="0" w:line="156" w:lineRule="exact"/>
              <w:rPr>
                <w:sz w:val="20"/>
                <w:szCs w:val="20"/>
                <w:color w:val="auto"/>
              </w:rPr>
            </w:pPr>
            <w:r>
              <w:rPr>
                <w:rFonts w:ascii="Times New Roman" w:cs="Times New Roman" w:eastAsia="Times New Roman" w:hAnsi="Times New Roman"/>
                <w:sz w:val="15"/>
                <w:szCs w:val="15"/>
                <w:color w:val="auto"/>
                <w:w w:val="90"/>
              </w:rPr>
              <w:t>Section 10.3</w:t>
            </w:r>
          </w:p>
        </w:tc>
        <w:tc>
          <w:tcPr>
            <w:tcW w:w="5580" w:type="dxa"/>
            <w:vAlign w:val="bottom"/>
            <w:gridSpan w:val="9"/>
          </w:tcPr>
          <w:p>
            <w:pPr>
              <w:spacing w:after="0"/>
              <w:rPr>
                <w:sz w:val="13"/>
                <w:szCs w:val="13"/>
                <w:color w:val="auto"/>
              </w:rPr>
            </w:pPr>
          </w:p>
        </w:tc>
      </w:tr>
      <w:tr>
        <w:trPr>
          <w:trHeight w:val="20"/>
        </w:trPr>
        <w:tc>
          <w:tcPr>
            <w:tcW w:w="498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MOFCOM</w:t>
            </w:r>
          </w:p>
        </w:tc>
        <w:tc>
          <w:tcPr>
            <w:tcW w:w="820" w:type="dxa"/>
            <w:vAlign w:val="bottom"/>
            <w:tcBorders>
              <w:bottom w:val="single" w:sz="8" w:color="auto"/>
            </w:tcBorders>
            <w:gridSpan w:val="5"/>
          </w:tcPr>
          <w:p>
            <w:pPr>
              <w:spacing w:after="0" w:line="156" w:lineRule="exact"/>
              <w:rPr>
                <w:sz w:val="20"/>
                <w:szCs w:val="20"/>
                <w:color w:val="auto"/>
              </w:rPr>
            </w:pPr>
            <w:r>
              <w:rPr>
                <w:rFonts w:ascii="Times New Roman" w:cs="Times New Roman" w:eastAsia="Times New Roman" w:hAnsi="Times New Roman"/>
                <w:sz w:val="15"/>
                <w:szCs w:val="15"/>
                <w:color w:val="auto"/>
                <w:w w:val="96"/>
              </w:rPr>
              <w:t>Section 12.12</w:t>
            </w:r>
          </w:p>
        </w:tc>
        <w:tc>
          <w:tcPr>
            <w:tcW w:w="5480" w:type="dxa"/>
            <w:vAlign w:val="bottom"/>
            <w:gridSpan w:val="7"/>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Non-Transferred Regulatory Approvals</w:t>
            </w:r>
          </w:p>
        </w:tc>
        <w:tc>
          <w:tcPr>
            <w:tcW w:w="1020" w:type="dxa"/>
            <w:vAlign w:val="bottom"/>
            <w:tcBorders>
              <w:bottom w:val="single" w:sz="8" w:color="auto"/>
            </w:tcBorders>
            <w:gridSpan w:val="10"/>
          </w:tcPr>
          <w:p>
            <w:pPr>
              <w:spacing w:after="0" w:line="156" w:lineRule="exact"/>
              <w:rPr>
                <w:sz w:val="20"/>
                <w:szCs w:val="20"/>
                <w:color w:val="auto"/>
              </w:rPr>
            </w:pPr>
            <w:r>
              <w:rPr>
                <w:rFonts w:ascii="Times New Roman" w:cs="Times New Roman" w:eastAsia="Times New Roman" w:hAnsi="Times New Roman"/>
                <w:sz w:val="15"/>
                <w:szCs w:val="15"/>
                <w:color w:val="auto"/>
                <w:w w:val="96"/>
              </w:rPr>
              <w:t>Section 14.5.2(b)</w:t>
            </w:r>
          </w:p>
        </w:tc>
        <w:tc>
          <w:tcPr>
            <w:tcW w:w="5280" w:type="dxa"/>
            <w:vAlign w:val="bottom"/>
            <w:gridSpan w:val="2"/>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Party(ies)</w:t>
            </w:r>
          </w:p>
        </w:tc>
        <w:tc>
          <w:tcPr>
            <w:tcW w:w="6300" w:type="dxa"/>
            <w:vAlign w:val="bottom"/>
            <w:gridSpan w:val="12"/>
          </w:tcPr>
          <w:p>
            <w:pPr>
              <w:spacing w:after="0" w:line="156" w:lineRule="exact"/>
              <w:rPr>
                <w:sz w:val="20"/>
                <w:szCs w:val="20"/>
                <w:color w:val="auto"/>
              </w:rPr>
            </w:pPr>
            <w:r>
              <w:rPr>
                <w:rFonts w:ascii="Times New Roman" w:cs="Times New Roman" w:eastAsia="Times New Roman" w:hAnsi="Times New Roman"/>
                <w:sz w:val="15"/>
                <w:szCs w:val="15"/>
                <w:color w:val="auto"/>
              </w:rPr>
              <w:t>Preamble</w:t>
            </w:r>
          </w:p>
        </w:tc>
      </w:tr>
      <w:tr>
        <w:trPr>
          <w:trHeight w:val="20"/>
        </w:trPr>
        <w:tc>
          <w:tcPr>
            <w:tcW w:w="4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Patent Challenge</w:t>
            </w:r>
          </w:p>
        </w:tc>
        <w:tc>
          <w:tcPr>
            <w:tcW w:w="820" w:type="dxa"/>
            <w:vAlign w:val="bottom"/>
            <w:tcBorders>
              <w:bottom w:val="single" w:sz="8" w:color="auto"/>
            </w:tcBorders>
            <w:gridSpan w:val="5"/>
          </w:tcPr>
          <w:p>
            <w:pPr>
              <w:spacing w:after="0" w:line="156" w:lineRule="exact"/>
              <w:rPr>
                <w:sz w:val="20"/>
                <w:szCs w:val="20"/>
                <w:color w:val="auto"/>
              </w:rPr>
            </w:pPr>
            <w:r>
              <w:rPr>
                <w:rFonts w:ascii="Times New Roman" w:cs="Times New Roman" w:eastAsia="Times New Roman" w:hAnsi="Times New Roman"/>
                <w:sz w:val="15"/>
                <w:szCs w:val="15"/>
                <w:color w:val="auto"/>
                <w:w w:val="96"/>
              </w:rPr>
              <w:t>Section 12.13</w:t>
            </w:r>
          </w:p>
        </w:tc>
        <w:tc>
          <w:tcPr>
            <w:tcW w:w="5480" w:type="dxa"/>
            <w:vAlign w:val="bottom"/>
            <w:gridSpan w:val="7"/>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Product Trademark</w:t>
            </w:r>
          </w:p>
        </w:tc>
        <w:tc>
          <w:tcPr>
            <w:tcW w:w="840" w:type="dxa"/>
            <w:vAlign w:val="bottom"/>
            <w:tcBorders>
              <w:bottom w:val="single" w:sz="8" w:color="auto"/>
            </w:tcBorders>
            <w:gridSpan w:val="6"/>
          </w:tcPr>
          <w:p>
            <w:pPr>
              <w:spacing w:after="0" w:line="156" w:lineRule="exact"/>
              <w:rPr>
                <w:sz w:val="20"/>
                <w:szCs w:val="20"/>
                <w:color w:val="auto"/>
              </w:rPr>
            </w:pPr>
            <w:r>
              <w:rPr>
                <w:rFonts w:ascii="Times New Roman" w:cs="Times New Roman" w:eastAsia="Times New Roman" w:hAnsi="Times New Roman"/>
                <w:sz w:val="15"/>
                <w:szCs w:val="15"/>
                <w:color w:val="auto"/>
                <w:w w:val="95"/>
              </w:rPr>
              <w:t>Section 12.4.1</w:t>
            </w:r>
          </w:p>
        </w:tc>
        <w:tc>
          <w:tcPr>
            <w:tcW w:w="5460" w:type="dxa"/>
            <w:vAlign w:val="bottom"/>
            <w:gridSpan w:val="6"/>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Proposing Party</w:t>
            </w:r>
          </w:p>
        </w:tc>
        <w:tc>
          <w:tcPr>
            <w:tcW w:w="800" w:type="dxa"/>
            <w:vAlign w:val="bottom"/>
            <w:tcBorders>
              <w:bottom w:val="single" w:sz="8" w:color="auto"/>
            </w:tcBorders>
            <w:gridSpan w:val="4"/>
          </w:tcPr>
          <w:p>
            <w:pPr>
              <w:spacing w:after="0" w:line="156" w:lineRule="exact"/>
              <w:rPr>
                <w:sz w:val="20"/>
                <w:szCs w:val="20"/>
                <w:color w:val="auto"/>
              </w:rPr>
            </w:pPr>
            <w:r>
              <w:rPr>
                <w:rFonts w:ascii="Times New Roman" w:cs="Times New Roman" w:eastAsia="Times New Roman" w:hAnsi="Times New Roman"/>
                <w:sz w:val="15"/>
                <w:szCs w:val="15"/>
                <w:color w:val="auto"/>
                <w:w w:val="94"/>
              </w:rPr>
              <w:t>Section 12.10</w:t>
            </w:r>
          </w:p>
        </w:tc>
        <w:tc>
          <w:tcPr>
            <w:tcW w:w="5500" w:type="dxa"/>
            <w:vAlign w:val="bottom"/>
            <w:gridSpan w:val="8"/>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PVA</w:t>
            </w:r>
          </w:p>
        </w:tc>
        <w:tc>
          <w:tcPr>
            <w:tcW w:w="660" w:type="dxa"/>
            <w:vAlign w:val="bottom"/>
            <w:tcBorders>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5"/>
                <w:szCs w:val="15"/>
                <w:color w:val="auto"/>
                <w:w w:val="94"/>
              </w:rPr>
              <w:t>Section 4.2</w:t>
            </w:r>
          </w:p>
        </w:tc>
        <w:tc>
          <w:tcPr>
            <w:tcW w:w="5640" w:type="dxa"/>
            <w:vAlign w:val="bottom"/>
            <w:gridSpan w:val="10"/>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Receiving Party</w:t>
            </w:r>
          </w:p>
        </w:tc>
        <w:tc>
          <w:tcPr>
            <w:tcW w:w="860" w:type="dxa"/>
            <w:vAlign w:val="bottom"/>
            <w:tcBorders>
              <w:bottom w:val="single" w:sz="8" w:color="auto"/>
            </w:tcBorders>
            <w:gridSpan w:val="7"/>
          </w:tcPr>
          <w:p>
            <w:pPr>
              <w:spacing w:after="0" w:line="156" w:lineRule="exact"/>
              <w:rPr>
                <w:sz w:val="20"/>
                <w:szCs w:val="20"/>
                <w:color w:val="auto"/>
              </w:rPr>
            </w:pPr>
            <w:r>
              <w:rPr>
                <w:rFonts w:ascii="Times New Roman" w:cs="Times New Roman" w:eastAsia="Times New Roman" w:hAnsi="Times New Roman"/>
                <w:sz w:val="15"/>
                <w:szCs w:val="15"/>
                <w:color w:val="auto"/>
                <w:w w:val="97"/>
              </w:rPr>
              <w:t>Section 10.1.1</w:t>
            </w:r>
          </w:p>
        </w:tc>
        <w:tc>
          <w:tcPr>
            <w:tcW w:w="5440" w:type="dxa"/>
            <w:vAlign w:val="bottom"/>
            <w:gridSpan w:val="5"/>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Recipients</w:t>
            </w:r>
          </w:p>
        </w:tc>
        <w:tc>
          <w:tcPr>
            <w:tcW w:w="860" w:type="dxa"/>
            <w:vAlign w:val="bottom"/>
            <w:tcBorders>
              <w:bottom w:val="single" w:sz="8" w:color="auto"/>
            </w:tcBorders>
            <w:gridSpan w:val="7"/>
          </w:tcPr>
          <w:p>
            <w:pPr>
              <w:spacing w:after="0" w:line="156" w:lineRule="exact"/>
              <w:rPr>
                <w:sz w:val="20"/>
                <w:szCs w:val="20"/>
                <w:color w:val="auto"/>
              </w:rPr>
            </w:pPr>
            <w:r>
              <w:rPr>
                <w:rFonts w:ascii="Times New Roman" w:cs="Times New Roman" w:eastAsia="Times New Roman" w:hAnsi="Times New Roman"/>
                <w:sz w:val="15"/>
                <w:szCs w:val="15"/>
                <w:color w:val="auto"/>
                <w:w w:val="97"/>
              </w:rPr>
              <w:t>Section 10.1.1</w:t>
            </w:r>
          </w:p>
        </w:tc>
        <w:tc>
          <w:tcPr>
            <w:tcW w:w="5440" w:type="dxa"/>
            <w:vAlign w:val="bottom"/>
            <w:gridSpan w:val="5"/>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Respondent</w:t>
            </w:r>
          </w:p>
        </w:tc>
        <w:tc>
          <w:tcPr>
            <w:tcW w:w="840" w:type="dxa"/>
            <w:vAlign w:val="bottom"/>
            <w:tcBorders>
              <w:bottom w:val="single" w:sz="8" w:color="auto"/>
            </w:tcBorders>
            <w:gridSpan w:val="6"/>
          </w:tcPr>
          <w:p>
            <w:pPr>
              <w:spacing w:after="0" w:line="156" w:lineRule="exact"/>
              <w:rPr>
                <w:sz w:val="20"/>
                <w:szCs w:val="20"/>
                <w:color w:val="auto"/>
              </w:rPr>
            </w:pPr>
            <w:r>
              <w:rPr>
                <w:rFonts w:ascii="Times New Roman" w:cs="Times New Roman" w:eastAsia="Times New Roman" w:hAnsi="Times New Roman"/>
                <w:sz w:val="15"/>
                <w:szCs w:val="15"/>
                <w:color w:val="auto"/>
                <w:w w:val="95"/>
              </w:rPr>
              <w:t>Section 16.3.3</w:t>
            </w:r>
          </w:p>
        </w:tc>
        <w:tc>
          <w:tcPr>
            <w:tcW w:w="5460" w:type="dxa"/>
            <w:vAlign w:val="bottom"/>
            <w:gridSpan w:val="6"/>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Royalty Term</w:t>
            </w:r>
          </w:p>
        </w:tc>
        <w:tc>
          <w:tcPr>
            <w:tcW w:w="6300" w:type="dxa"/>
            <w:vAlign w:val="bottom"/>
            <w:gridSpan w:val="12"/>
          </w:tcPr>
          <w:p>
            <w:pPr>
              <w:spacing w:after="0" w:line="156" w:lineRule="exact"/>
              <w:rPr>
                <w:sz w:val="20"/>
                <w:szCs w:val="20"/>
                <w:color w:val="auto"/>
              </w:rPr>
            </w:pPr>
            <w:r>
              <w:rPr>
                <w:rFonts w:ascii="Times New Roman" w:cs="Times New Roman" w:eastAsia="Times New Roman" w:hAnsi="Times New Roman"/>
                <w:sz w:val="15"/>
                <w:szCs w:val="15"/>
                <w:color w:val="auto"/>
              </w:rPr>
              <w:t>Section 9.3.2</w:t>
            </w: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Safety Database</w:t>
            </w:r>
          </w:p>
        </w:tc>
        <w:tc>
          <w:tcPr>
            <w:tcW w:w="660" w:type="dxa"/>
            <w:vAlign w:val="bottom"/>
            <w:tcBorders>
              <w:top w:val="single" w:sz="8" w:color="auto"/>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5"/>
                <w:szCs w:val="15"/>
                <w:color w:val="auto"/>
                <w:w w:val="94"/>
              </w:rPr>
              <w:t>Section 4.2</w:t>
            </w:r>
          </w:p>
        </w:tc>
        <w:tc>
          <w:tcPr>
            <w:tcW w:w="60" w:type="dxa"/>
            <w:vAlign w:val="bottom"/>
            <w:tcBorders>
              <w:top w:val="single" w:sz="8" w:color="auto"/>
            </w:tcBorders>
          </w:tcPr>
          <w:p>
            <w:pPr>
              <w:spacing w:after="0"/>
              <w:rPr>
                <w:sz w:val="13"/>
                <w:szCs w:val="13"/>
                <w:color w:val="auto"/>
              </w:rPr>
            </w:pPr>
          </w:p>
        </w:tc>
        <w:tc>
          <w:tcPr>
            <w:tcW w:w="5580" w:type="dxa"/>
            <w:vAlign w:val="bottom"/>
            <w:gridSpan w:val="9"/>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Sublicense</w:t>
            </w:r>
          </w:p>
        </w:tc>
        <w:tc>
          <w:tcPr>
            <w:tcW w:w="6300" w:type="dxa"/>
            <w:vAlign w:val="bottom"/>
            <w:gridSpan w:val="12"/>
          </w:tcPr>
          <w:p>
            <w:pPr>
              <w:spacing w:after="0" w:line="156" w:lineRule="exact"/>
              <w:rPr>
                <w:sz w:val="20"/>
                <w:szCs w:val="20"/>
                <w:color w:val="auto"/>
              </w:rPr>
            </w:pPr>
            <w:r>
              <w:rPr>
                <w:rFonts w:ascii="Times New Roman" w:cs="Times New Roman" w:eastAsia="Times New Roman" w:hAnsi="Times New Roman"/>
                <w:sz w:val="15"/>
                <w:szCs w:val="15"/>
                <w:color w:val="auto"/>
              </w:rPr>
              <w:t>Section 2.2.2</w:t>
            </w:r>
          </w:p>
        </w:tc>
      </w:tr>
      <w:tr>
        <w:trPr>
          <w:trHeight w:val="20"/>
        </w:trPr>
        <w:tc>
          <w:tcPr>
            <w:tcW w:w="498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300" w:type="dxa"/>
            <w:vAlign w:val="bottom"/>
            <w:tcBorders>
              <w:left w:val="single" w:sz="8" w:color="auto"/>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Sublicensee</w:t>
            </w:r>
          </w:p>
        </w:tc>
        <w:tc>
          <w:tcPr>
            <w:tcW w:w="6300" w:type="dxa"/>
            <w:vAlign w:val="bottom"/>
            <w:gridSpan w:val="12"/>
          </w:tcPr>
          <w:p>
            <w:pPr>
              <w:spacing w:after="0" w:line="156" w:lineRule="exact"/>
              <w:rPr>
                <w:sz w:val="20"/>
                <w:szCs w:val="20"/>
                <w:color w:val="auto"/>
              </w:rPr>
            </w:pPr>
            <w:r>
              <w:rPr>
                <w:rFonts w:ascii="Times New Roman" w:cs="Times New Roman" w:eastAsia="Times New Roman" w:hAnsi="Times New Roman"/>
                <w:sz w:val="15"/>
                <w:szCs w:val="15"/>
                <w:color w:val="auto"/>
              </w:rPr>
              <w:t>Section 2.2.2</w:t>
            </w:r>
          </w:p>
        </w:tc>
      </w:tr>
      <w:tr>
        <w:trPr>
          <w:trHeight w:val="20"/>
        </w:trPr>
        <w:tc>
          <w:tcPr>
            <w:tcW w:w="498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300" w:type="dxa"/>
            <w:vAlign w:val="bottom"/>
            <w:tcBorders>
              <w:left w:val="single" w:sz="8" w:color="auto"/>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Subsequent Financing</w:t>
            </w:r>
          </w:p>
        </w:tc>
        <w:tc>
          <w:tcPr>
            <w:tcW w:w="1000" w:type="dxa"/>
            <w:vAlign w:val="bottom"/>
            <w:tcBorders>
              <w:bottom w:val="single" w:sz="8" w:color="auto"/>
            </w:tcBorders>
            <w:gridSpan w:val="9"/>
          </w:tcPr>
          <w:p>
            <w:pPr>
              <w:spacing w:after="0" w:line="156" w:lineRule="exact"/>
              <w:rPr>
                <w:sz w:val="20"/>
                <w:szCs w:val="20"/>
                <w:color w:val="auto"/>
              </w:rPr>
            </w:pPr>
            <w:r>
              <w:rPr>
                <w:rFonts w:ascii="Times New Roman" w:cs="Times New Roman" w:eastAsia="Times New Roman" w:hAnsi="Times New Roman"/>
                <w:sz w:val="15"/>
                <w:szCs w:val="15"/>
                <w:color w:val="auto"/>
                <w:w w:val="95"/>
              </w:rPr>
              <w:t>Section 14.1.2(a)</w:t>
            </w:r>
          </w:p>
        </w:tc>
        <w:tc>
          <w:tcPr>
            <w:tcW w:w="5300" w:type="dxa"/>
            <w:vAlign w:val="bottom"/>
            <w:gridSpan w:val="3"/>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Subsequent Financing Closing</w:t>
            </w:r>
          </w:p>
        </w:tc>
        <w:tc>
          <w:tcPr>
            <w:tcW w:w="1000" w:type="dxa"/>
            <w:vAlign w:val="bottom"/>
            <w:tcBorders>
              <w:bottom w:val="single" w:sz="8" w:color="auto"/>
            </w:tcBorders>
            <w:gridSpan w:val="9"/>
          </w:tcPr>
          <w:p>
            <w:pPr>
              <w:spacing w:after="0" w:line="156" w:lineRule="exact"/>
              <w:rPr>
                <w:sz w:val="20"/>
                <w:szCs w:val="20"/>
                <w:color w:val="auto"/>
              </w:rPr>
            </w:pPr>
            <w:r>
              <w:rPr>
                <w:rFonts w:ascii="Times New Roman" w:cs="Times New Roman" w:eastAsia="Times New Roman" w:hAnsi="Times New Roman"/>
                <w:sz w:val="15"/>
                <w:szCs w:val="15"/>
                <w:color w:val="auto"/>
                <w:w w:val="95"/>
              </w:rPr>
              <w:t>Section 14.1.2(a)</w:t>
            </w:r>
          </w:p>
        </w:tc>
        <w:tc>
          <w:tcPr>
            <w:tcW w:w="5300" w:type="dxa"/>
            <w:vAlign w:val="bottom"/>
            <w:gridSpan w:val="3"/>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Subsequent Financing Securities</w:t>
            </w:r>
          </w:p>
        </w:tc>
        <w:tc>
          <w:tcPr>
            <w:tcW w:w="1020" w:type="dxa"/>
            <w:vAlign w:val="bottom"/>
            <w:tcBorders>
              <w:bottom w:val="single" w:sz="8" w:color="auto"/>
            </w:tcBorders>
            <w:gridSpan w:val="10"/>
          </w:tcPr>
          <w:p>
            <w:pPr>
              <w:spacing w:after="0" w:line="156" w:lineRule="exact"/>
              <w:rPr>
                <w:sz w:val="20"/>
                <w:szCs w:val="20"/>
                <w:color w:val="auto"/>
              </w:rPr>
            </w:pPr>
            <w:r>
              <w:rPr>
                <w:rFonts w:ascii="Times New Roman" w:cs="Times New Roman" w:eastAsia="Times New Roman" w:hAnsi="Times New Roman"/>
                <w:sz w:val="15"/>
                <w:szCs w:val="15"/>
                <w:color w:val="auto"/>
                <w:w w:val="96"/>
              </w:rPr>
              <w:t>Section 14.1.2(b)</w:t>
            </w:r>
          </w:p>
        </w:tc>
        <w:tc>
          <w:tcPr>
            <w:tcW w:w="5280" w:type="dxa"/>
            <w:vAlign w:val="bottom"/>
            <w:gridSpan w:val="2"/>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Terminated Asset Material</w:t>
            </w:r>
          </w:p>
        </w:tc>
        <w:tc>
          <w:tcPr>
            <w:tcW w:w="1080" w:type="dxa"/>
            <w:vAlign w:val="bottom"/>
            <w:tcBorders>
              <w:bottom w:val="single" w:sz="8" w:color="auto"/>
            </w:tcBorders>
            <w:gridSpan w:val="11"/>
          </w:tcPr>
          <w:p>
            <w:pPr>
              <w:spacing w:after="0" w:line="156" w:lineRule="exact"/>
              <w:rPr>
                <w:sz w:val="20"/>
                <w:szCs w:val="20"/>
                <w:color w:val="auto"/>
              </w:rPr>
            </w:pPr>
            <w:r>
              <w:rPr>
                <w:rFonts w:ascii="Times New Roman" w:cs="Times New Roman" w:eastAsia="Times New Roman" w:hAnsi="Times New Roman"/>
                <w:sz w:val="15"/>
                <w:szCs w:val="15"/>
                <w:color w:val="auto"/>
                <w:w w:val="95"/>
              </w:rPr>
              <w:t>Section 14.5.10(a)</w:t>
            </w:r>
          </w:p>
        </w:tc>
        <w:tc>
          <w:tcPr>
            <w:tcW w:w="5220" w:type="dxa"/>
            <w:vAlign w:val="bottom"/>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Third Party Patent Challenge</w:t>
            </w:r>
          </w:p>
        </w:tc>
        <w:tc>
          <w:tcPr>
            <w:tcW w:w="860" w:type="dxa"/>
            <w:vAlign w:val="bottom"/>
            <w:tcBorders>
              <w:bottom w:val="single" w:sz="8" w:color="auto"/>
            </w:tcBorders>
            <w:gridSpan w:val="7"/>
          </w:tcPr>
          <w:p>
            <w:pPr>
              <w:spacing w:after="0" w:line="156" w:lineRule="exact"/>
              <w:rPr>
                <w:sz w:val="20"/>
                <w:szCs w:val="20"/>
                <w:color w:val="auto"/>
              </w:rPr>
            </w:pPr>
            <w:r>
              <w:rPr>
                <w:rFonts w:ascii="Times New Roman" w:cs="Times New Roman" w:eastAsia="Times New Roman" w:hAnsi="Times New Roman"/>
                <w:sz w:val="15"/>
                <w:szCs w:val="15"/>
                <w:color w:val="auto"/>
                <w:w w:val="97"/>
              </w:rPr>
              <w:t>Section 12.7.2</w:t>
            </w:r>
          </w:p>
        </w:tc>
        <w:tc>
          <w:tcPr>
            <w:tcW w:w="5440" w:type="dxa"/>
            <w:vAlign w:val="bottom"/>
            <w:gridSpan w:val="5"/>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True-Up Shares</w:t>
            </w:r>
          </w:p>
        </w:tc>
        <w:tc>
          <w:tcPr>
            <w:tcW w:w="840" w:type="dxa"/>
            <w:vAlign w:val="bottom"/>
            <w:tcBorders>
              <w:bottom w:val="single" w:sz="8" w:color="auto"/>
            </w:tcBorders>
            <w:gridSpan w:val="6"/>
          </w:tcPr>
          <w:p>
            <w:pPr>
              <w:spacing w:after="0" w:line="156" w:lineRule="exact"/>
              <w:rPr>
                <w:sz w:val="20"/>
                <w:szCs w:val="20"/>
                <w:color w:val="auto"/>
              </w:rPr>
            </w:pPr>
            <w:r>
              <w:rPr>
                <w:rFonts w:ascii="Times New Roman" w:cs="Times New Roman" w:eastAsia="Times New Roman" w:hAnsi="Times New Roman"/>
                <w:sz w:val="15"/>
                <w:szCs w:val="15"/>
                <w:color w:val="auto"/>
                <w:w w:val="95"/>
              </w:rPr>
              <w:t>Section 14.1.4</w:t>
            </w:r>
          </w:p>
        </w:tc>
        <w:tc>
          <w:tcPr>
            <w:tcW w:w="5460" w:type="dxa"/>
            <w:vAlign w:val="bottom"/>
            <w:gridSpan w:val="6"/>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Update Meeting</w:t>
            </w:r>
          </w:p>
        </w:tc>
        <w:tc>
          <w:tcPr>
            <w:tcW w:w="660" w:type="dxa"/>
            <w:vAlign w:val="bottom"/>
            <w:tcBorders>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5"/>
                <w:szCs w:val="15"/>
                <w:color w:val="auto"/>
                <w:w w:val="94"/>
              </w:rPr>
              <w:t>Section 3.1</w:t>
            </w:r>
          </w:p>
        </w:tc>
        <w:tc>
          <w:tcPr>
            <w:tcW w:w="5640" w:type="dxa"/>
            <w:vAlign w:val="bottom"/>
            <w:gridSpan w:val="10"/>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XENCOR</w:t>
            </w:r>
          </w:p>
        </w:tc>
        <w:tc>
          <w:tcPr>
            <w:tcW w:w="6300" w:type="dxa"/>
            <w:vAlign w:val="bottom"/>
            <w:gridSpan w:val="12"/>
          </w:tcPr>
          <w:p>
            <w:pPr>
              <w:spacing w:after="0" w:line="156" w:lineRule="exact"/>
              <w:rPr>
                <w:sz w:val="20"/>
                <w:szCs w:val="20"/>
                <w:color w:val="auto"/>
              </w:rPr>
            </w:pPr>
            <w:r>
              <w:rPr>
                <w:rFonts w:ascii="Times New Roman" w:cs="Times New Roman" w:eastAsia="Times New Roman" w:hAnsi="Times New Roman"/>
                <w:sz w:val="15"/>
                <w:szCs w:val="15"/>
                <w:color w:val="auto"/>
              </w:rPr>
              <w:t>Preamble</w:t>
            </w:r>
          </w:p>
        </w:tc>
      </w:tr>
      <w:tr>
        <w:trPr>
          <w:trHeight w:val="20"/>
        </w:trPr>
        <w:tc>
          <w:tcPr>
            <w:tcW w:w="4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580" w:type="dxa"/>
            <w:vAlign w:val="bottom"/>
            <w:gridSpan w:val="9"/>
          </w:tcPr>
          <w:p>
            <w:pPr>
              <w:spacing w:after="0" w:line="20" w:lineRule="exact"/>
              <w:rPr>
                <w:sz w:val="1"/>
                <w:szCs w:val="1"/>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XENCOR Indemnified Party</w:t>
            </w:r>
          </w:p>
        </w:tc>
        <w:tc>
          <w:tcPr>
            <w:tcW w:w="6300" w:type="dxa"/>
            <w:vAlign w:val="bottom"/>
            <w:gridSpan w:val="12"/>
          </w:tcPr>
          <w:p>
            <w:pPr>
              <w:spacing w:after="0" w:line="156" w:lineRule="exact"/>
              <w:rPr>
                <w:sz w:val="20"/>
                <w:szCs w:val="20"/>
                <w:color w:val="auto"/>
              </w:rPr>
            </w:pPr>
            <w:r>
              <w:rPr>
                <w:rFonts w:ascii="Times New Roman" w:cs="Times New Roman" w:eastAsia="Times New Roman" w:hAnsi="Times New Roman"/>
                <w:sz w:val="15"/>
                <w:szCs w:val="15"/>
                <w:color w:val="auto"/>
              </w:rPr>
              <w:t>Section 15.2</w:t>
            </w:r>
          </w:p>
        </w:tc>
      </w:tr>
      <w:tr>
        <w:trPr>
          <w:trHeight w:val="20"/>
        </w:trPr>
        <w:tc>
          <w:tcPr>
            <w:tcW w:w="498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5580" w:type="dxa"/>
            <w:vAlign w:val="bottom"/>
            <w:gridSpan w:val="9"/>
          </w:tcPr>
          <w:p>
            <w:pPr>
              <w:spacing w:after="0" w:line="20" w:lineRule="exact"/>
              <w:rPr>
                <w:sz w:val="1"/>
                <w:szCs w:val="1"/>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XENCOR Invention</w:t>
            </w:r>
          </w:p>
        </w:tc>
        <w:tc>
          <w:tcPr>
            <w:tcW w:w="860" w:type="dxa"/>
            <w:vAlign w:val="bottom"/>
            <w:tcBorders>
              <w:bottom w:val="single" w:sz="8" w:color="auto"/>
            </w:tcBorders>
            <w:gridSpan w:val="7"/>
          </w:tcPr>
          <w:p>
            <w:pPr>
              <w:spacing w:after="0" w:line="156" w:lineRule="exact"/>
              <w:rPr>
                <w:sz w:val="20"/>
                <w:szCs w:val="20"/>
                <w:color w:val="auto"/>
              </w:rPr>
            </w:pPr>
            <w:r>
              <w:rPr>
                <w:rFonts w:ascii="Times New Roman" w:cs="Times New Roman" w:eastAsia="Times New Roman" w:hAnsi="Times New Roman"/>
                <w:sz w:val="15"/>
                <w:szCs w:val="15"/>
                <w:color w:val="auto"/>
                <w:w w:val="97"/>
              </w:rPr>
              <w:t>Section 12.2.1</w:t>
            </w:r>
          </w:p>
        </w:tc>
        <w:tc>
          <w:tcPr>
            <w:tcW w:w="5440" w:type="dxa"/>
            <w:vAlign w:val="bottom"/>
            <w:gridSpan w:val="5"/>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XENCOR Transferee</w:t>
            </w:r>
          </w:p>
        </w:tc>
        <w:tc>
          <w:tcPr>
            <w:tcW w:w="1000" w:type="dxa"/>
            <w:vAlign w:val="bottom"/>
            <w:tcBorders>
              <w:bottom w:val="single" w:sz="8" w:color="auto"/>
            </w:tcBorders>
            <w:gridSpan w:val="9"/>
          </w:tcPr>
          <w:p>
            <w:pPr>
              <w:spacing w:after="0" w:line="156" w:lineRule="exact"/>
              <w:rPr>
                <w:sz w:val="20"/>
                <w:szCs w:val="20"/>
                <w:color w:val="auto"/>
              </w:rPr>
            </w:pPr>
            <w:r>
              <w:rPr>
                <w:rFonts w:ascii="Times New Roman" w:cs="Times New Roman" w:eastAsia="Times New Roman" w:hAnsi="Times New Roman"/>
                <w:sz w:val="15"/>
                <w:szCs w:val="15"/>
                <w:color w:val="auto"/>
                <w:w w:val="95"/>
              </w:rPr>
              <w:t>Section 14.5.2(a)</w:t>
            </w:r>
          </w:p>
        </w:tc>
        <w:tc>
          <w:tcPr>
            <w:tcW w:w="5300" w:type="dxa"/>
            <w:vAlign w:val="bottom"/>
            <w:gridSpan w:val="3"/>
          </w:tcPr>
          <w:p>
            <w:pPr>
              <w:spacing w:after="0"/>
              <w:rPr>
                <w:sz w:val="13"/>
                <w:szCs w:val="13"/>
                <w:color w:val="auto"/>
              </w:rPr>
            </w:pPr>
          </w:p>
        </w:tc>
      </w:tr>
      <w:tr>
        <w:trPr>
          <w:trHeight w:val="156"/>
        </w:trPr>
        <w:tc>
          <w:tcPr>
            <w:tcW w:w="4980" w:type="dxa"/>
            <w:vAlign w:val="bottom"/>
          </w:tcPr>
          <w:p>
            <w:pPr>
              <w:ind w:left="1020"/>
              <w:spacing w:after="0" w:line="156" w:lineRule="exact"/>
              <w:rPr>
                <w:sz w:val="20"/>
                <w:szCs w:val="20"/>
                <w:color w:val="auto"/>
              </w:rPr>
            </w:pPr>
            <w:r>
              <w:rPr>
                <w:rFonts w:ascii="Times New Roman" w:cs="Times New Roman" w:eastAsia="Times New Roman" w:hAnsi="Times New Roman"/>
                <w:sz w:val="15"/>
                <w:szCs w:val="15"/>
                <w:color w:val="auto"/>
              </w:rPr>
              <w:t>XmAb5871</w:t>
            </w:r>
          </w:p>
        </w:tc>
        <w:tc>
          <w:tcPr>
            <w:tcW w:w="6300" w:type="dxa"/>
            <w:vAlign w:val="bottom"/>
            <w:gridSpan w:val="12"/>
          </w:tcPr>
          <w:p>
            <w:pPr>
              <w:spacing w:after="0" w:line="156" w:lineRule="exact"/>
              <w:rPr>
                <w:sz w:val="20"/>
                <w:szCs w:val="20"/>
                <w:color w:val="auto"/>
              </w:rPr>
            </w:pPr>
            <w:r>
              <w:rPr>
                <w:rFonts w:ascii="Times New Roman" w:cs="Times New Roman" w:eastAsia="Times New Roman" w:hAnsi="Times New Roman"/>
                <w:sz w:val="15"/>
                <w:szCs w:val="15"/>
                <w:color w:val="auto"/>
              </w:rPr>
              <w:t>Section 1.48</w:t>
            </w:r>
          </w:p>
        </w:tc>
      </w:tr>
      <w:tr>
        <w:trPr>
          <w:trHeight w:val="540"/>
        </w:trPr>
        <w:tc>
          <w:tcPr>
            <w:tcW w:w="4980" w:type="dxa"/>
            <w:vAlign w:val="bottom"/>
            <w:tcBorders>
              <w:bottom w:val="single" w:sz="8" w:color="auto"/>
            </w:tcBorders>
          </w:tcPr>
          <w:p>
            <w:pPr>
              <w:spacing w:after="0"/>
              <w:rPr>
                <w:sz w:val="24"/>
                <w:szCs w:val="24"/>
                <w:color w:val="auto"/>
              </w:rPr>
            </w:pPr>
          </w:p>
        </w:tc>
        <w:tc>
          <w:tcPr>
            <w:tcW w:w="720" w:type="dxa"/>
            <w:vAlign w:val="bottom"/>
            <w:tcBorders>
              <w:top w:val="single" w:sz="8" w:color="auto"/>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color w:val="auto"/>
                <w:w w:val="71"/>
              </w:rPr>
              <w:t>12</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69" w:right="319" w:bottom="1440" w:gutter="0" w:footer="0" w:header="0"/>
        </w:sectPr>
      </w:pPr>
    </w:p>
    <w:bookmarkStart w:id="353" w:name="page354"/>
    <w:bookmarkEnd w:id="353"/>
    <w:p>
      <w:pPr>
        <w:spacing w:after="0"/>
        <w:tabs>
          <w:tab w:leader="none" w:pos="520" w:val="left"/>
        </w:tabs>
        <w:rPr>
          <w:sz w:val="20"/>
          <w:szCs w:val="20"/>
          <w:color w:val="auto"/>
        </w:rPr>
      </w:pPr>
      <w:r>
        <w:rPr>
          <w:rFonts w:ascii="Times New Roman" w:cs="Times New Roman" w:eastAsia="Times New Roman" w:hAnsi="Times New Roman"/>
          <w:sz w:val="15"/>
          <w:szCs w:val="15"/>
          <w:color w:val="auto"/>
        </w:rPr>
        <w:t>1.89</w:t>
      </w:r>
      <w:r>
        <w:rPr>
          <w:sz w:val="20"/>
          <w:szCs w:val="20"/>
          <w:color w:val="auto"/>
        </w:rPr>
        <w:tab/>
      </w:r>
      <w:r>
        <w:rPr>
          <w:rFonts w:ascii="Times New Roman" w:cs="Times New Roman" w:eastAsia="Times New Roman" w:hAnsi="Times New Roman"/>
          <w:sz w:val="14"/>
          <w:szCs w:val="14"/>
          <w:b w:val="1"/>
          <w:bCs w:val="1"/>
          <w:color w:val="auto"/>
        </w:rPr>
        <w:t>Interpretation</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1060" w:right="44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1.89.1</w:t>
        <w:tab/>
        <w:t>The phrase “directly or indirectly” means directly or indirectly through one or more intermediate Persons or through contractual or other arrangements, and “direct or indirect” has the correlative meaning.</w:t>
      </w:r>
    </w:p>
    <w:p>
      <w:pPr>
        <w:spacing w:after="0" w:line="141" w:lineRule="exact"/>
        <w:rPr>
          <w:sz w:val="20"/>
          <w:szCs w:val="20"/>
          <w:color w:val="auto"/>
        </w:rPr>
      </w:pPr>
    </w:p>
    <w:p>
      <w:pPr>
        <w:ind w:left="1060" w:right="6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1.89.2</w:t>
        <w:tab/>
        <w:t>Unless the context otherwise requires, all words (whether gender-specific or gender neutral) shall be deemed to include each of the masculine, feminine and neuter genders, and words importing the singular include the plural and vice versa, and the word “or” has the inclusive meaning represented by the phrase “and/or.”</w:t>
      </w:r>
    </w:p>
    <w:p>
      <w:pPr>
        <w:spacing w:after="0" w:line="141"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1.89.3</w:t>
      </w:r>
      <w:r>
        <w:rPr>
          <w:sz w:val="20"/>
          <w:szCs w:val="20"/>
          <w:color w:val="auto"/>
        </w:rPr>
        <w:tab/>
      </w:r>
      <w:r>
        <w:rPr>
          <w:rFonts w:ascii="Times New Roman" w:cs="Times New Roman" w:eastAsia="Times New Roman" w:hAnsi="Times New Roman"/>
          <w:sz w:val="14"/>
          <w:szCs w:val="14"/>
          <w:color w:val="auto"/>
        </w:rPr>
        <w:t>Headings are included for convenience only and shall not affect the construction of any provision of this Agreement.</w:t>
      </w:r>
    </w:p>
    <w:p>
      <w:pPr>
        <w:spacing w:after="0" w:line="179"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1.89.4</w:t>
      </w:r>
      <w:r>
        <w:rPr>
          <w:sz w:val="20"/>
          <w:szCs w:val="20"/>
          <w:color w:val="auto"/>
        </w:rPr>
        <w:tab/>
      </w:r>
      <w:r>
        <w:rPr>
          <w:rFonts w:ascii="Times New Roman" w:cs="Times New Roman" w:eastAsia="Times New Roman" w:hAnsi="Times New Roman"/>
          <w:sz w:val="14"/>
          <w:szCs w:val="14"/>
          <w:color w:val="auto"/>
        </w:rPr>
        <w:t>“Include,” “including,” “are inclusive of” and similar expressions are not expressions of limitation and shall be construed as if followed by the words “without limitation.”</w:t>
      </w:r>
    </w:p>
    <w:p>
      <w:pPr>
        <w:spacing w:after="0" w:line="179"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1.89.5</w:t>
      </w:r>
      <w:r>
        <w:rPr>
          <w:sz w:val="20"/>
          <w:szCs w:val="20"/>
          <w:color w:val="auto"/>
        </w:rPr>
        <w:tab/>
      </w:r>
      <w:r>
        <w:rPr>
          <w:rFonts w:ascii="Times New Roman" w:cs="Times New Roman" w:eastAsia="Times New Roman" w:hAnsi="Times New Roman"/>
          <w:sz w:val="14"/>
          <w:szCs w:val="14"/>
          <w:color w:val="auto"/>
        </w:rPr>
        <w:t>The word “will” shall be construed to have the same meaning and effect as the word “shall.”</w:t>
      </w:r>
    </w:p>
    <w:p>
      <w:pPr>
        <w:spacing w:after="0" w:line="179" w:lineRule="exact"/>
        <w:rPr>
          <w:sz w:val="20"/>
          <w:szCs w:val="20"/>
          <w:color w:val="auto"/>
        </w:rPr>
      </w:pPr>
    </w:p>
    <w:p>
      <w:pPr>
        <w:ind w:left="1060" w:right="50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1.89.6</w:t>
        <w:tab/>
        <w:t>References to any specific law, rule or regulation, or article, section or other division thereof, shall be deemed to include the then-current amendments thereto or any replacement or successor law, rule or regulation thereof.</w:t>
      </w:r>
    </w:p>
    <w:p>
      <w:pPr>
        <w:spacing w:after="0" w:line="141" w:lineRule="exact"/>
        <w:rPr>
          <w:sz w:val="20"/>
          <w:szCs w:val="20"/>
          <w:color w:val="auto"/>
        </w:rPr>
      </w:pPr>
    </w:p>
    <w:p>
      <w:pPr>
        <w:ind w:left="1060" w:hanging="526"/>
        <w:spacing w:after="0" w:line="252" w:lineRule="auto"/>
        <w:tabs>
          <w:tab w:leader="none" w:pos="1040" w:val="left"/>
        </w:tabs>
        <w:rPr>
          <w:sz w:val="20"/>
          <w:szCs w:val="20"/>
          <w:color w:val="auto"/>
        </w:rPr>
      </w:pPr>
      <w:r>
        <w:rPr>
          <w:rFonts w:ascii="Times New Roman" w:cs="Times New Roman" w:eastAsia="Times New Roman" w:hAnsi="Times New Roman"/>
          <w:sz w:val="15"/>
          <w:szCs w:val="15"/>
          <w:color w:val="auto"/>
        </w:rPr>
        <w:t>1.89.7</w:t>
        <w:tab/>
        <w:t>References to this Agreement include the Exhibits and Schedules, which form an integral part hereof. A reference to any Section, Schedule or Exhibit is, unless otherwise specified, to such Section, Schedule or Exhibit to this Agreement. The words “hereof,” “hereunder” and “hereto,” and words of like import, unless the context requires otherwise, refer to this Agreement as a whole and not to any particular clause hereof, or Schedule or Exhibit hereto. A reference to any document (including this Agreement) is to that document as amended, consolidated, supplemented, novated or replaced from time to time.</w:t>
      </w:r>
    </w:p>
    <w:p>
      <w:pPr>
        <w:spacing w:after="0" w:line="154" w:lineRule="exact"/>
        <w:rPr>
          <w:sz w:val="20"/>
          <w:szCs w:val="20"/>
          <w:color w:val="auto"/>
        </w:rPr>
      </w:pPr>
    </w:p>
    <w:p>
      <w:pPr>
        <w:ind w:left="1060" w:right="2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1.89.8</w:t>
        <w:tab/>
        <w:t>Whenever this Agreement refers to a number of days, unless otherwise specified, such number refers to calendar days. If a period of time is specified and dates from a given day or the day of a given act or event, such period shall be calculated exclusive of that day.</w:t>
      </w:r>
    </w:p>
    <w:p>
      <w:pPr>
        <w:spacing w:after="0" w:line="141"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1.89.9</w:t>
      </w:r>
      <w:r>
        <w:rPr>
          <w:sz w:val="20"/>
          <w:szCs w:val="20"/>
          <w:color w:val="auto"/>
        </w:rPr>
        <w:tab/>
      </w:r>
      <w:r>
        <w:rPr>
          <w:rFonts w:ascii="Times New Roman" w:cs="Times New Roman" w:eastAsia="Times New Roman" w:hAnsi="Times New Roman"/>
          <w:sz w:val="14"/>
          <w:szCs w:val="14"/>
          <w:color w:val="auto"/>
        </w:rPr>
        <w:t>References to writing and written include any mode of reproducing words in a legible and non-transitory form, including e-mails and faxes.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1.89.10 References to any Joint Patent Right(s) is inclusive of any Specified Joint Patent Right(s).</w:t>
      </w:r>
    </w:p>
    <w:p>
      <w:pPr>
        <w:spacing w:after="0" w:line="1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1.90</w:t>
      </w:r>
      <w:r>
        <w:rPr>
          <w:sz w:val="20"/>
          <w:szCs w:val="20"/>
          <w:color w:val="auto"/>
        </w:rPr>
        <w:tab/>
      </w:r>
      <w:r>
        <w:rPr>
          <w:rFonts w:ascii="Times New Roman" w:cs="Times New Roman" w:eastAsia="Times New Roman" w:hAnsi="Times New Roman"/>
          <w:sz w:val="14"/>
          <w:szCs w:val="14"/>
          <w:b w:val="1"/>
          <w:bCs w:val="1"/>
          <w:color w:val="auto"/>
        </w:rPr>
        <w:t>Language</w:t>
      </w:r>
      <w:r>
        <w:rPr>
          <w:rFonts w:ascii="Times New Roman" w:cs="Times New Roman" w:eastAsia="Times New Roman" w:hAnsi="Times New Roman"/>
          <w:sz w:val="14"/>
          <w:szCs w:val="14"/>
          <w:color w:val="auto"/>
        </w:rPr>
        <w:t>. This Agreement is drawn up in the English language. If this Agreement is translated into any language other than English, the English language text shall prevail.</w:t>
      </w: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00"/>
          </w:cols>
          <w:pgMar w:left="300" w:top="760" w:right="399" w:bottom="1440" w:gutter="0" w:footer="0" w:header="0"/>
        </w:sectPr>
      </w:pPr>
    </w:p>
    <w:bookmarkStart w:id="354" w:name="page355"/>
    <w:bookmarkEnd w:id="354"/>
    <w:p>
      <w:pPr>
        <w:ind w:left="540" w:hanging="532"/>
        <w:spacing w:after="0"/>
        <w:tabs>
          <w:tab w:leader="none" w:pos="540" w:val="left"/>
        </w:tabs>
        <w:numPr>
          <w:ilvl w:val="0"/>
          <w:numId w:val="20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Grant of Rights; Non-Compete</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2.1</w:t>
      </w:r>
      <w:r>
        <w:rPr>
          <w:sz w:val="20"/>
          <w:szCs w:val="20"/>
          <w:color w:val="auto"/>
        </w:rPr>
        <w:tab/>
      </w:r>
      <w:r>
        <w:rPr>
          <w:rFonts w:ascii="Times New Roman" w:cs="Times New Roman" w:eastAsia="Times New Roman" w:hAnsi="Times New Roman"/>
          <w:sz w:val="14"/>
          <w:szCs w:val="14"/>
          <w:b w:val="1"/>
          <w:bCs w:val="1"/>
          <w:color w:val="auto"/>
        </w:rPr>
        <w:t>License Grants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60" w:hanging="526"/>
        <w:spacing w:after="0" w:line="247" w:lineRule="auto"/>
        <w:tabs>
          <w:tab w:leader="none" w:pos="1040" w:val="left"/>
        </w:tabs>
        <w:rPr>
          <w:sz w:val="20"/>
          <w:szCs w:val="20"/>
          <w:color w:val="auto"/>
        </w:rPr>
      </w:pPr>
      <w:r>
        <w:rPr>
          <w:rFonts w:ascii="Times New Roman" w:cs="Times New Roman" w:eastAsia="Times New Roman" w:hAnsi="Times New Roman"/>
          <w:sz w:val="15"/>
          <w:szCs w:val="15"/>
          <w:color w:val="auto"/>
        </w:rPr>
        <w:t>2.1.1</w:t>
      </w:r>
      <w:r>
        <w:rPr>
          <w:sz w:val="20"/>
          <w:szCs w:val="20"/>
          <w:color w:val="auto"/>
        </w:rPr>
        <w:tab/>
      </w:r>
      <w:r>
        <w:rPr>
          <w:rFonts w:ascii="Times New Roman" w:cs="Times New Roman" w:eastAsia="Times New Roman" w:hAnsi="Times New Roman"/>
          <w:sz w:val="15"/>
          <w:szCs w:val="15"/>
          <w:b w:val="1"/>
          <w:bCs w:val="1"/>
          <w:color w:val="auto"/>
        </w:rPr>
        <w:t>By XENCOR</w:t>
      </w:r>
      <w:r>
        <w:rPr>
          <w:rFonts w:ascii="Times New Roman" w:cs="Times New Roman" w:eastAsia="Times New Roman" w:hAnsi="Times New Roman"/>
          <w:sz w:val="15"/>
          <w:szCs w:val="15"/>
          <w:color w:val="auto"/>
        </w:rPr>
        <w:t>. Subject to the terms and conditions of this Agreement, XENCOR hereby grants to Licensee (a) subject to the following sentence, an exclusive (even as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XENCOR and its Affiliates, except to the extent necessary for XENCOR and its Affiliates to perform its obligations hereunder and except as set forth in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 xml:space="preserve">), royalty-bearing, sublicenseable (through multiple tiers, subject to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xml:space="preserve">), and non-transferable (except as permitted under </w:t>
      </w:r>
      <w:r>
        <w:rPr>
          <w:rFonts w:ascii="Times New Roman" w:cs="Times New Roman" w:eastAsia="Times New Roman" w:hAnsi="Times New Roman"/>
          <w:sz w:val="15"/>
          <w:szCs w:val="15"/>
          <w:u w:val="single" w:color="auto"/>
          <w:color w:val="auto"/>
        </w:rPr>
        <w:t>Section 16.1</w:t>
      </w:r>
      <w:r>
        <w:rPr>
          <w:rFonts w:ascii="Times New Roman" w:cs="Times New Roman" w:eastAsia="Times New Roman" w:hAnsi="Times New Roman"/>
          <w:sz w:val="15"/>
          <w:szCs w:val="15"/>
          <w:color w:val="auto"/>
        </w:rPr>
        <w:t xml:space="preserve">) license under the XENCOR Patent Rights and XENCOR’s interests in Joint Patent Rights, Specified Joint Patent Rights, and a non-exclusive payment bearing license under XENCOR Know-How, in each case, to Develop, Manufacture (subject to </w:t>
      </w:r>
      <w:r>
        <w:rPr>
          <w:rFonts w:ascii="Times New Roman" w:cs="Times New Roman" w:eastAsia="Times New Roman" w:hAnsi="Times New Roman"/>
          <w:sz w:val="15"/>
          <w:szCs w:val="15"/>
          <w:u w:val="single" w:color="auto"/>
          <w:color w:val="auto"/>
        </w:rPr>
        <w:t>Article 7</w:t>
      </w:r>
      <w:r>
        <w:rPr>
          <w:rFonts w:ascii="Times New Roman" w:cs="Times New Roman" w:eastAsia="Times New Roman" w:hAnsi="Times New Roman"/>
          <w:sz w:val="15"/>
          <w:szCs w:val="15"/>
          <w:color w:val="auto"/>
        </w:rPr>
        <w:t xml:space="preserve">), Commercialize, and otherwise use, sell, offer for sale, and import the Licensed Asset and Products in the Field in the Licensed Territory, and (b) an non-exclusive, royalty-free, sublicenseable (through multiple tiers, subject to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xml:space="preserve">), and non-transferable (except as permitted under </w:t>
      </w:r>
      <w:r>
        <w:rPr>
          <w:rFonts w:ascii="Times New Roman" w:cs="Times New Roman" w:eastAsia="Times New Roman" w:hAnsi="Times New Roman"/>
          <w:sz w:val="15"/>
          <w:szCs w:val="15"/>
          <w:u w:val="single" w:color="auto"/>
          <w:color w:val="auto"/>
        </w:rPr>
        <w:t>Section 16.1</w:t>
      </w:r>
      <w:r>
        <w:rPr>
          <w:rFonts w:ascii="Times New Roman" w:cs="Times New Roman" w:eastAsia="Times New Roman" w:hAnsi="Times New Roman"/>
          <w:sz w:val="15"/>
          <w:szCs w:val="15"/>
          <w:color w:val="auto"/>
        </w:rPr>
        <w:t xml:space="preserve">) license under the XENCOR Patent Rights, XENCOR’s interests in Joint Patent Rights, and XENCOR Know-How, in each case, to Develop, Manufacture (subject to </w:t>
      </w:r>
      <w:r>
        <w:rPr>
          <w:rFonts w:ascii="Times New Roman" w:cs="Times New Roman" w:eastAsia="Times New Roman" w:hAnsi="Times New Roman"/>
          <w:sz w:val="15"/>
          <w:szCs w:val="15"/>
          <w:u w:val="single" w:color="auto"/>
          <w:color w:val="auto"/>
        </w:rPr>
        <w:t>Article 7</w:t>
      </w:r>
      <w:r>
        <w:rPr>
          <w:rFonts w:ascii="Times New Roman" w:cs="Times New Roman" w:eastAsia="Times New Roman" w:hAnsi="Times New Roman"/>
          <w:sz w:val="15"/>
          <w:szCs w:val="15"/>
          <w:color w:val="auto"/>
        </w:rPr>
        <w:t>), Commercialize, and otherwise use, sell, offer for sale, and import the Companion Diagnostics in the Field in the Licensed Territory. XENCOR’s license to Licensee pursuant to clause (a) of the foregoing sentence shall be non-exclusive (rather than exclusive) solely under the [***] Flow-through Patent Rights that are Post-Sublicensing Patents (as defined in the [***] Agreement).</w:t>
      </w:r>
    </w:p>
    <w:p>
      <w:pPr>
        <w:spacing w:after="0" w:line="158" w:lineRule="exact"/>
        <w:rPr>
          <w:sz w:val="20"/>
          <w:szCs w:val="20"/>
          <w:color w:val="auto"/>
        </w:rPr>
      </w:pPr>
    </w:p>
    <w:p>
      <w:pPr>
        <w:ind w:left="1060" w:right="20" w:hanging="526"/>
        <w:spacing w:after="0" w:line="251" w:lineRule="auto"/>
        <w:tabs>
          <w:tab w:leader="none" w:pos="1040" w:val="left"/>
        </w:tabs>
        <w:rPr>
          <w:sz w:val="20"/>
          <w:szCs w:val="20"/>
          <w:color w:val="auto"/>
        </w:rPr>
      </w:pPr>
      <w:r>
        <w:rPr>
          <w:rFonts w:ascii="Times New Roman" w:cs="Times New Roman" w:eastAsia="Times New Roman" w:hAnsi="Times New Roman"/>
          <w:sz w:val="15"/>
          <w:szCs w:val="15"/>
          <w:color w:val="auto"/>
        </w:rPr>
        <w:t>2.1.2</w:t>
      </w:r>
      <w:r>
        <w:rPr>
          <w:sz w:val="20"/>
          <w:szCs w:val="20"/>
          <w:color w:val="auto"/>
        </w:rPr>
        <w:tab/>
      </w:r>
      <w:r>
        <w:rPr>
          <w:rFonts w:ascii="Times New Roman" w:cs="Times New Roman" w:eastAsia="Times New Roman" w:hAnsi="Times New Roman"/>
          <w:sz w:val="15"/>
          <w:szCs w:val="15"/>
          <w:b w:val="1"/>
          <w:bCs w:val="1"/>
          <w:color w:val="auto"/>
        </w:rPr>
        <w:t>Negative Covenant</w:t>
      </w:r>
      <w:r>
        <w:rPr>
          <w:rFonts w:ascii="Times New Roman" w:cs="Times New Roman" w:eastAsia="Times New Roman" w:hAnsi="Times New Roman"/>
          <w:sz w:val="15"/>
          <w:szCs w:val="15"/>
          <w:color w:val="auto"/>
        </w:rPr>
        <w:t>. Licensee covenants that it will not use or practice any of XENCOR’s rights to and under the XENCOR Patent Rights, XENCOR Know-How or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Intellectual Property rights licensed (or sublicensed, as applicable) to it under this </w:t>
      </w:r>
      <w:r>
        <w:rPr>
          <w:rFonts w:ascii="Times New Roman" w:cs="Times New Roman" w:eastAsia="Times New Roman" w:hAnsi="Times New Roman"/>
          <w:sz w:val="15"/>
          <w:szCs w:val="15"/>
          <w:u w:val="single" w:color="auto"/>
          <w:color w:val="auto"/>
        </w:rPr>
        <w:t>Article 2</w:t>
      </w:r>
      <w:r>
        <w:rPr>
          <w:rFonts w:ascii="Times New Roman" w:cs="Times New Roman" w:eastAsia="Times New Roman" w:hAnsi="Times New Roman"/>
          <w:sz w:val="15"/>
          <w:szCs w:val="15"/>
          <w:color w:val="auto"/>
        </w:rPr>
        <w:t>, except for the purposes expressly permitted in the applicable license grant. Licensee covenants that it will not research or develop (including Develop) the Licensed Asset itself, including not developing any modification, variant, fragment, progeny or derivatives of the Licensed Asset, in each case, in a way that would produce a molecule that is neither the Licensed Asset nor a molecule that falls within the definition of a Product.</w:t>
      </w:r>
    </w:p>
    <w:p>
      <w:pPr>
        <w:spacing w:after="0" w:line="15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2.2</w:t>
      </w:r>
      <w:r>
        <w:rPr>
          <w:sz w:val="20"/>
          <w:szCs w:val="20"/>
          <w:color w:val="auto"/>
        </w:rPr>
        <w:tab/>
      </w:r>
      <w:r>
        <w:rPr>
          <w:rFonts w:ascii="Times New Roman" w:cs="Times New Roman" w:eastAsia="Times New Roman" w:hAnsi="Times New Roman"/>
          <w:sz w:val="14"/>
          <w:szCs w:val="14"/>
          <w:b w:val="1"/>
          <w:bCs w:val="1"/>
          <w:color w:val="auto"/>
        </w:rPr>
        <w:t>Sublicensing by Licensee</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60" w:right="220" w:hanging="526"/>
        <w:spacing w:after="0" w:line="272" w:lineRule="auto"/>
        <w:tabs>
          <w:tab w:leader="none" w:pos="1040" w:val="left"/>
        </w:tabs>
        <w:rPr>
          <w:sz w:val="20"/>
          <w:szCs w:val="20"/>
          <w:color w:val="auto"/>
        </w:rPr>
      </w:pPr>
      <w:r>
        <w:rPr>
          <w:rFonts w:ascii="Times New Roman" w:cs="Times New Roman" w:eastAsia="Times New Roman" w:hAnsi="Times New Roman"/>
          <w:sz w:val="15"/>
          <w:szCs w:val="15"/>
          <w:color w:val="auto"/>
        </w:rPr>
        <w:t>2.2.1</w:t>
      </w:r>
      <w:r>
        <w:rPr>
          <w:sz w:val="20"/>
          <w:szCs w:val="20"/>
          <w:color w:val="auto"/>
        </w:rPr>
        <w:tab/>
      </w:r>
      <w:r>
        <w:rPr>
          <w:rFonts w:ascii="Times New Roman" w:cs="Times New Roman" w:eastAsia="Times New Roman" w:hAnsi="Times New Roman"/>
          <w:sz w:val="15"/>
          <w:szCs w:val="15"/>
          <w:b w:val="1"/>
          <w:bCs w:val="1"/>
          <w:color w:val="auto"/>
        </w:rPr>
        <w:t>Sublicensing</w:t>
      </w:r>
      <w:r>
        <w:rPr>
          <w:rFonts w:ascii="Times New Roman" w:cs="Times New Roman" w:eastAsia="Times New Roman" w:hAnsi="Times New Roman"/>
          <w:sz w:val="15"/>
          <w:szCs w:val="15"/>
          <w:color w:val="auto"/>
        </w:rPr>
        <w:t>. Licensee shall be permitted to sublicense (through multiple tiers) its rights under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relation to any Licensed Asset or Product, to its Affiliates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any Third Party, in each case, without XENCOR’s prior written consent, subject to </w:t>
      </w:r>
      <w:r>
        <w:rPr>
          <w:rFonts w:ascii="Times New Roman" w:cs="Times New Roman" w:eastAsia="Times New Roman" w:hAnsi="Times New Roman"/>
          <w:sz w:val="15"/>
          <w:szCs w:val="15"/>
          <w:u w:val="single" w:color="auto"/>
          <w:color w:val="auto"/>
        </w:rPr>
        <w:t>Sections 2.2.2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10.4</w:t>
      </w:r>
      <w:r>
        <w:rPr>
          <w:rFonts w:ascii="Times New Roman" w:cs="Times New Roman" w:eastAsia="Times New Roman" w:hAnsi="Times New Roman"/>
          <w:sz w:val="15"/>
          <w:szCs w:val="15"/>
          <w:color w:val="auto"/>
        </w:rPr>
        <w:t>.</w:t>
      </w:r>
    </w:p>
    <w:p>
      <w:pPr>
        <w:spacing w:after="0" w:line="136" w:lineRule="exact"/>
        <w:rPr>
          <w:sz w:val="20"/>
          <w:szCs w:val="20"/>
          <w:color w:val="auto"/>
        </w:rPr>
      </w:pPr>
    </w:p>
    <w:p>
      <w:pPr>
        <w:ind w:left="1060" w:right="180" w:hanging="526"/>
        <w:spacing w:after="0" w:line="270" w:lineRule="auto"/>
        <w:tabs>
          <w:tab w:leader="none" w:pos="1040" w:val="left"/>
        </w:tabs>
        <w:rPr>
          <w:sz w:val="20"/>
          <w:szCs w:val="20"/>
          <w:color w:val="auto"/>
        </w:rPr>
      </w:pPr>
      <w:r>
        <w:rPr>
          <w:rFonts w:ascii="Times New Roman" w:cs="Times New Roman" w:eastAsia="Times New Roman" w:hAnsi="Times New Roman"/>
          <w:sz w:val="15"/>
          <w:szCs w:val="15"/>
          <w:color w:val="auto"/>
        </w:rPr>
        <w:t>2.2.2</w:t>
      </w:r>
      <w:r>
        <w:rPr>
          <w:sz w:val="20"/>
          <w:szCs w:val="20"/>
          <w:color w:val="auto"/>
        </w:rPr>
        <w:tab/>
      </w:r>
      <w:r>
        <w:rPr>
          <w:rFonts w:ascii="Times New Roman" w:cs="Times New Roman" w:eastAsia="Times New Roman" w:hAnsi="Times New Roman"/>
          <w:sz w:val="14"/>
          <w:szCs w:val="14"/>
          <w:b w:val="1"/>
          <w:bCs w:val="1"/>
          <w:color w:val="auto"/>
        </w:rPr>
        <w:t>Sublicense Requirements</w:t>
      </w:r>
      <w:r>
        <w:rPr>
          <w:rFonts w:ascii="Times New Roman" w:cs="Times New Roman" w:eastAsia="Times New Roman" w:hAnsi="Times New Roman"/>
          <w:sz w:val="14"/>
          <w:szCs w:val="14"/>
          <w:color w:val="auto"/>
        </w:rPr>
        <w:t>. Each sublicense granted pursuant to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(each, a “</w:t>
      </w:r>
      <w:r>
        <w:rPr>
          <w:rFonts w:ascii="Times New Roman" w:cs="Times New Roman" w:eastAsia="Times New Roman" w:hAnsi="Times New Roman"/>
          <w:sz w:val="14"/>
          <w:szCs w:val="14"/>
          <w:u w:val="single" w:color="auto"/>
          <w:color w:val="auto"/>
        </w:rPr>
        <w:t>Sublicense</w:t>
      </w:r>
      <w:r>
        <w:rPr>
          <w:rFonts w:ascii="Times New Roman" w:cs="Times New Roman" w:eastAsia="Times New Roman" w:hAnsi="Times New Roman"/>
          <w:sz w:val="14"/>
          <w:szCs w:val="14"/>
          <w:color w:val="auto"/>
        </w:rPr>
        <w:t>”) shall: (a) be in writing; (b) be subject and subordinate to,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consistent with, the terms and conditions of this Agreement; (c) require its Affiliates, or the Third Party who is a party to such Sublicense (such party, the “</w:t>
      </w:r>
      <w:r>
        <w:rPr>
          <w:rFonts w:ascii="Times New Roman" w:cs="Times New Roman" w:eastAsia="Times New Roman" w:hAnsi="Times New Roman"/>
          <w:sz w:val="14"/>
          <w:szCs w:val="14"/>
          <w:u w:val="single" w:color="auto"/>
          <w:color w:val="auto"/>
        </w:rPr>
        <w:t>Sublicensee</w:t>
      </w:r>
      <w:r>
        <w:rPr>
          <w:rFonts w:ascii="Times New Roman" w:cs="Times New Roman" w:eastAsia="Times New Roman" w:hAnsi="Times New Roman"/>
          <w:sz w:val="14"/>
          <w:szCs w:val="14"/>
          <w:color w:val="auto"/>
        </w:rPr>
        <w:t xml:space="preserve">”) to assign Intellectual Property in accordance with </w:t>
      </w:r>
      <w:r>
        <w:rPr>
          <w:rFonts w:ascii="Times New Roman" w:cs="Times New Roman" w:eastAsia="Times New Roman" w:hAnsi="Times New Roman"/>
          <w:sz w:val="14"/>
          <w:szCs w:val="14"/>
          <w:u w:val="single" w:color="auto"/>
          <w:color w:val="auto"/>
        </w:rPr>
        <w:t>Section 12.2.2</w:t>
      </w:r>
      <w:r>
        <w:rPr>
          <w:rFonts w:ascii="Times New Roman" w:cs="Times New Roman" w:eastAsia="Times New Roman" w:hAnsi="Times New Roman"/>
          <w:sz w:val="14"/>
          <w:szCs w:val="14"/>
          <w:color w:val="auto"/>
        </w:rPr>
        <w:t>; (d) require the Sublicensee to comply with the Anti-Corruption Laws and the Anti-Corruption Policies; and</w:t>
      </w:r>
    </w:p>
    <w:p>
      <w:pPr>
        <w:spacing w:after="0" w:line="1" w:lineRule="exact"/>
        <w:rPr>
          <w:sz w:val="20"/>
          <w:szCs w:val="20"/>
          <w:color w:val="auto"/>
        </w:rPr>
      </w:pPr>
    </w:p>
    <w:p>
      <w:pPr>
        <w:ind w:left="1060" w:right="40" w:firstLine="3"/>
        <w:spacing w:after="0" w:line="264" w:lineRule="auto"/>
        <w:tabs>
          <w:tab w:leader="none" w:pos="1259"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only be granted pursuant to an arm’s length transaction for fair market value consideration (except for Sublicenses granted (i) to Licensee’s Affiliates for (and only for) so long as such Affiliates remain Licensee’s Affiliates, or (ii) to Licensee’s subcontractors solely for purpose of performing Licensee’s obligations under this Agreement). Licensee will provide XENCOR with a written notice of any sublicense granted by Licensee pursuant to this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to any Affiliates or Third Party (not including subcontractors of Licensee) no later than [***] after the effective date thereof and will provide XENCOR with a true and complete copy of each Third Party sublicense agreement, except that Licensee may redact any confidential or proprietary information contained therein that is not necessary for XENCOR to determine compliance with this Agreement. Licensee shall remain liable for, and obligated to, perform all of its obligations under this Agreement and shall be liable for the performance of, and any acts, omissions or breaches by, each of its Sublicensees. Licensee shall ensure that each of its Sublicensees complies with all relevant provisions of this Agreement. For the avoidance of doubt, (i) Licensee will remain directly responsible for all amounts owed to XENCOR under this Agreement, and (ii) Licensee shall cause each Sublicensee (including each tier of Sublicensee) to be subject to the negative and restrictive covenants set forth in </w:t>
      </w:r>
      <w:r>
        <w:rPr>
          <w:rFonts w:ascii="Times New Roman" w:cs="Times New Roman" w:eastAsia="Times New Roman" w:hAnsi="Times New Roman"/>
          <w:sz w:val="14"/>
          <w:szCs w:val="14"/>
          <w:u w:val="single" w:color="auto"/>
          <w:color w:val="auto"/>
        </w:rPr>
        <w:t>Sections 2.1.2</w:t>
      </w:r>
      <w:r>
        <w:rPr>
          <w:rFonts w:ascii="Times New Roman" w:cs="Times New Roman" w:eastAsia="Times New Roman" w:hAnsi="Times New Roman"/>
          <w:sz w:val="14"/>
          <w:szCs w:val="14"/>
          <w:color w:val="auto"/>
        </w:rPr>
        <w:t>. Licensee hereby expressly waives any requirement that XENCOR exhaust any right, power or remedy, or proceed against a Sublicensee, for any obligation or performance hereunder prior to proceeding directly against Licensee.</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55" w:name="page356"/>
    <w:bookmarkEnd w:id="355"/>
    <w:p>
      <w:pPr>
        <w:spacing w:after="0"/>
        <w:tabs>
          <w:tab w:leader="none" w:pos="520" w:val="left"/>
        </w:tabs>
        <w:rPr>
          <w:sz w:val="20"/>
          <w:szCs w:val="20"/>
          <w:color w:val="auto"/>
        </w:rPr>
      </w:pPr>
      <w:r>
        <w:rPr>
          <w:rFonts w:ascii="Times New Roman" w:cs="Times New Roman" w:eastAsia="Times New Roman" w:hAnsi="Times New Roman"/>
          <w:sz w:val="15"/>
          <w:szCs w:val="15"/>
          <w:color w:val="auto"/>
        </w:rPr>
        <w:t>2.3</w:t>
      </w:r>
      <w:r>
        <w:rPr>
          <w:sz w:val="20"/>
          <w:szCs w:val="20"/>
          <w:color w:val="auto"/>
        </w:rPr>
        <w:tab/>
      </w:r>
      <w:r>
        <w:rPr>
          <w:rFonts w:ascii="Times New Roman" w:cs="Times New Roman" w:eastAsia="Times New Roman" w:hAnsi="Times New Roman"/>
          <w:sz w:val="14"/>
          <w:szCs w:val="14"/>
          <w:b w:val="1"/>
          <w:bCs w:val="1"/>
          <w:color w:val="auto"/>
        </w:rPr>
        <w:t>Retained Rights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1060" w:right="160" w:hanging="526"/>
        <w:spacing w:after="0" w:line="257" w:lineRule="auto"/>
        <w:tabs>
          <w:tab w:leader="none" w:pos="1040" w:val="left"/>
        </w:tabs>
        <w:rPr>
          <w:sz w:val="20"/>
          <w:szCs w:val="20"/>
          <w:color w:val="auto"/>
        </w:rPr>
      </w:pPr>
      <w:r>
        <w:rPr>
          <w:rFonts w:ascii="Times New Roman" w:cs="Times New Roman" w:eastAsia="Times New Roman" w:hAnsi="Times New Roman"/>
          <w:sz w:val="15"/>
          <w:szCs w:val="15"/>
          <w:color w:val="auto"/>
        </w:rPr>
        <w:t>2.3.1</w:t>
      </w:r>
      <w:r>
        <w:rPr>
          <w:sz w:val="20"/>
          <w:szCs w:val="20"/>
          <w:color w:val="auto"/>
        </w:rPr>
        <w:tab/>
      </w:r>
      <w:r>
        <w:rPr>
          <w:rFonts w:ascii="Times New Roman" w:cs="Times New Roman" w:eastAsia="Times New Roman" w:hAnsi="Times New Roman"/>
          <w:sz w:val="15"/>
          <w:szCs w:val="15"/>
          <w:color w:val="auto"/>
        </w:rPr>
        <w:t xml:space="preserve">Notwithstanding the exclusivity of the licenses under XENCOR Patent Rights and XENCOR’s interests in Joint Patent Rights granted by XENCOR to Licensee under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XENCOR hereby retains the right to practice XENCOR Patent Rights in the Field in the Licensed Territory solely as necessary to exercise its rights or perform its obligations under this Agreement.</w:t>
      </w:r>
    </w:p>
    <w:p>
      <w:pPr>
        <w:spacing w:after="0" w:line="149" w:lineRule="exact"/>
        <w:rPr>
          <w:sz w:val="20"/>
          <w:szCs w:val="20"/>
          <w:color w:val="auto"/>
        </w:rPr>
      </w:pPr>
    </w:p>
    <w:p>
      <w:pPr>
        <w:ind w:left="1060" w:right="70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2.3.2</w:t>
      </w:r>
      <w:r>
        <w:rPr>
          <w:sz w:val="20"/>
          <w:szCs w:val="20"/>
          <w:color w:val="auto"/>
        </w:rPr>
        <w:tab/>
      </w:r>
      <w:r>
        <w:rPr>
          <w:rFonts w:ascii="Times New Roman" w:cs="Times New Roman" w:eastAsia="Times New Roman" w:hAnsi="Times New Roman"/>
          <w:sz w:val="15"/>
          <w:szCs w:val="15"/>
          <w:color w:val="auto"/>
        </w:rPr>
        <w:t xml:space="preserve">For clarity, XENCOR retains the exclusive right to practice and license XENCOR Intellectual Property outside the scope of the licenses granted to Licensee under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ind w:left="1060" w:right="14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2.3.3</w:t>
      </w:r>
      <w:r>
        <w:rPr>
          <w:sz w:val="20"/>
          <w:szCs w:val="20"/>
          <w:color w:val="auto"/>
        </w:rPr>
        <w:tab/>
      </w:r>
      <w:r>
        <w:rPr>
          <w:rFonts w:ascii="Times New Roman" w:cs="Times New Roman" w:eastAsia="Times New Roman" w:hAnsi="Times New Roman"/>
          <w:sz w:val="15"/>
          <w:szCs w:val="15"/>
          <w:color w:val="auto"/>
        </w:rPr>
        <w:t xml:space="preserve">For clarity, Licensee retains the exclusive right under the Licensee Intellectual Property to Develop, Manufacture and Commercialize the Products in the Licensed Territory, subject to </w:t>
      </w:r>
      <w:r>
        <w:rPr>
          <w:rFonts w:ascii="Times New Roman" w:cs="Times New Roman" w:eastAsia="Times New Roman" w:hAnsi="Times New Roman"/>
          <w:sz w:val="15"/>
          <w:szCs w:val="15"/>
          <w:u w:val="single" w:color="auto"/>
          <w:color w:val="auto"/>
        </w:rPr>
        <w:t>Section 14.5</w:t>
      </w:r>
      <w:r>
        <w:rPr>
          <w:rFonts w:ascii="Times New Roman" w:cs="Times New Roman" w:eastAsia="Times New Roman" w:hAnsi="Times New Roman"/>
          <w:sz w:val="15"/>
          <w:szCs w:val="15"/>
          <w:color w:val="auto"/>
        </w:rPr>
        <w:t>.</w:t>
      </w:r>
    </w:p>
    <w:p>
      <w:pPr>
        <w:spacing w:after="0" w:line="13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2.4</w:t>
      </w:r>
      <w:r>
        <w:rPr>
          <w:sz w:val="20"/>
          <w:szCs w:val="20"/>
          <w:color w:val="auto"/>
        </w:rPr>
        <w:tab/>
      </w:r>
      <w:r>
        <w:rPr>
          <w:rFonts w:ascii="Times New Roman" w:cs="Times New Roman" w:eastAsia="Times New Roman" w:hAnsi="Times New Roman"/>
          <w:sz w:val="14"/>
          <w:szCs w:val="14"/>
          <w:b w:val="1"/>
          <w:bCs w:val="1"/>
          <w:color w:val="auto"/>
        </w:rPr>
        <w:t>Upstream Licenses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1060" w:right="60" w:hanging="526"/>
        <w:spacing w:after="0" w:line="252" w:lineRule="auto"/>
        <w:tabs>
          <w:tab w:leader="none" w:pos="1040" w:val="left"/>
        </w:tabs>
        <w:rPr>
          <w:sz w:val="20"/>
          <w:szCs w:val="20"/>
          <w:color w:val="auto"/>
        </w:rPr>
      </w:pPr>
      <w:r>
        <w:rPr>
          <w:rFonts w:ascii="Times New Roman" w:cs="Times New Roman" w:eastAsia="Times New Roman" w:hAnsi="Times New Roman"/>
          <w:sz w:val="15"/>
          <w:szCs w:val="15"/>
          <w:color w:val="auto"/>
        </w:rPr>
        <w:t>2.4.1</w:t>
      </w:r>
      <w:r>
        <w:rPr>
          <w:sz w:val="20"/>
          <w:szCs w:val="20"/>
          <w:color w:val="auto"/>
        </w:rPr>
        <w:tab/>
      </w:r>
      <w:r>
        <w:rPr>
          <w:rFonts w:ascii="Times New Roman" w:cs="Times New Roman" w:eastAsia="Times New Roman" w:hAnsi="Times New Roman"/>
          <w:sz w:val="15"/>
          <w:szCs w:val="15"/>
          <w:color w:val="auto"/>
        </w:rPr>
        <w:t xml:space="preserve">Licensee acknowledges and agrees that (a) XENCOR obtained the rights to certain XENCOR Intellectual Property under the Upstream Licenses; and (b) the licenses granted by XENCOR to Licensee under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with respect to such XENCOR Intellectual Property constitute sublicenses under the Upstream Licenses and are subject and subordinate to the terms and conditions of the Upstream Licenses. Licensee shall comply with all terms and conditions of the Upstream Licenses that are applicable to Licensee as a sublicensee.</w:t>
      </w:r>
    </w:p>
    <w:p>
      <w:pPr>
        <w:spacing w:after="0" w:line="154" w:lineRule="exact"/>
        <w:rPr>
          <w:sz w:val="20"/>
          <w:szCs w:val="20"/>
          <w:color w:val="auto"/>
        </w:rPr>
      </w:pPr>
    </w:p>
    <w:p>
      <w:pPr>
        <w:ind w:left="1060" w:hanging="526"/>
        <w:spacing w:after="0" w:line="252" w:lineRule="auto"/>
        <w:tabs>
          <w:tab w:leader="none" w:pos="1040" w:val="left"/>
        </w:tabs>
        <w:rPr>
          <w:sz w:val="20"/>
          <w:szCs w:val="20"/>
          <w:color w:val="auto"/>
        </w:rPr>
      </w:pPr>
      <w:r>
        <w:rPr>
          <w:rFonts w:ascii="Times New Roman" w:cs="Times New Roman" w:eastAsia="Times New Roman" w:hAnsi="Times New Roman"/>
          <w:sz w:val="15"/>
          <w:szCs w:val="15"/>
          <w:color w:val="auto"/>
        </w:rPr>
        <w:t>2.4.2</w:t>
      </w:r>
      <w:r>
        <w:rPr>
          <w:sz w:val="20"/>
          <w:szCs w:val="20"/>
          <w:color w:val="auto"/>
        </w:rPr>
        <w:tab/>
      </w:r>
      <w:r>
        <w:rPr>
          <w:rFonts w:ascii="Times New Roman" w:cs="Times New Roman" w:eastAsia="Times New Roman" w:hAnsi="Times New Roman"/>
          <w:sz w:val="15"/>
          <w:szCs w:val="15"/>
          <w:color w:val="auto"/>
        </w:rPr>
        <w:t xml:space="preserve">Licensee acknowledges and agrees that Licensee shall be responsible for any and all royalty payments (for the avoidance of doubt, excluding any milestone payments) payable and due to [***] for any period following the Effective Date resulting from the Development, Manufacture, or Commercialization of the Licensed Asset and Products in the Field in the Licensed Territory. Other than Licensee’s payment obligation expressly stipulated under this </w:t>
      </w:r>
      <w:r>
        <w:rPr>
          <w:rFonts w:ascii="Times New Roman" w:cs="Times New Roman" w:eastAsia="Times New Roman" w:hAnsi="Times New Roman"/>
          <w:sz w:val="15"/>
          <w:szCs w:val="15"/>
          <w:u w:val="single" w:color="auto"/>
          <w:color w:val="auto"/>
        </w:rPr>
        <w:t>Section 2.4.2</w:t>
      </w:r>
      <w:r>
        <w:rPr>
          <w:rFonts w:ascii="Times New Roman" w:cs="Times New Roman" w:eastAsia="Times New Roman" w:hAnsi="Times New Roman"/>
          <w:sz w:val="15"/>
          <w:szCs w:val="15"/>
          <w:color w:val="auto"/>
        </w:rPr>
        <w:t xml:space="preserve"> above, XENCOR shall be solely responsible for any and all payments payable to the respective Upstream Licensors under each applicable Upstream License.</w:t>
      </w: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56" w:name="page357"/>
    <w:bookmarkEnd w:id="356"/>
    <w:p>
      <w:pPr>
        <w:ind w:left="1060" w:right="40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2.4.3</w:t>
      </w:r>
      <w:r>
        <w:rPr>
          <w:sz w:val="20"/>
          <w:szCs w:val="20"/>
          <w:color w:val="auto"/>
        </w:rPr>
        <w:tab/>
      </w:r>
      <w:r>
        <w:rPr>
          <w:rFonts w:ascii="Times New Roman" w:cs="Times New Roman" w:eastAsia="Times New Roman" w:hAnsi="Times New Roman"/>
          <w:sz w:val="15"/>
          <w:szCs w:val="15"/>
          <w:color w:val="auto"/>
        </w:rPr>
        <w:t xml:space="preserve">XENCOR shall promptly inform Licensee of any updates to the [***] Core Improvement Invention Patents or [***] Flow-Through Patent Rights, and promptly amend </w:t>
      </w:r>
      <w:r>
        <w:rPr>
          <w:rFonts w:ascii="Times New Roman" w:cs="Times New Roman" w:eastAsia="Times New Roman" w:hAnsi="Times New Roman"/>
          <w:sz w:val="15"/>
          <w:szCs w:val="15"/>
          <w:u w:val="single" w:color="auto"/>
          <w:color w:val="auto"/>
        </w:rPr>
        <w:t>Schedule 1.82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Schedule 1.61</w:t>
      </w:r>
      <w:r>
        <w:rPr>
          <w:rFonts w:ascii="Times New Roman" w:cs="Times New Roman" w:eastAsia="Times New Roman" w:hAnsi="Times New Roman"/>
          <w:sz w:val="15"/>
          <w:szCs w:val="15"/>
          <w:color w:val="auto"/>
        </w:rPr>
        <w:t xml:space="preserve"> to reflect any changes thereto.</w:t>
      </w:r>
    </w:p>
    <w:p>
      <w:pPr>
        <w:spacing w:after="0" w:line="13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2.5</w:t>
      </w:r>
      <w:r>
        <w:rPr>
          <w:sz w:val="20"/>
          <w:szCs w:val="20"/>
          <w:color w:val="auto"/>
        </w:rPr>
        <w:tab/>
      </w:r>
      <w:r>
        <w:rPr>
          <w:rFonts w:ascii="Times New Roman" w:cs="Times New Roman" w:eastAsia="Times New Roman" w:hAnsi="Times New Roman"/>
          <w:sz w:val="14"/>
          <w:szCs w:val="14"/>
          <w:b w:val="1"/>
          <w:bCs w:val="1"/>
          <w:color w:val="auto"/>
        </w:rPr>
        <w:t>Non-Compete</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60" w:hanging="526"/>
        <w:spacing w:after="0" w:line="247" w:lineRule="auto"/>
        <w:tabs>
          <w:tab w:leader="none" w:pos="1040" w:val="left"/>
        </w:tabs>
        <w:rPr>
          <w:sz w:val="20"/>
          <w:szCs w:val="20"/>
          <w:color w:val="auto"/>
        </w:rPr>
      </w:pPr>
      <w:r>
        <w:rPr>
          <w:rFonts w:ascii="Times New Roman" w:cs="Times New Roman" w:eastAsia="Times New Roman" w:hAnsi="Times New Roman"/>
          <w:sz w:val="15"/>
          <w:szCs w:val="15"/>
          <w:color w:val="auto"/>
        </w:rPr>
        <w:t>2.5.1</w:t>
      </w:r>
      <w:r>
        <w:rPr>
          <w:sz w:val="20"/>
          <w:szCs w:val="20"/>
          <w:color w:val="auto"/>
        </w:rPr>
        <w:tab/>
      </w:r>
      <w:r>
        <w:rPr>
          <w:rFonts w:ascii="Times New Roman" w:cs="Times New Roman" w:eastAsia="Times New Roman" w:hAnsi="Times New Roman"/>
          <w:sz w:val="15"/>
          <w:szCs w:val="15"/>
          <w:b w:val="1"/>
          <w:bCs w:val="1"/>
          <w:color w:val="auto"/>
        </w:rPr>
        <w:t>Non-Compete Obligation of Licensee</w:t>
      </w:r>
      <w:r>
        <w:rPr>
          <w:rFonts w:ascii="Times New Roman" w:cs="Times New Roman" w:eastAsia="Times New Roman" w:hAnsi="Times New Roman"/>
          <w:sz w:val="15"/>
          <w:szCs w:val="15"/>
          <w:color w:val="auto"/>
        </w:rPr>
        <w:t>. During the License Term and for two (2) years thereafter, Licensee shall not, for itself or, with, through or for any Third Party,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without the prior written consent of XENCOR, Develop, Manufacture, or Commercialize any Competing Products, except that Licensee may Develop (including in combination trials with other products or Active Ingredients that are not the Licensed Asset hereunder), Manufacture, or Commercialize the Licensed Asset and the Products in the Licensed Territory as contemplated under this Agreement. Notwithstanding the foregoing, in the event that both: (a) Licensee terminates this Agreement pursuant to </w:t>
      </w:r>
      <w:r>
        <w:rPr>
          <w:rFonts w:ascii="Times New Roman" w:cs="Times New Roman" w:eastAsia="Times New Roman" w:hAnsi="Times New Roman"/>
          <w:sz w:val="15"/>
          <w:szCs w:val="15"/>
          <w:u w:val="single" w:color="auto"/>
          <w:color w:val="auto"/>
        </w:rPr>
        <w:t>Section 14.3</w:t>
      </w:r>
      <w:r>
        <w:rPr>
          <w:rFonts w:ascii="Times New Roman" w:cs="Times New Roman" w:eastAsia="Times New Roman" w:hAnsi="Times New Roman"/>
          <w:sz w:val="15"/>
          <w:szCs w:val="15"/>
          <w:color w:val="auto"/>
        </w:rPr>
        <w:t xml:space="preserve"> because (i) the Licensed Asset or Products would not be clinically feasible to obtain Regulatory Approval in a Major Territory (as a result of, for example, safety concerns, severe adverse event, insufficient clinical activity level, lack of or insufficient efficacy, etc.), or (ii) it would not be technically or commercially feasible to Manufacture the Licensed Asset or Products, then in either case (i) or (ii); and (b) at or prior to such termination, Licensee notifies XENCOR of the reason for such termination with reasonable supporting detail for its decision, then Licensee shall not be subject to the non-compete obligation under this </w:t>
      </w:r>
      <w:r>
        <w:rPr>
          <w:rFonts w:ascii="Times New Roman" w:cs="Times New Roman" w:eastAsia="Times New Roman" w:hAnsi="Times New Roman"/>
          <w:sz w:val="15"/>
          <w:szCs w:val="15"/>
          <w:u w:val="single" w:color="auto"/>
          <w:color w:val="auto"/>
        </w:rPr>
        <w:t>Section 2.5.1</w:t>
      </w:r>
      <w:r>
        <w:rPr>
          <w:rFonts w:ascii="Times New Roman" w:cs="Times New Roman" w:eastAsia="Times New Roman" w:hAnsi="Times New Roman"/>
          <w:sz w:val="15"/>
          <w:szCs w:val="15"/>
          <w:color w:val="auto"/>
        </w:rPr>
        <w:t xml:space="preserve"> with respect to the Licensed Asset starting from the effective date of such termination. For the purpose of this </w:t>
      </w:r>
      <w:r>
        <w:rPr>
          <w:rFonts w:ascii="Times New Roman" w:cs="Times New Roman" w:eastAsia="Times New Roman" w:hAnsi="Times New Roman"/>
          <w:sz w:val="15"/>
          <w:szCs w:val="15"/>
          <w:u w:val="single" w:color="auto"/>
          <w:color w:val="auto"/>
        </w:rPr>
        <w:t>Section 2.5.1</w:t>
      </w:r>
      <w:r>
        <w:rPr>
          <w:rFonts w:ascii="Times New Roman" w:cs="Times New Roman" w:eastAsia="Times New Roman" w:hAnsi="Times New Roman"/>
          <w:sz w:val="15"/>
          <w:szCs w:val="15"/>
          <w:color w:val="auto"/>
        </w:rPr>
        <w:t>, “not commercially feasible to Manufacture” means that Licensee has reasonably determined that it is not feasible to Manufacture the Licensed Asset and corresponding Product(s) at a marginal cost that, relative to its marginal price in each Major Territory, would support a reasonable gross profit margin within the range of what the biopharmaceutical industry generally considers as an acceptable margin for a therapeutic antibody.</w:t>
      </w:r>
    </w:p>
    <w:p>
      <w:pPr>
        <w:spacing w:after="0" w:line="155" w:lineRule="exact"/>
        <w:rPr>
          <w:sz w:val="20"/>
          <w:szCs w:val="20"/>
          <w:color w:val="auto"/>
        </w:rPr>
      </w:pPr>
    </w:p>
    <w:p>
      <w:pPr>
        <w:ind w:left="1060" w:right="120" w:hanging="526"/>
        <w:spacing w:after="0" w:line="272" w:lineRule="auto"/>
        <w:tabs>
          <w:tab w:leader="none" w:pos="1040" w:val="left"/>
        </w:tabs>
        <w:rPr>
          <w:sz w:val="20"/>
          <w:szCs w:val="20"/>
          <w:color w:val="auto"/>
        </w:rPr>
      </w:pPr>
      <w:r>
        <w:rPr>
          <w:rFonts w:ascii="Times New Roman" w:cs="Times New Roman" w:eastAsia="Times New Roman" w:hAnsi="Times New Roman"/>
          <w:sz w:val="15"/>
          <w:szCs w:val="15"/>
          <w:color w:val="auto"/>
        </w:rPr>
        <w:t>2.5.2</w:t>
      </w:r>
      <w:r>
        <w:rPr>
          <w:sz w:val="20"/>
          <w:szCs w:val="20"/>
          <w:color w:val="auto"/>
        </w:rPr>
        <w:tab/>
      </w:r>
      <w:r>
        <w:rPr>
          <w:rFonts w:ascii="Times New Roman" w:cs="Times New Roman" w:eastAsia="Times New Roman" w:hAnsi="Times New Roman"/>
          <w:sz w:val="15"/>
          <w:szCs w:val="15"/>
          <w:b w:val="1"/>
          <w:bCs w:val="1"/>
          <w:color w:val="auto"/>
        </w:rPr>
        <w:t>Non-Compete Obligation of XENCOR</w:t>
      </w:r>
      <w:r>
        <w:rPr>
          <w:rFonts w:ascii="Times New Roman" w:cs="Times New Roman" w:eastAsia="Times New Roman" w:hAnsi="Times New Roman"/>
          <w:sz w:val="15"/>
          <w:szCs w:val="15"/>
          <w:color w:val="auto"/>
        </w:rPr>
        <w:t>. During the License Term, XENCOR shall not, for itself or, with, through, or for any Third Party, without the prior written consent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Licensee, Develop, Manufacture, or Commercialize any Products or Competing Product</w:t>
      </w:r>
      <w:r>
        <w:rPr>
          <w:rFonts w:ascii="Times New Roman" w:cs="Times New Roman" w:eastAsia="Times New Roman" w:hAnsi="Times New Roman"/>
          <w:sz w:val="15"/>
          <w:szCs w:val="15"/>
          <w:i w:val="1"/>
          <w:iCs w:val="1"/>
          <w:color w:val="auto"/>
        </w:rPr>
        <w:t>.</w:t>
      </w:r>
    </w:p>
    <w:p>
      <w:pPr>
        <w:spacing w:after="0" w:line="136" w:lineRule="exact"/>
        <w:rPr>
          <w:sz w:val="20"/>
          <w:szCs w:val="20"/>
          <w:color w:val="auto"/>
        </w:rPr>
      </w:pPr>
    </w:p>
    <w:p>
      <w:pPr>
        <w:ind w:left="1060" w:right="20" w:hanging="526"/>
        <w:spacing w:after="0" w:line="251" w:lineRule="auto"/>
        <w:tabs>
          <w:tab w:leader="none" w:pos="1040" w:val="left"/>
        </w:tabs>
        <w:rPr>
          <w:sz w:val="20"/>
          <w:szCs w:val="20"/>
          <w:color w:val="auto"/>
        </w:rPr>
      </w:pPr>
      <w:r>
        <w:rPr>
          <w:rFonts w:ascii="Times New Roman" w:cs="Times New Roman" w:eastAsia="Times New Roman" w:hAnsi="Times New Roman"/>
          <w:sz w:val="15"/>
          <w:szCs w:val="15"/>
          <w:color w:val="auto"/>
        </w:rPr>
        <w:t>2.5.3</w:t>
      </w:r>
      <w:r>
        <w:rPr>
          <w:sz w:val="20"/>
          <w:szCs w:val="20"/>
          <w:color w:val="auto"/>
        </w:rPr>
        <w:tab/>
      </w:r>
      <w:r>
        <w:rPr>
          <w:rFonts w:ascii="Times New Roman" w:cs="Times New Roman" w:eastAsia="Times New Roman" w:hAnsi="Times New Roman"/>
          <w:sz w:val="15"/>
          <w:szCs w:val="15"/>
          <w:b w:val="1"/>
          <w:bCs w:val="1"/>
          <w:color w:val="auto"/>
        </w:rPr>
        <w:t>Change of Control of a Party</w:t>
      </w:r>
      <w:r>
        <w:rPr>
          <w:rFonts w:ascii="Times New Roman" w:cs="Times New Roman" w:eastAsia="Times New Roman" w:hAnsi="Times New Roman"/>
          <w:sz w:val="15"/>
          <w:szCs w:val="15"/>
          <w:color w:val="auto"/>
        </w:rPr>
        <w:t>. In the event that either Party or any of its Affiliates undergoes a Change of Control with a Third Party (an “</w:t>
      </w:r>
      <w:r>
        <w:rPr>
          <w:rFonts w:ascii="Times New Roman" w:cs="Times New Roman" w:eastAsia="Times New Roman" w:hAnsi="Times New Roman"/>
          <w:sz w:val="15"/>
          <w:szCs w:val="15"/>
          <w:u w:val="single" w:color="auto"/>
          <w:color w:val="auto"/>
        </w:rPr>
        <w:t>Acquirer</w:t>
      </w:r>
      <w:r>
        <w:rPr>
          <w:rFonts w:ascii="Times New Roman" w:cs="Times New Roman" w:eastAsia="Times New Roman" w:hAnsi="Times New Roman"/>
          <w:sz w:val="15"/>
          <w:szCs w:val="15"/>
          <w:color w:val="auto"/>
        </w:rPr>
        <w:t>”), the restrictions set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forth in </w:t>
      </w:r>
      <w:r>
        <w:rPr>
          <w:rFonts w:ascii="Times New Roman" w:cs="Times New Roman" w:eastAsia="Times New Roman" w:hAnsi="Times New Roman"/>
          <w:sz w:val="15"/>
          <w:szCs w:val="15"/>
          <w:u w:val="single" w:color="auto"/>
          <w:color w:val="auto"/>
        </w:rPr>
        <w:t>Section 2.5.1</w:t>
      </w:r>
      <w:r>
        <w:rPr>
          <w:rFonts w:ascii="Times New Roman" w:cs="Times New Roman" w:eastAsia="Times New Roman" w:hAnsi="Times New Roman"/>
          <w:sz w:val="15"/>
          <w:szCs w:val="15"/>
          <w:color w:val="auto"/>
        </w:rPr>
        <w:t xml:space="preserve"> (in the event that such acquired Party is Licensee) or </w:t>
      </w:r>
      <w:r>
        <w:rPr>
          <w:rFonts w:ascii="Times New Roman" w:cs="Times New Roman" w:eastAsia="Times New Roman" w:hAnsi="Times New Roman"/>
          <w:sz w:val="15"/>
          <w:szCs w:val="15"/>
          <w:u w:val="single" w:color="auto"/>
          <w:color w:val="auto"/>
        </w:rPr>
        <w:t>Section 2.5.2</w:t>
      </w:r>
      <w:r>
        <w:rPr>
          <w:rFonts w:ascii="Times New Roman" w:cs="Times New Roman" w:eastAsia="Times New Roman" w:hAnsi="Times New Roman"/>
          <w:sz w:val="15"/>
          <w:szCs w:val="15"/>
          <w:color w:val="auto"/>
        </w:rPr>
        <w:t xml:space="preserve"> (in the event that such acquired Party is XENCOR) shall not apply to (a) any activities that would otherwise constitute a breach of </w:t>
      </w:r>
      <w:r>
        <w:rPr>
          <w:rFonts w:ascii="Times New Roman" w:cs="Times New Roman" w:eastAsia="Times New Roman" w:hAnsi="Times New Roman"/>
          <w:sz w:val="15"/>
          <w:szCs w:val="15"/>
          <w:u w:val="single" w:color="auto"/>
          <w:color w:val="auto"/>
        </w:rPr>
        <w:t>Section 2.5.1</w:t>
      </w:r>
      <w:r>
        <w:rPr>
          <w:rFonts w:ascii="Times New Roman" w:cs="Times New Roman" w:eastAsia="Times New Roman" w:hAnsi="Times New Roman"/>
          <w:sz w:val="15"/>
          <w:szCs w:val="15"/>
          <w:color w:val="auto"/>
        </w:rPr>
        <w:t xml:space="preserve"> (in the event that such acquired Party is Licensee) or </w:t>
      </w:r>
      <w:r>
        <w:rPr>
          <w:rFonts w:ascii="Times New Roman" w:cs="Times New Roman" w:eastAsia="Times New Roman" w:hAnsi="Times New Roman"/>
          <w:sz w:val="15"/>
          <w:szCs w:val="15"/>
          <w:u w:val="single" w:color="auto"/>
          <w:color w:val="auto"/>
        </w:rPr>
        <w:t>Section 2.5.2</w:t>
      </w:r>
      <w:r>
        <w:rPr>
          <w:rFonts w:ascii="Times New Roman" w:cs="Times New Roman" w:eastAsia="Times New Roman" w:hAnsi="Times New Roman"/>
          <w:sz w:val="15"/>
          <w:szCs w:val="15"/>
          <w:color w:val="auto"/>
        </w:rPr>
        <w:t xml:space="preserve"> (in the event that such acquired Party is XENCOR), including a Competing Product that is being Developed, Manufactured or Commercialized (collectively, “</w:t>
      </w:r>
      <w:r>
        <w:rPr>
          <w:rFonts w:ascii="Times New Roman" w:cs="Times New Roman" w:eastAsia="Times New Roman" w:hAnsi="Times New Roman"/>
          <w:sz w:val="15"/>
          <w:szCs w:val="15"/>
          <w:u w:val="single" w:color="auto"/>
          <w:color w:val="auto"/>
        </w:rPr>
        <w:t>Competing Activities</w:t>
      </w:r>
      <w:r>
        <w:rPr>
          <w:rFonts w:ascii="Times New Roman" w:cs="Times New Roman" w:eastAsia="Times New Roman" w:hAnsi="Times New Roman"/>
          <w:sz w:val="15"/>
          <w:szCs w:val="15"/>
          <w:color w:val="auto"/>
        </w:rPr>
        <w:t>”) by the Acquirer or its Affiliates (other than such Party or its Affiliates prior to such Change of Control) at the closing of the applicable transaction or (b) [***].</w:t>
      </w:r>
    </w:p>
    <w:p>
      <w:pPr>
        <w:spacing w:after="0" w:line="153" w:lineRule="exact"/>
        <w:rPr>
          <w:sz w:val="20"/>
          <w:szCs w:val="20"/>
          <w:color w:val="auto"/>
        </w:rPr>
      </w:pPr>
    </w:p>
    <w:p>
      <w:pPr>
        <w:ind w:left="1060" w:right="40" w:hanging="526"/>
        <w:spacing w:after="0" w:line="277" w:lineRule="auto"/>
        <w:tabs>
          <w:tab w:leader="none" w:pos="1040" w:val="left"/>
        </w:tabs>
        <w:rPr>
          <w:sz w:val="20"/>
          <w:szCs w:val="20"/>
          <w:color w:val="auto"/>
        </w:rPr>
      </w:pPr>
      <w:r>
        <w:rPr>
          <w:rFonts w:ascii="Times New Roman" w:cs="Times New Roman" w:eastAsia="Times New Roman" w:hAnsi="Times New Roman"/>
          <w:sz w:val="15"/>
          <w:szCs w:val="15"/>
          <w:color w:val="auto"/>
        </w:rPr>
        <w:t>2.5.4</w:t>
      </w:r>
      <w:r>
        <w:rPr>
          <w:sz w:val="20"/>
          <w:szCs w:val="20"/>
          <w:color w:val="auto"/>
        </w:rPr>
        <w:tab/>
      </w:r>
      <w:r>
        <w:rPr>
          <w:rFonts w:ascii="Times New Roman" w:cs="Times New Roman" w:eastAsia="Times New Roman" w:hAnsi="Times New Roman"/>
          <w:sz w:val="14"/>
          <w:szCs w:val="14"/>
          <w:b w:val="1"/>
          <w:bCs w:val="1"/>
          <w:color w:val="auto"/>
        </w:rPr>
        <w:t>Reasonable Covenants</w:t>
      </w:r>
      <w:r>
        <w:rPr>
          <w:rFonts w:ascii="Times New Roman" w:cs="Times New Roman" w:eastAsia="Times New Roman" w:hAnsi="Times New Roman"/>
          <w:sz w:val="14"/>
          <w:szCs w:val="14"/>
          <w:color w:val="auto"/>
        </w:rPr>
        <w:t>. The Parties agree that the duration and scope of the covenants set forth in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are reasonable. In the event that the arbitrator or any court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determines that the duration or scope of any such provision is unreasonable and that any such provision is to that extent unenforceable, the Parties agree that such provision shall remain in full force and effect for the greatest time period and to the greatest scope that would not render it unenforceable. The Parties intend that the provisions of this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shall be deemed to be a series of separate covenants, one for each and every product and jurisdiction where such provision is intended to be effective.</w:t>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2" w:right="339" w:bottom="1440" w:gutter="0" w:footer="0" w:header="0"/>
        </w:sectPr>
      </w:pPr>
    </w:p>
    <w:bookmarkStart w:id="357" w:name="page358"/>
    <w:bookmarkEnd w:id="357"/>
    <w:p>
      <w:pPr>
        <w:ind w:left="540" w:right="22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2.6</w:t>
      </w:r>
      <w:r>
        <w:rPr>
          <w:sz w:val="20"/>
          <w:szCs w:val="20"/>
          <w:color w:val="auto"/>
        </w:rPr>
        <w:tab/>
      </w:r>
      <w:r>
        <w:rPr>
          <w:rFonts w:ascii="Times New Roman" w:cs="Times New Roman" w:eastAsia="Times New Roman" w:hAnsi="Times New Roman"/>
          <w:sz w:val="15"/>
          <w:szCs w:val="15"/>
          <w:b w:val="1"/>
          <w:bCs w:val="1"/>
          <w:color w:val="auto"/>
        </w:rPr>
        <w:t>No Other Rights</w:t>
      </w:r>
      <w:r>
        <w:rPr>
          <w:rFonts w:ascii="Times New Roman" w:cs="Times New Roman" w:eastAsia="Times New Roman" w:hAnsi="Times New Roman"/>
          <w:sz w:val="15"/>
          <w:szCs w:val="15"/>
          <w:color w:val="auto"/>
        </w:rPr>
        <w:t>. No rights, other than those expressly set forth in this Agreement, are granted to either Party hereunder, and no additional rights shall be deemed granted to either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Party by implication, estoppel or otherwise. All rights not expressly granted by either Party to the other hereunder are reserved.</w:t>
      </w:r>
    </w:p>
    <w:p>
      <w:pPr>
        <w:spacing w:after="0" w:line="136" w:lineRule="exact"/>
        <w:rPr>
          <w:sz w:val="20"/>
          <w:szCs w:val="20"/>
          <w:color w:val="auto"/>
        </w:rPr>
      </w:pPr>
    </w:p>
    <w:p>
      <w:pPr>
        <w:ind w:left="540" w:hanging="532"/>
        <w:spacing w:after="0"/>
        <w:tabs>
          <w:tab w:leader="none" w:pos="540" w:val="left"/>
        </w:tabs>
        <w:numPr>
          <w:ilvl w:val="0"/>
          <w:numId w:val="20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Communications Related to the Licensed Asset and Products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40" w:right="2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3.1</w:t>
      </w:r>
      <w:r>
        <w:rPr>
          <w:sz w:val="20"/>
          <w:szCs w:val="20"/>
          <w:color w:val="auto"/>
        </w:rPr>
        <w:tab/>
      </w:r>
      <w:r>
        <w:rPr>
          <w:rFonts w:ascii="Times New Roman" w:cs="Times New Roman" w:eastAsia="Times New Roman" w:hAnsi="Times New Roman"/>
          <w:sz w:val="15"/>
          <w:szCs w:val="15"/>
          <w:color w:val="auto"/>
        </w:rPr>
        <w:t>With respect to the Licensed Asset and Products, Licensee shall on a [***] (or more frequently if necessary) hold a meeting with XENCOR to disclose or discuss information outlined below (each such meeting, an “</w:t>
      </w:r>
      <w:r>
        <w:rPr>
          <w:rFonts w:ascii="Times New Roman" w:cs="Times New Roman" w:eastAsia="Times New Roman" w:hAnsi="Times New Roman"/>
          <w:sz w:val="15"/>
          <w:szCs w:val="15"/>
          <w:u w:val="single" w:color="auto"/>
          <w:color w:val="auto"/>
        </w:rPr>
        <w:t>Update Meeting</w:t>
      </w:r>
      <w:r>
        <w:rPr>
          <w:rFonts w:ascii="Times New Roman" w:cs="Times New Roman" w:eastAsia="Times New Roman" w:hAnsi="Times New Roman"/>
          <w:sz w:val="15"/>
          <w:szCs w:val="15"/>
          <w:color w:val="auto"/>
        </w:rPr>
        <w:t>”). Such Update Meeting may be held by audio, video or other electronic means as mutually agreed upon by the Parties:</w:t>
      </w:r>
    </w:p>
    <w:p>
      <w:pPr>
        <w:spacing w:after="0" w:line="141" w:lineRule="exact"/>
        <w:rPr>
          <w:sz w:val="20"/>
          <w:szCs w:val="20"/>
          <w:color w:val="auto"/>
        </w:rPr>
      </w:pPr>
    </w:p>
    <w:p>
      <w:pPr>
        <w:ind w:left="1600" w:hanging="537"/>
        <w:spacing w:after="0"/>
        <w:tabs>
          <w:tab w:leader="none" w:pos="160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540" w:right="80" w:hanging="526"/>
        <w:spacing w:after="0" w:line="269" w:lineRule="auto"/>
        <w:tabs>
          <w:tab w:leader="none" w:pos="520" w:val="left"/>
        </w:tabs>
        <w:rPr>
          <w:sz w:val="20"/>
          <w:szCs w:val="20"/>
          <w:color w:val="auto"/>
        </w:rPr>
      </w:pPr>
      <w:r>
        <w:rPr>
          <w:rFonts w:ascii="Times New Roman" w:cs="Times New Roman" w:eastAsia="Times New Roman" w:hAnsi="Times New Roman"/>
          <w:sz w:val="15"/>
          <w:szCs w:val="15"/>
          <w:color w:val="auto"/>
        </w:rPr>
        <w:t>3.2</w:t>
      </w:r>
      <w:r>
        <w:rPr>
          <w:sz w:val="20"/>
          <w:szCs w:val="20"/>
          <w:color w:val="auto"/>
        </w:rPr>
        <w:tab/>
      </w:r>
      <w:r>
        <w:rPr>
          <w:rFonts w:ascii="Times New Roman" w:cs="Times New Roman" w:eastAsia="Times New Roman" w:hAnsi="Times New Roman"/>
          <w:sz w:val="15"/>
          <w:szCs w:val="15"/>
          <w:color w:val="auto"/>
        </w:rPr>
        <w:t>Licensee shall consider in good faith any comments provided by XENCOR in relation to the Development, Manufacturing, or Commercialization of the Licensed Asset and Products in the Licensed Territory.</w:t>
      </w:r>
    </w:p>
    <w:p>
      <w:pPr>
        <w:spacing w:after="0" w:line="139" w:lineRule="exact"/>
        <w:rPr>
          <w:sz w:val="20"/>
          <w:szCs w:val="20"/>
          <w:color w:val="auto"/>
        </w:rPr>
      </w:pPr>
    </w:p>
    <w:p>
      <w:pPr>
        <w:ind w:left="540" w:hanging="532"/>
        <w:spacing w:after="0"/>
        <w:tabs>
          <w:tab w:leader="none" w:pos="540" w:val="left"/>
        </w:tabs>
        <w:numPr>
          <w:ilvl w:val="0"/>
          <w:numId w:val="20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Transition and Transfer</w:t>
      </w:r>
    </w:p>
    <w:p>
      <w:pPr>
        <w:spacing w:after="0" w:line="179" w:lineRule="exact"/>
        <w:rPr>
          <w:sz w:val="20"/>
          <w:szCs w:val="20"/>
          <w:color w:val="auto"/>
        </w:rPr>
      </w:pPr>
    </w:p>
    <w:p>
      <w:pPr>
        <w:ind w:left="540" w:hanging="526"/>
        <w:spacing w:after="0" w:line="246" w:lineRule="auto"/>
        <w:tabs>
          <w:tab w:leader="none" w:pos="520" w:val="left"/>
        </w:tabs>
        <w:rPr>
          <w:sz w:val="20"/>
          <w:szCs w:val="20"/>
          <w:color w:val="auto"/>
        </w:rPr>
      </w:pPr>
      <w:r>
        <w:rPr>
          <w:rFonts w:ascii="Times New Roman" w:cs="Times New Roman" w:eastAsia="Times New Roman" w:hAnsi="Times New Roman"/>
          <w:sz w:val="15"/>
          <w:szCs w:val="15"/>
          <w:color w:val="auto"/>
        </w:rPr>
        <w:t>4.1</w:t>
      </w:r>
      <w:r>
        <w:rPr>
          <w:sz w:val="20"/>
          <w:szCs w:val="20"/>
          <w:color w:val="auto"/>
        </w:rPr>
        <w:tab/>
      </w:r>
      <w:r>
        <w:rPr>
          <w:rFonts w:ascii="Times New Roman" w:cs="Times New Roman" w:eastAsia="Times New Roman" w:hAnsi="Times New Roman"/>
          <w:sz w:val="15"/>
          <w:szCs w:val="15"/>
          <w:b w:val="1"/>
          <w:bCs w:val="1"/>
          <w:color w:val="auto"/>
        </w:rPr>
        <w:t>Information and Material Transfer</w:t>
      </w:r>
      <w:r>
        <w:rPr>
          <w:rFonts w:ascii="Times New Roman" w:cs="Times New Roman" w:eastAsia="Times New Roman" w:hAnsi="Times New Roman"/>
          <w:sz w:val="15"/>
          <w:szCs w:val="15"/>
          <w:color w:val="auto"/>
        </w:rPr>
        <w:t>. Within a reasonable period of time after the Effective Date, but no later than [***] after the Effective Date, XENCOR shall make available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Licensee, in a mutually agreed upon format, all XENCOR Know-How, Materials, and other information regarding the XENCOR Intellectual Property as identified on </w:t>
      </w:r>
      <w:r>
        <w:rPr>
          <w:rFonts w:ascii="Times New Roman" w:cs="Times New Roman" w:eastAsia="Times New Roman" w:hAnsi="Times New Roman"/>
          <w:sz w:val="15"/>
          <w:szCs w:val="15"/>
          <w:u w:val="single" w:color="auto"/>
          <w:color w:val="auto"/>
        </w:rPr>
        <w:t>Schedule 4.1</w:t>
      </w:r>
      <w:r>
        <w:rPr>
          <w:rFonts w:ascii="Times New Roman" w:cs="Times New Roman" w:eastAsia="Times New Roman" w:hAnsi="Times New Roman"/>
          <w:sz w:val="15"/>
          <w:szCs w:val="15"/>
          <w:color w:val="auto"/>
        </w:rPr>
        <w:t xml:space="preserve"> to enable Licensee to conduct the Development or Manufacture of the Licensed Asset and Products in the Field in the Licensed Territory in accordance with this Agreement. Notwithstanding the foregoing sentence, no later than [***] after the Effective Date, XENCOR shall make available to Licensee, in a mutually agreed upon format, the XENCOR Know-How, Materials, and other information regarding the XENCOR Intellectual Property identified as “High Priority” on </w:t>
      </w:r>
      <w:r>
        <w:rPr>
          <w:rFonts w:ascii="Times New Roman" w:cs="Times New Roman" w:eastAsia="Times New Roman" w:hAnsi="Times New Roman"/>
          <w:sz w:val="15"/>
          <w:szCs w:val="15"/>
          <w:u w:val="single" w:color="auto"/>
          <w:color w:val="auto"/>
        </w:rPr>
        <w:t>Schedule 4.1.</w:t>
      </w:r>
      <w:r>
        <w:rPr>
          <w:rFonts w:ascii="Times New Roman" w:cs="Times New Roman" w:eastAsia="Times New Roman" w:hAnsi="Times New Roman"/>
          <w:sz w:val="15"/>
          <w:szCs w:val="15"/>
          <w:color w:val="auto"/>
        </w:rPr>
        <w:t xml:space="preserve"> If within [***] after the Effective Date, XENCOR or Licensee identifies particular documents, data or information that are within the XENCOR Know-How and within XENCOR’s Control and are necessary for the Development or Manufacture of the Licensed Asset or Products, but were not previously delivered to Licensee, XENCOR shall use reasonable efforts to provide such documents, data or information to Licensee. Licensee acknowledges and agrees that any Materials delivered pursuant to this Agreement are provided “as-is” without representations or warranties of any kind, except as set forth in </w:t>
      </w:r>
      <w:r>
        <w:rPr>
          <w:rFonts w:ascii="Times New Roman" w:cs="Times New Roman" w:eastAsia="Times New Roman" w:hAnsi="Times New Roman"/>
          <w:sz w:val="15"/>
          <w:szCs w:val="15"/>
          <w:u w:val="single" w:color="auto"/>
          <w:color w:val="auto"/>
        </w:rPr>
        <w:t>Section 11.2</w:t>
      </w:r>
      <w:r>
        <w:rPr>
          <w:rFonts w:ascii="Times New Roman" w:cs="Times New Roman" w:eastAsia="Times New Roman" w:hAnsi="Times New Roman"/>
          <w:sz w:val="15"/>
          <w:szCs w:val="15"/>
          <w:color w:val="auto"/>
        </w:rPr>
        <w:t>. In the event of (a) failure to obtain assignment, or (b) with respect to regulatory items that would otherwise fall within the foregoing clauses, but for such materials not being specifically and exclusively related to the Licensed Asset or a Product, but nonetheless that are necessary for the Development, Manufacture, or Commercialization of the Licensed Asset or a Product in the Field in the Licensed Territory, in each case ((a) and (b)), XENCOR hereby consents and grants to Licensee the right to reference any such item solely with respect to the Development, Manufacture, or Commercialization of the Licensed Asset or the Product in the Field in the Licensed Territory. Upon reasonable request from Licensee, XENCOR will make available certain of its employees for consultation regarding the Development or regulatory activities for the Licensed Asset or the Products in connection with the information and technology transfer activities set forth under this Agreement (including, the transitioning of Manufacturing responsibility to Licensee) for a period of [***] following the Effective Date. Following the [***] period described in the immediately preceding sentence, upon the reasonable request of Licensee, the parties will discuss in good faith the terms upon which XENCOR will continue to make available certain of its employees for consultation regarding the ongoing Development or regulatory activities for the Licensed Asset or the Products. Licensee shall be responsible for any Development or Manufacturing related out-of-pocket costs associated with such technology transfer, including lab runs, pilot scale testing and demo batches.</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936" w:right="339" w:bottom="1440" w:gutter="0" w:footer="0" w:header="0"/>
        </w:sectPr>
      </w:pPr>
    </w:p>
    <w:bookmarkStart w:id="358" w:name="page359"/>
    <w:bookmarkEnd w:id="358"/>
    <w:p>
      <w:pPr>
        <w:ind w:left="540" w:hanging="526"/>
        <w:spacing w:after="0" w:line="249" w:lineRule="auto"/>
        <w:tabs>
          <w:tab w:leader="none" w:pos="520" w:val="left"/>
        </w:tabs>
        <w:rPr>
          <w:sz w:val="20"/>
          <w:szCs w:val="20"/>
          <w:color w:val="auto"/>
        </w:rPr>
      </w:pPr>
      <w:r>
        <w:rPr>
          <w:rFonts w:ascii="Times New Roman" w:cs="Times New Roman" w:eastAsia="Times New Roman" w:hAnsi="Times New Roman"/>
          <w:sz w:val="15"/>
          <w:szCs w:val="15"/>
          <w:color w:val="auto"/>
        </w:rPr>
        <w:t>4.2</w:t>
      </w:r>
      <w:r>
        <w:rPr>
          <w:sz w:val="20"/>
          <w:szCs w:val="20"/>
          <w:color w:val="auto"/>
        </w:rPr>
        <w:tab/>
      </w:r>
      <w:r>
        <w:rPr>
          <w:rFonts w:ascii="Times New Roman" w:cs="Times New Roman" w:eastAsia="Times New Roman" w:hAnsi="Times New Roman"/>
          <w:sz w:val="15"/>
          <w:szCs w:val="15"/>
          <w:b w:val="1"/>
          <w:bCs w:val="1"/>
          <w:color w:val="auto"/>
        </w:rPr>
        <w:t>Safety Database</w:t>
      </w:r>
      <w:r>
        <w:rPr>
          <w:rFonts w:ascii="Times New Roman" w:cs="Times New Roman" w:eastAsia="Times New Roman" w:hAnsi="Times New Roman"/>
          <w:sz w:val="15"/>
          <w:szCs w:val="15"/>
          <w:color w:val="auto"/>
        </w:rPr>
        <w:t>. Within [***] following the Effective Date, XENCOR and Licensee shall initiate the transfer to Licensee of the global safety database for Licensed Assets and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Product(s) (the “</w:t>
      </w:r>
      <w:r>
        <w:rPr>
          <w:rFonts w:ascii="Times New Roman" w:cs="Times New Roman" w:eastAsia="Times New Roman" w:hAnsi="Times New Roman"/>
          <w:sz w:val="15"/>
          <w:szCs w:val="15"/>
          <w:u w:val="single" w:color="auto"/>
          <w:color w:val="auto"/>
        </w:rPr>
        <w:t>Safety Database</w:t>
      </w:r>
      <w:r>
        <w:rPr>
          <w:rFonts w:ascii="Times New Roman" w:cs="Times New Roman" w:eastAsia="Times New Roman" w:hAnsi="Times New Roman"/>
          <w:sz w:val="15"/>
          <w:szCs w:val="15"/>
          <w:color w:val="auto"/>
        </w:rPr>
        <w:t>”). XENCOR and Licensee shall jointly work to complete the transfer of such Safety Database within [***] of the Effective Date, subject to the execution of the pharmacovigilance agreement specified below. Prior to the completion of the transfer of the Safety Database, Licensee and XENCOR shall (a) enter into a pharmacovigilance agreement (the “</w:t>
      </w:r>
      <w:r>
        <w:rPr>
          <w:rFonts w:ascii="Times New Roman" w:cs="Times New Roman" w:eastAsia="Times New Roman" w:hAnsi="Times New Roman"/>
          <w:sz w:val="15"/>
          <w:szCs w:val="15"/>
          <w:u w:val="single" w:color="auto"/>
          <w:color w:val="auto"/>
        </w:rPr>
        <w:t>PVA</w:t>
      </w:r>
      <w:r>
        <w:rPr>
          <w:rFonts w:ascii="Times New Roman" w:cs="Times New Roman" w:eastAsia="Times New Roman" w:hAnsi="Times New Roman"/>
          <w:sz w:val="15"/>
          <w:szCs w:val="15"/>
          <w:color w:val="auto"/>
        </w:rPr>
        <w:t>”), and (b) reasonably cooperate and use diligent efforts to facilitate Licensee’s compliance with safety reporting requirements related to the Licensed Assets and Product(s) including that XENCOR shall provide safety information Controlled by XENCOR to Licensee for the Licensed Territory as Licensee might reasonably request or otherwise as necessary to satisfy Licensee’s regulatory or other legal obligations. Following the completion of the transfer of the Safety Database to Licensee, Licensee shall assume responsibility for and control of the Safety Database.</w:t>
      </w:r>
    </w:p>
    <w:p>
      <w:pPr>
        <w:spacing w:after="0" w:line="154" w:lineRule="exact"/>
        <w:rPr>
          <w:sz w:val="20"/>
          <w:szCs w:val="20"/>
          <w:color w:val="auto"/>
        </w:rPr>
      </w:pPr>
    </w:p>
    <w:p>
      <w:pPr>
        <w:ind w:left="540" w:hanging="532"/>
        <w:spacing w:after="0"/>
        <w:tabs>
          <w:tab w:leader="none" w:pos="540" w:val="left"/>
        </w:tabs>
        <w:numPr>
          <w:ilvl w:val="0"/>
          <w:numId w:val="20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Development</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540" w:right="24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5.1</w:t>
      </w:r>
      <w:r>
        <w:rPr>
          <w:sz w:val="20"/>
          <w:szCs w:val="20"/>
          <w:color w:val="auto"/>
        </w:rPr>
        <w:tab/>
      </w:r>
      <w:r>
        <w:rPr>
          <w:rFonts w:ascii="Times New Roman" w:cs="Times New Roman" w:eastAsia="Times New Roman" w:hAnsi="Times New Roman"/>
          <w:sz w:val="15"/>
          <w:szCs w:val="15"/>
          <w:b w:val="1"/>
          <w:bCs w:val="1"/>
          <w:color w:val="auto"/>
        </w:rPr>
        <w:t>General</w:t>
      </w:r>
      <w:r>
        <w:rPr>
          <w:rFonts w:ascii="Times New Roman" w:cs="Times New Roman" w:eastAsia="Times New Roman" w:hAnsi="Times New Roman"/>
          <w:sz w:val="15"/>
          <w:szCs w:val="15"/>
          <w:color w:val="auto"/>
        </w:rPr>
        <w:t>. Licensee shall have sole control and decision-making authority for all aspects of the Development of the Licensed Asset and Products in the Licensed Territory at its sole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cost and expense. Licensee shall be solely responsible for, and use Commercially Reasonable Efforts to (a) Develop the Licensed Asset and Products in the Field in the Licensed Territory, and (b) obtain Regulatory Approval for the Licensed Asset and Products in the [***].</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59" w:name="page360"/>
    <w:bookmarkEnd w:id="359"/>
    <w:p>
      <w:pPr>
        <w:ind w:left="540" w:right="80" w:hanging="526"/>
        <w:spacing w:after="0" w:line="249" w:lineRule="auto"/>
        <w:tabs>
          <w:tab w:leader="none" w:pos="520" w:val="left"/>
        </w:tabs>
        <w:rPr>
          <w:sz w:val="20"/>
          <w:szCs w:val="20"/>
          <w:color w:val="auto"/>
        </w:rPr>
      </w:pPr>
      <w:r>
        <w:rPr>
          <w:rFonts w:ascii="Times New Roman" w:cs="Times New Roman" w:eastAsia="Times New Roman" w:hAnsi="Times New Roman"/>
          <w:sz w:val="15"/>
          <w:szCs w:val="15"/>
          <w:color w:val="auto"/>
        </w:rPr>
        <w:t>5.2</w:t>
      </w:r>
      <w:r>
        <w:rPr>
          <w:sz w:val="20"/>
          <w:szCs w:val="20"/>
          <w:color w:val="auto"/>
        </w:rPr>
        <w:tab/>
      </w:r>
      <w:r>
        <w:rPr>
          <w:rFonts w:ascii="Times New Roman" w:cs="Times New Roman" w:eastAsia="Times New Roman" w:hAnsi="Times New Roman"/>
          <w:sz w:val="15"/>
          <w:szCs w:val="15"/>
          <w:b w:val="1"/>
          <w:bCs w:val="1"/>
          <w:color w:val="auto"/>
        </w:rPr>
        <w:t>Development Plan</w:t>
      </w:r>
      <w:r>
        <w:rPr>
          <w:rFonts w:ascii="Times New Roman" w:cs="Times New Roman" w:eastAsia="Times New Roman" w:hAnsi="Times New Roman"/>
          <w:sz w:val="15"/>
          <w:szCs w:val="15"/>
          <w:color w:val="auto"/>
        </w:rPr>
        <w:t>. Licensee shall Develop the Licensed Asset and Products in the Field in the Licensed Territory under this Agreement in accordance with a comprehensive written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development plan (the “</w:t>
      </w:r>
      <w:r>
        <w:rPr>
          <w:rFonts w:ascii="Times New Roman" w:cs="Times New Roman" w:eastAsia="Times New Roman" w:hAnsi="Times New Roman"/>
          <w:sz w:val="15"/>
          <w:szCs w:val="15"/>
          <w:u w:val="single" w:color="auto"/>
          <w:color w:val="auto"/>
        </w:rPr>
        <w:t>Development Plan</w:t>
      </w:r>
      <w:r>
        <w:rPr>
          <w:rFonts w:ascii="Times New Roman" w:cs="Times New Roman" w:eastAsia="Times New Roman" w:hAnsi="Times New Roman"/>
          <w:sz w:val="15"/>
          <w:szCs w:val="15"/>
          <w:color w:val="auto"/>
        </w:rPr>
        <w:t xml:space="preserve">”). Licensee shall prepare the Development Plan, which may be updated and revised from time to time by Licensee and discussed with XENCOR pursuant to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and shall provide a copy of the initial Development Plan and any material updates thereto promptly to XENCOR. The Development Plan shall set forth the timeline and details of all major Development activities (including any drug product Manufacturing activities and clinical trials) to be conducted by or on behalf of Licensee for the Products in the Field in the Licensed Territory, as well as the plans and timeline for preparing and filing the necessary Regulatory Submissions and for obtaining Regulatory Approval of the Products in the Licensed Territory. Licensee shall consider any comments provided by XENCOR in good faith. If the terms of a Development Plan contradict, or create inconsistencies or ambiguities with, the terms of this Agreement, then the terms of this Agreement shall govern.</w:t>
      </w:r>
    </w:p>
    <w:p>
      <w:pPr>
        <w:spacing w:after="0" w:line="15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5.3</w:t>
      </w:r>
      <w:r>
        <w:rPr>
          <w:sz w:val="20"/>
          <w:szCs w:val="20"/>
          <w:color w:val="auto"/>
        </w:rPr>
        <w:tab/>
      </w:r>
      <w:r>
        <w:rPr>
          <w:rFonts w:ascii="Times New Roman" w:cs="Times New Roman" w:eastAsia="Times New Roman" w:hAnsi="Times New Roman"/>
          <w:sz w:val="14"/>
          <w:szCs w:val="14"/>
          <w:b w:val="1"/>
          <w:bCs w:val="1"/>
          <w:color w:val="auto"/>
        </w:rPr>
        <w:t>Development Activities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60" w:right="40" w:hanging="526"/>
        <w:spacing w:after="0" w:line="258" w:lineRule="auto"/>
        <w:tabs>
          <w:tab w:leader="none" w:pos="1040" w:val="left"/>
        </w:tabs>
        <w:rPr>
          <w:sz w:val="20"/>
          <w:szCs w:val="20"/>
          <w:color w:val="auto"/>
        </w:rPr>
      </w:pPr>
      <w:r>
        <w:rPr>
          <w:rFonts w:ascii="Times New Roman" w:cs="Times New Roman" w:eastAsia="Times New Roman" w:hAnsi="Times New Roman"/>
          <w:sz w:val="15"/>
          <w:szCs w:val="15"/>
          <w:color w:val="auto"/>
        </w:rPr>
        <w:t>5.3.1</w:t>
      </w:r>
      <w:r>
        <w:rPr>
          <w:sz w:val="20"/>
          <w:szCs w:val="20"/>
          <w:color w:val="auto"/>
        </w:rPr>
        <w:tab/>
      </w:r>
      <w:r>
        <w:rPr>
          <w:rFonts w:ascii="Times New Roman" w:cs="Times New Roman" w:eastAsia="Times New Roman" w:hAnsi="Times New Roman"/>
          <w:sz w:val="15"/>
          <w:szCs w:val="15"/>
          <w:b w:val="1"/>
          <w:bCs w:val="1"/>
          <w:color w:val="auto"/>
        </w:rPr>
        <w:t>Licensee Performance</w:t>
      </w:r>
      <w:r>
        <w:rPr>
          <w:rFonts w:ascii="Times New Roman" w:cs="Times New Roman" w:eastAsia="Times New Roman" w:hAnsi="Times New Roman"/>
          <w:sz w:val="15"/>
          <w:szCs w:val="15"/>
          <w:color w:val="auto"/>
        </w:rPr>
        <w:t>. Licensee shall use Commercially Reasonable Efforts to implement, conduct and complete the Development activities set forth in the Development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Plan in accordance with the timelines and budget set forth therein. Licensee shall undertake its Development activities related to the Licensed Asset and Products in the Field in the Licensed Territory in accordance with Applicable Laws, GCP, GLP and GMP, in all material respects.</w:t>
      </w:r>
    </w:p>
    <w:p>
      <w:pPr>
        <w:spacing w:after="0" w:line="147" w:lineRule="exact"/>
        <w:rPr>
          <w:sz w:val="20"/>
          <w:szCs w:val="20"/>
          <w:color w:val="auto"/>
        </w:rPr>
      </w:pPr>
    </w:p>
    <w:p>
      <w:pPr>
        <w:ind w:left="1060" w:right="80" w:hanging="526"/>
        <w:spacing w:after="0" w:line="271" w:lineRule="auto"/>
        <w:tabs>
          <w:tab w:leader="none" w:pos="1040" w:val="left"/>
        </w:tabs>
        <w:rPr>
          <w:sz w:val="20"/>
          <w:szCs w:val="20"/>
          <w:color w:val="auto"/>
        </w:rPr>
      </w:pPr>
      <w:r>
        <w:rPr>
          <w:rFonts w:ascii="Times New Roman" w:cs="Times New Roman" w:eastAsia="Times New Roman" w:hAnsi="Times New Roman"/>
          <w:sz w:val="15"/>
          <w:szCs w:val="15"/>
          <w:color w:val="auto"/>
        </w:rPr>
        <w:t>5.3.2</w:t>
      </w:r>
      <w:r>
        <w:rPr>
          <w:sz w:val="20"/>
          <w:szCs w:val="20"/>
          <w:color w:val="auto"/>
        </w:rPr>
        <w:tab/>
      </w:r>
      <w:r>
        <w:rPr>
          <w:rFonts w:ascii="Times New Roman" w:cs="Times New Roman" w:eastAsia="Times New Roman" w:hAnsi="Times New Roman"/>
          <w:sz w:val="14"/>
          <w:szCs w:val="14"/>
          <w:b w:val="1"/>
          <w:bCs w:val="1"/>
          <w:color w:val="auto"/>
        </w:rPr>
        <w:t>Clinical Trials</w:t>
      </w:r>
      <w:r>
        <w:rPr>
          <w:rFonts w:ascii="Times New Roman" w:cs="Times New Roman" w:eastAsia="Times New Roman" w:hAnsi="Times New Roman"/>
          <w:sz w:val="14"/>
          <w:szCs w:val="14"/>
          <w:color w:val="auto"/>
        </w:rPr>
        <w:t>. All clinical trials of the Licensed Asset or Products performed by Licensee pursuant to this Agreement shall be performed in accordance with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Development Plan, Applicable Laws, and GCP, and shall only involve investigators of recognized competence and having required qualifications under Applicable Law. All data generated during clinical trials shall be the sole and exclusive property of Licensee. Any subcontractor engaged by Licensee to undertake any such clinical trial (or any portion thereof) shall be qualified in the Licensed Territory and shall be capable of producing, storing and maintaining data that is acceptable to the applicable Regulatory Authority, including NMPA, US FDA and EMA. If required by any Regulatory Authority, XENCOR shall have the right to audit any clinical trial sites in the Licensed Territory, and Licensee shall have the right to be present at and participate in any such audit to the extent permitted by such Regulatory Authority.</w:t>
      </w:r>
    </w:p>
    <w:p>
      <w:pPr>
        <w:spacing w:after="0" w:line="140" w:lineRule="exact"/>
        <w:rPr>
          <w:sz w:val="20"/>
          <w:szCs w:val="20"/>
          <w:color w:val="auto"/>
        </w:rPr>
      </w:pPr>
    </w:p>
    <w:p>
      <w:pPr>
        <w:ind w:left="106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5.3.3</w:t>
      </w:r>
      <w:r>
        <w:rPr>
          <w:sz w:val="20"/>
          <w:szCs w:val="20"/>
          <w:color w:val="auto"/>
        </w:rPr>
        <w:tab/>
      </w:r>
      <w:r>
        <w:rPr>
          <w:rFonts w:ascii="Times New Roman" w:cs="Times New Roman" w:eastAsia="Times New Roman" w:hAnsi="Times New Roman"/>
          <w:sz w:val="14"/>
          <w:szCs w:val="14"/>
          <w:b w:val="1"/>
          <w:bCs w:val="1"/>
          <w:color w:val="auto"/>
        </w:rPr>
        <w:t>Development Records</w:t>
      </w:r>
      <w:r>
        <w:rPr>
          <w:rFonts w:ascii="Times New Roman" w:cs="Times New Roman" w:eastAsia="Times New Roman" w:hAnsi="Times New Roman"/>
          <w:sz w:val="14"/>
          <w:szCs w:val="14"/>
          <w:color w:val="auto"/>
        </w:rPr>
        <w:t>. Licensee shall, and shall cause each of its Affiliates and Sublicensees to, maintain current and accurate records of all Development activities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conducted by it and all data and other information resulting from such work (which records shall include, as applicable, books, records, reports, research notes, charts, graphs, comments, computations, analyses, recordings, photographs, computer programs and documentation thereof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samples of materials and other graphic or written data generated in connection with the Development activities)). Such records shall properly reflect all material work done and material results achieved in the performance of the Development activities in sufficient detail and in good scientific manner appropriate for regulatory and patent prosecution or maintenance purposes. Licensee shall document all preclinical studies and clinical trials to be conducted in formal written study reports according to applicable national and international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ICH, GCP and GLP) guidelines. XENCOR shall have the right to review all records under the Development Plan maintained by Licensee at reasonable times, upon written request.</w:t>
      </w: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0" w:right="339" w:bottom="1440" w:gutter="0" w:footer="0" w:header="0"/>
        </w:sectPr>
      </w:pPr>
    </w:p>
    <w:bookmarkStart w:id="360" w:name="page361"/>
    <w:bookmarkEnd w:id="360"/>
    <w:p>
      <w:pPr>
        <w:jc w:val="both"/>
        <w:ind w:left="540" w:hanging="526"/>
        <w:spacing w:after="0" w:line="285" w:lineRule="auto"/>
        <w:tabs>
          <w:tab w:leader="none" w:pos="520" w:val="left"/>
        </w:tabs>
        <w:rPr>
          <w:sz w:val="20"/>
          <w:szCs w:val="20"/>
          <w:color w:val="auto"/>
        </w:rPr>
      </w:pPr>
      <w:r>
        <w:rPr>
          <w:rFonts w:ascii="Times New Roman" w:cs="Times New Roman" w:eastAsia="Times New Roman" w:hAnsi="Times New Roman"/>
          <w:sz w:val="15"/>
          <w:szCs w:val="15"/>
          <w:color w:val="auto"/>
        </w:rPr>
        <w:t>5.4</w:t>
      </w:r>
      <w:r>
        <w:rPr>
          <w:sz w:val="20"/>
          <w:szCs w:val="20"/>
          <w:color w:val="auto"/>
        </w:rPr>
        <w:tab/>
      </w:r>
      <w:r>
        <w:rPr>
          <w:rFonts w:ascii="Times New Roman" w:cs="Times New Roman" w:eastAsia="Times New Roman" w:hAnsi="Times New Roman"/>
          <w:sz w:val="14"/>
          <w:szCs w:val="14"/>
          <w:b w:val="1"/>
          <w:bCs w:val="1"/>
          <w:color w:val="auto"/>
        </w:rPr>
        <w:t>Right to Subcontract Development Activities</w:t>
      </w:r>
      <w:r>
        <w:rPr>
          <w:rFonts w:ascii="Times New Roman" w:cs="Times New Roman" w:eastAsia="Times New Roman" w:hAnsi="Times New Roman"/>
          <w:sz w:val="14"/>
          <w:szCs w:val="14"/>
          <w:color w:val="auto"/>
        </w:rPr>
        <w:t>. Licensee shall have the right to subcontract the performance of any of the Development activities of the Licensed Asset and Products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under this Agreement in accordance with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Without limiting the foregoing, Licensee shall not enter into a subcontract with any Person that has been debarred, or is subject to debarment, pursuant to </w:t>
      </w:r>
      <w:r>
        <w:rPr>
          <w:rFonts w:ascii="Times New Roman" w:cs="Times New Roman" w:eastAsia="Times New Roman" w:hAnsi="Times New Roman"/>
          <w:sz w:val="14"/>
          <w:szCs w:val="14"/>
          <w:u w:val="single" w:color="auto"/>
          <w:color w:val="auto"/>
        </w:rPr>
        <w:t>Section 306</w:t>
      </w:r>
      <w:r>
        <w:rPr>
          <w:rFonts w:ascii="Times New Roman" w:cs="Times New Roman" w:eastAsia="Times New Roman" w:hAnsi="Times New Roman"/>
          <w:sz w:val="14"/>
          <w:szCs w:val="14"/>
          <w:color w:val="auto"/>
        </w:rPr>
        <w:t xml:space="preserve"> of the FD&amp;C Act (or any analogous Applicable Laws in the Licensed Territory), or that is the subject of a conviction described in such section.</w:t>
      </w:r>
    </w:p>
    <w:p>
      <w:pPr>
        <w:spacing w:after="0" w:line="130" w:lineRule="exact"/>
        <w:rPr>
          <w:sz w:val="20"/>
          <w:szCs w:val="20"/>
          <w:color w:val="auto"/>
        </w:rPr>
      </w:pPr>
    </w:p>
    <w:p>
      <w:pPr>
        <w:jc w:val="both"/>
        <w:ind w:left="540" w:right="8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5.5</w:t>
      </w:r>
      <w:r>
        <w:rPr>
          <w:sz w:val="20"/>
          <w:szCs w:val="20"/>
          <w:color w:val="auto"/>
        </w:rPr>
        <w:tab/>
      </w:r>
      <w:r>
        <w:rPr>
          <w:rFonts w:ascii="Times New Roman" w:cs="Times New Roman" w:eastAsia="Times New Roman" w:hAnsi="Times New Roman"/>
          <w:sz w:val="15"/>
          <w:szCs w:val="15"/>
          <w:b w:val="1"/>
          <w:bCs w:val="1"/>
          <w:color w:val="auto"/>
        </w:rPr>
        <w:t>Reports of Development Activities</w:t>
      </w:r>
      <w:r>
        <w:rPr>
          <w:rFonts w:ascii="Times New Roman" w:cs="Times New Roman" w:eastAsia="Times New Roman" w:hAnsi="Times New Roman"/>
          <w:sz w:val="15"/>
          <w:szCs w:val="15"/>
          <w:color w:val="auto"/>
        </w:rPr>
        <w:t>. Licensee shall report to XENCOR on the progress of the Development of the Licensed Asset and Products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In addition,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Licensee shall, during the fourth Calendar Quarter of each Calendar Year, provide XENCOR a reasonably detailed report regarding its significant Development activities involving Product during the preceding four (4) Calendar Quarters.</w:t>
      </w:r>
    </w:p>
    <w:p>
      <w:pPr>
        <w:spacing w:after="0" w:line="147" w:lineRule="exact"/>
        <w:rPr>
          <w:sz w:val="20"/>
          <w:szCs w:val="20"/>
          <w:color w:val="auto"/>
        </w:rPr>
      </w:pPr>
    </w:p>
    <w:p>
      <w:pPr>
        <w:ind w:left="540" w:right="14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5.6</w:t>
      </w:r>
      <w:r>
        <w:rPr>
          <w:sz w:val="20"/>
          <w:szCs w:val="20"/>
          <w:color w:val="auto"/>
        </w:rPr>
        <w:tab/>
      </w:r>
      <w:r>
        <w:rPr>
          <w:rFonts w:ascii="Times New Roman" w:cs="Times New Roman" w:eastAsia="Times New Roman" w:hAnsi="Times New Roman"/>
          <w:sz w:val="15"/>
          <w:szCs w:val="15"/>
          <w:b w:val="1"/>
          <w:bCs w:val="1"/>
          <w:color w:val="auto"/>
        </w:rPr>
        <w:t>Development Costs</w:t>
      </w:r>
      <w:r>
        <w:rPr>
          <w:rFonts w:ascii="Times New Roman" w:cs="Times New Roman" w:eastAsia="Times New Roman" w:hAnsi="Times New Roman"/>
          <w:sz w:val="15"/>
          <w:szCs w:val="15"/>
          <w:color w:val="auto"/>
        </w:rPr>
        <w:t>. Licensee shall be solely responsible for all costs and expenses associated with its performance of the Development activities related to the Licensed Asset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Products.</w:t>
      </w:r>
    </w:p>
    <w:p>
      <w:pPr>
        <w:spacing w:after="0" w:line="136" w:lineRule="exact"/>
        <w:rPr>
          <w:sz w:val="20"/>
          <w:szCs w:val="20"/>
          <w:color w:val="auto"/>
        </w:rPr>
      </w:pPr>
    </w:p>
    <w:p>
      <w:pPr>
        <w:ind w:left="540" w:hanging="532"/>
        <w:spacing w:after="0"/>
        <w:tabs>
          <w:tab w:leader="none" w:pos="540" w:val="left"/>
        </w:tabs>
        <w:numPr>
          <w:ilvl w:val="0"/>
          <w:numId w:val="20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Regulatory Matters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540" w:right="16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6.1</w:t>
      </w:r>
      <w:r>
        <w:rPr>
          <w:sz w:val="20"/>
          <w:szCs w:val="20"/>
          <w:color w:val="auto"/>
        </w:rPr>
        <w:tab/>
      </w:r>
      <w:r>
        <w:rPr>
          <w:rFonts w:ascii="Times New Roman" w:cs="Times New Roman" w:eastAsia="Times New Roman" w:hAnsi="Times New Roman"/>
          <w:sz w:val="15"/>
          <w:szCs w:val="15"/>
          <w:b w:val="1"/>
          <w:bCs w:val="1"/>
          <w:color w:val="auto"/>
        </w:rPr>
        <w:t>Regulatory Strategy and Diligence</w:t>
      </w:r>
      <w:r>
        <w:rPr>
          <w:rFonts w:ascii="Times New Roman" w:cs="Times New Roman" w:eastAsia="Times New Roman" w:hAnsi="Times New Roman"/>
          <w:sz w:val="15"/>
          <w:szCs w:val="15"/>
          <w:color w:val="auto"/>
        </w:rPr>
        <w:t>. The Licensee shall be responsible for formulating regulatory strategy for obtaining and maintaining Regulatory Approvals for Products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Field in the Licensed Territory. Licensee shall use Commercially Reasonable Efforts to obtain Regulatory Approval for Products in the Field in the Licensed Territory.</w:t>
      </w:r>
    </w:p>
    <w:p>
      <w:pPr>
        <w:spacing w:after="0" w:line="13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6.2</w:t>
      </w:r>
      <w:r>
        <w:rPr>
          <w:sz w:val="20"/>
          <w:szCs w:val="20"/>
          <w:color w:val="auto"/>
        </w:rPr>
        <w:tab/>
      </w:r>
      <w:r>
        <w:rPr>
          <w:rFonts w:ascii="Times New Roman" w:cs="Times New Roman" w:eastAsia="Times New Roman" w:hAnsi="Times New Roman"/>
          <w:sz w:val="14"/>
          <w:szCs w:val="14"/>
          <w:b w:val="1"/>
          <w:bCs w:val="1"/>
          <w:color w:val="auto"/>
        </w:rPr>
        <w:t>Regulatory Approvals in the Licensed Territory</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60" w:right="20" w:hanging="526"/>
        <w:spacing w:after="0" w:line="266" w:lineRule="auto"/>
        <w:tabs>
          <w:tab w:leader="none" w:pos="1040" w:val="left"/>
        </w:tabs>
        <w:rPr>
          <w:sz w:val="20"/>
          <w:szCs w:val="20"/>
          <w:color w:val="auto"/>
        </w:rPr>
      </w:pPr>
      <w:r>
        <w:rPr>
          <w:rFonts w:ascii="Times New Roman" w:cs="Times New Roman" w:eastAsia="Times New Roman" w:hAnsi="Times New Roman"/>
          <w:sz w:val="15"/>
          <w:szCs w:val="15"/>
          <w:color w:val="auto"/>
        </w:rPr>
        <w:t>6.2.1</w:t>
      </w:r>
      <w:r>
        <w:rPr>
          <w:sz w:val="20"/>
          <w:szCs w:val="20"/>
          <w:color w:val="auto"/>
        </w:rPr>
        <w:tab/>
      </w:r>
      <w:r>
        <w:rPr>
          <w:rFonts w:ascii="Times New Roman" w:cs="Times New Roman" w:eastAsia="Times New Roman" w:hAnsi="Times New Roman"/>
          <w:sz w:val="14"/>
          <w:szCs w:val="14"/>
          <w:b w:val="1"/>
          <w:bCs w:val="1"/>
          <w:color w:val="auto"/>
        </w:rPr>
        <w:t>Responsibility</w:t>
      </w:r>
      <w:r>
        <w:rPr>
          <w:rFonts w:ascii="Times New Roman" w:cs="Times New Roman" w:eastAsia="Times New Roman" w:hAnsi="Times New Roman"/>
          <w:sz w:val="14"/>
          <w:szCs w:val="14"/>
          <w:color w:val="auto"/>
        </w:rPr>
        <w:t>. Licensee shall have sole control and decision-making authority, and be solely responsible for: (a) preparing and filing all Regulatory Submissions necessary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desirable for obtaining and maintaining Regulatory Approvals for Products in the Field in the Licensed Territory (each a “</w:t>
      </w:r>
      <w:r>
        <w:rPr>
          <w:rFonts w:ascii="Times New Roman" w:cs="Times New Roman" w:eastAsia="Times New Roman" w:hAnsi="Times New Roman"/>
          <w:sz w:val="14"/>
          <w:szCs w:val="14"/>
          <w:u w:val="single" w:color="auto"/>
          <w:color w:val="auto"/>
        </w:rPr>
        <w:t>Licensee Regulatory Submission</w:t>
      </w:r>
      <w:r>
        <w:rPr>
          <w:rFonts w:ascii="Times New Roman" w:cs="Times New Roman" w:eastAsia="Times New Roman" w:hAnsi="Times New Roman"/>
          <w:sz w:val="14"/>
          <w:szCs w:val="14"/>
          <w:color w:val="auto"/>
        </w:rPr>
        <w:t>”), including in connection with package inserts, labeling and packaging for the Products in the Field in the Licensed Territory; (b) communicating with the NMPA, US FDA, EMA, and other Regulatory Authorities in the Licensed Territory about the Licensed Asset and Products; (c) preparing and submitting supplements, communications, license amendments, renewals, annual reports, Adverse Event reports, manufacturing changes, supplier designations and other related Regulatory Submissions (including with respect to any required post-marketing studies) for the Products in the Field in the Licensed Territory; (d) handling all medical questions or inquiries in each country; and</w:t>
      </w:r>
    </w:p>
    <w:p>
      <w:pPr>
        <w:spacing w:after="0" w:line="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(e) all costs and expenses associated with the foregoing.</w:t>
      </w:r>
    </w:p>
    <w:p>
      <w:pPr>
        <w:spacing w:after="0" w:line="162" w:lineRule="exact"/>
        <w:rPr>
          <w:sz w:val="20"/>
          <w:szCs w:val="20"/>
          <w:color w:val="auto"/>
        </w:rPr>
      </w:pPr>
    </w:p>
    <w:p>
      <w:pPr>
        <w:ind w:left="1060" w:right="60" w:hanging="526"/>
        <w:spacing w:after="0" w:line="251" w:lineRule="auto"/>
        <w:tabs>
          <w:tab w:leader="none" w:pos="1040" w:val="left"/>
        </w:tabs>
        <w:rPr>
          <w:sz w:val="20"/>
          <w:szCs w:val="20"/>
          <w:color w:val="auto"/>
        </w:rPr>
      </w:pPr>
      <w:r>
        <w:rPr>
          <w:rFonts w:ascii="Times New Roman" w:cs="Times New Roman" w:eastAsia="Times New Roman" w:hAnsi="Times New Roman"/>
          <w:sz w:val="15"/>
          <w:szCs w:val="15"/>
          <w:color w:val="auto"/>
        </w:rPr>
        <w:t>6.2.2</w:t>
      </w:r>
      <w:r>
        <w:rPr>
          <w:sz w:val="20"/>
          <w:szCs w:val="20"/>
          <w:color w:val="auto"/>
        </w:rPr>
        <w:tab/>
      </w:r>
      <w:r>
        <w:rPr>
          <w:rFonts w:ascii="Times New Roman" w:cs="Times New Roman" w:eastAsia="Times New Roman" w:hAnsi="Times New Roman"/>
          <w:sz w:val="15"/>
          <w:szCs w:val="15"/>
          <w:b w:val="1"/>
          <w:bCs w:val="1"/>
          <w:color w:val="auto"/>
        </w:rPr>
        <w:t>Ownership of Regulatory Submissions and Regulatory Approvals</w:t>
      </w:r>
      <w:r>
        <w:rPr>
          <w:rFonts w:ascii="Times New Roman" w:cs="Times New Roman" w:eastAsia="Times New Roman" w:hAnsi="Times New Roman"/>
          <w:sz w:val="15"/>
          <w:szCs w:val="15"/>
          <w:color w:val="auto"/>
        </w:rPr>
        <w:t>. Licensee or its Affiliate shall be the applicant and legal and beneficial owner of all Regulatory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Submissions and Regulatory Approvals for the Licensed Asset or Products in the Licensed Territory;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Parties shall use good faith efforts to cooperate to effectuate this </w:t>
      </w:r>
      <w:r>
        <w:rPr>
          <w:rFonts w:ascii="Times New Roman" w:cs="Times New Roman" w:eastAsia="Times New Roman" w:hAnsi="Times New Roman"/>
          <w:sz w:val="15"/>
          <w:szCs w:val="15"/>
          <w:u w:val="single" w:color="auto"/>
          <w:color w:val="auto"/>
        </w:rPr>
        <w:t>Section 6.2.2</w:t>
      </w:r>
      <w:r>
        <w:rPr>
          <w:rFonts w:ascii="Times New Roman" w:cs="Times New Roman" w:eastAsia="Times New Roman" w:hAnsi="Times New Roman"/>
          <w:sz w:val="15"/>
          <w:szCs w:val="15"/>
          <w:color w:val="auto"/>
        </w:rPr>
        <w:t>. Notwithstanding the foregoing, to the extent any Licensee Regulatory Submissions contain XENCOR Intellectual Property or XENCOR’s Confidential Information, XENCOR shall retain ownership to such XENCOR Intellectual Property and XENCOR’s Confidential Information, which shall remain subject to the terms and conditions of this Agreement.</w:t>
      </w:r>
    </w:p>
    <w:p>
      <w:pPr>
        <w:spacing w:after="0" w:line="153" w:lineRule="exact"/>
        <w:rPr>
          <w:sz w:val="20"/>
          <w:szCs w:val="20"/>
          <w:color w:val="auto"/>
        </w:rPr>
      </w:pPr>
    </w:p>
    <w:p>
      <w:pPr>
        <w:ind w:left="1060" w:right="240" w:hanging="526"/>
        <w:spacing w:after="0" w:line="272" w:lineRule="auto"/>
        <w:tabs>
          <w:tab w:leader="none" w:pos="1040" w:val="left"/>
        </w:tabs>
        <w:rPr>
          <w:sz w:val="20"/>
          <w:szCs w:val="20"/>
          <w:color w:val="auto"/>
        </w:rPr>
      </w:pPr>
      <w:r>
        <w:rPr>
          <w:rFonts w:ascii="Times New Roman" w:cs="Times New Roman" w:eastAsia="Times New Roman" w:hAnsi="Times New Roman"/>
          <w:sz w:val="15"/>
          <w:szCs w:val="15"/>
          <w:color w:val="auto"/>
        </w:rPr>
        <w:t>6.2.3</w:t>
      </w:r>
      <w:r>
        <w:rPr>
          <w:sz w:val="20"/>
          <w:szCs w:val="20"/>
          <w:color w:val="auto"/>
        </w:rPr>
        <w:tab/>
      </w:r>
      <w:r>
        <w:rPr>
          <w:rFonts w:ascii="Times New Roman" w:cs="Times New Roman" w:eastAsia="Times New Roman" w:hAnsi="Times New Roman"/>
          <w:sz w:val="15"/>
          <w:szCs w:val="15"/>
          <w:b w:val="1"/>
          <w:bCs w:val="1"/>
          <w:color w:val="auto"/>
        </w:rPr>
        <w:t>Reporting and Review</w:t>
      </w:r>
      <w:r>
        <w:rPr>
          <w:rFonts w:ascii="Times New Roman" w:cs="Times New Roman" w:eastAsia="Times New Roman" w:hAnsi="Times New Roman"/>
          <w:sz w:val="15"/>
          <w:szCs w:val="15"/>
          <w:color w:val="auto"/>
        </w:rPr>
        <w:t>. Licensee shall keep XENCOR reasonably and regularly informed in connection with the preparation of all Regulatory Submissions, Regulatory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Authority review of Regulatory Submissions, and Regulatory Approvals, in each case with respect to the Products.</w:t>
      </w: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00"/>
          </w:cols>
          <w:pgMar w:left="300" w:top="760" w:right="399" w:bottom="1440" w:gutter="0" w:footer="0" w:header="0"/>
        </w:sectPr>
      </w:pPr>
    </w:p>
    <w:bookmarkStart w:id="361" w:name="page362"/>
    <w:bookmarkEnd w:id="361"/>
    <w:p>
      <w:pPr>
        <w:ind w:left="1060" w:right="40" w:hanging="526"/>
        <w:spacing w:after="0" w:line="272" w:lineRule="auto"/>
        <w:tabs>
          <w:tab w:leader="none" w:pos="1040" w:val="left"/>
        </w:tabs>
        <w:rPr>
          <w:sz w:val="20"/>
          <w:szCs w:val="20"/>
          <w:color w:val="auto"/>
        </w:rPr>
      </w:pPr>
      <w:r>
        <w:rPr>
          <w:rFonts w:ascii="Times New Roman" w:cs="Times New Roman" w:eastAsia="Times New Roman" w:hAnsi="Times New Roman"/>
          <w:sz w:val="15"/>
          <w:szCs w:val="15"/>
          <w:color w:val="auto"/>
        </w:rPr>
        <w:t>6.2.4</w:t>
      </w:r>
      <w:r>
        <w:rPr>
          <w:sz w:val="20"/>
          <w:szCs w:val="20"/>
          <w:color w:val="auto"/>
        </w:rPr>
        <w:tab/>
      </w:r>
      <w:r>
        <w:rPr>
          <w:rFonts w:ascii="Times New Roman" w:cs="Times New Roman" w:eastAsia="Times New Roman" w:hAnsi="Times New Roman"/>
          <w:sz w:val="15"/>
          <w:szCs w:val="15"/>
          <w:b w:val="1"/>
          <w:bCs w:val="1"/>
          <w:color w:val="auto"/>
        </w:rPr>
        <w:t>No Other Regulatory Filings</w:t>
      </w:r>
      <w:r>
        <w:rPr>
          <w:rFonts w:ascii="Times New Roman" w:cs="Times New Roman" w:eastAsia="Times New Roman" w:hAnsi="Times New Roman"/>
          <w:sz w:val="15"/>
          <w:szCs w:val="15"/>
          <w:color w:val="auto"/>
        </w:rPr>
        <w:t>. Except as otherwise expressly set forth in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Article 6</w:t>
      </w:r>
      <w:r>
        <w:rPr>
          <w:rFonts w:ascii="Times New Roman" w:cs="Times New Roman" w:eastAsia="Times New Roman" w:hAnsi="Times New Roman"/>
          <w:sz w:val="15"/>
          <w:szCs w:val="15"/>
          <w:color w:val="auto"/>
        </w:rPr>
        <w:t>, Licensee, its Affiliates and Sublicensees shall not file any Regulatory Submissions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seek any Regulatory Approvals that are based on any XENCOR Intellectual Property.</w:t>
      </w:r>
    </w:p>
    <w:p>
      <w:pPr>
        <w:spacing w:after="0" w:line="136" w:lineRule="exact"/>
        <w:rPr>
          <w:sz w:val="20"/>
          <w:szCs w:val="20"/>
          <w:color w:val="auto"/>
        </w:rPr>
      </w:pPr>
    </w:p>
    <w:p>
      <w:pPr>
        <w:ind w:left="540" w:hanging="526"/>
        <w:spacing w:after="0" w:line="253" w:lineRule="auto"/>
        <w:tabs>
          <w:tab w:leader="none" w:pos="520" w:val="left"/>
        </w:tabs>
        <w:rPr>
          <w:sz w:val="20"/>
          <w:szCs w:val="20"/>
          <w:color w:val="auto"/>
        </w:rPr>
      </w:pPr>
      <w:r>
        <w:rPr>
          <w:rFonts w:ascii="Times New Roman" w:cs="Times New Roman" w:eastAsia="Times New Roman" w:hAnsi="Times New Roman"/>
          <w:sz w:val="15"/>
          <w:szCs w:val="15"/>
          <w:color w:val="auto"/>
        </w:rPr>
        <w:t>6.3</w:t>
      </w:r>
      <w:r>
        <w:rPr>
          <w:sz w:val="20"/>
          <w:szCs w:val="20"/>
          <w:color w:val="auto"/>
        </w:rPr>
        <w:tab/>
      </w:r>
      <w:r>
        <w:rPr>
          <w:rFonts w:ascii="Times New Roman" w:cs="Times New Roman" w:eastAsia="Times New Roman" w:hAnsi="Times New Roman"/>
          <w:sz w:val="15"/>
          <w:szCs w:val="15"/>
          <w:b w:val="1"/>
          <w:bCs w:val="1"/>
          <w:color w:val="auto"/>
        </w:rPr>
        <w:t>Regulatory Authority Communications</w:t>
      </w:r>
      <w:r>
        <w:rPr>
          <w:rFonts w:ascii="Times New Roman" w:cs="Times New Roman" w:eastAsia="Times New Roman" w:hAnsi="Times New Roman"/>
          <w:sz w:val="15"/>
          <w:szCs w:val="15"/>
          <w:color w:val="auto"/>
        </w:rPr>
        <w:t>. In addition to its obligations under this Agreement, Licensee shall disclose to XENCOR (and XENCOR shall have the right to subsequently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disclose to its designees) all material information pertaining to notices from, or actions taken by, Regulatory Authorities in connection with the Products or Licensed Asset, including any audit notice, notice of initiation by Regulatory Authorities of investigations, inspections, detentions, seizures or injunctions concerning the Products or Licensed Asset, notice of violation letter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an untitled letter), warning letter, service of process or other inquiry.</w:t>
      </w:r>
    </w:p>
    <w:p>
      <w:pPr>
        <w:spacing w:after="0" w:line="152" w:lineRule="exact"/>
        <w:rPr>
          <w:sz w:val="20"/>
          <w:szCs w:val="20"/>
          <w:color w:val="auto"/>
        </w:rPr>
      </w:pPr>
    </w:p>
    <w:p>
      <w:pPr>
        <w:ind w:left="540" w:hanging="526"/>
        <w:spacing w:after="0" w:line="248" w:lineRule="auto"/>
        <w:tabs>
          <w:tab w:leader="none" w:pos="520" w:val="left"/>
        </w:tabs>
        <w:rPr>
          <w:sz w:val="20"/>
          <w:szCs w:val="20"/>
          <w:color w:val="auto"/>
        </w:rPr>
      </w:pPr>
      <w:r>
        <w:rPr>
          <w:rFonts w:ascii="Times New Roman" w:cs="Times New Roman" w:eastAsia="Times New Roman" w:hAnsi="Times New Roman"/>
          <w:sz w:val="15"/>
          <w:szCs w:val="15"/>
          <w:color w:val="auto"/>
        </w:rPr>
        <w:t>6.4</w:t>
      </w:r>
      <w:r>
        <w:rPr>
          <w:sz w:val="20"/>
          <w:szCs w:val="20"/>
          <w:color w:val="auto"/>
        </w:rPr>
        <w:tab/>
      </w:r>
      <w:r>
        <w:rPr>
          <w:rFonts w:ascii="Times New Roman" w:cs="Times New Roman" w:eastAsia="Times New Roman" w:hAnsi="Times New Roman"/>
          <w:sz w:val="15"/>
          <w:szCs w:val="15"/>
          <w:b w:val="1"/>
          <w:bCs w:val="1"/>
          <w:color w:val="auto"/>
        </w:rPr>
        <w:t>Recall, Withdrawal, or Market Notification of Product</w:t>
      </w:r>
      <w:r>
        <w:rPr>
          <w:rFonts w:ascii="Times New Roman" w:cs="Times New Roman" w:eastAsia="Times New Roman" w:hAnsi="Times New Roman"/>
          <w:sz w:val="15"/>
          <w:szCs w:val="15"/>
          <w:color w:val="auto"/>
        </w:rPr>
        <w:t>. In the event that any governmental authority threatens or initiates any action to remove any Product from the market,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Licensee shall notify XENCOR of such communication promptly, but in no event later than [***], after receipt thereof. Licensee shall determine whether to initiate any recall, withdrawal or market notification of such Product. Without limiting the foregoing, XENCOR shall have the right to propose that a Product recall, withdrawal or market should be initiated by Licensee, but Licensee shall make the final decision as to whether or not the recall, withdrawal or market notification will be initiated;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in the event Licensee does not agree to initiate such recall, withdrawal or market notification, then Licensee shall indemnify XENCOR under </w:t>
      </w:r>
      <w:r>
        <w:rPr>
          <w:rFonts w:ascii="Times New Roman" w:cs="Times New Roman" w:eastAsia="Times New Roman" w:hAnsi="Times New Roman"/>
          <w:sz w:val="15"/>
          <w:szCs w:val="15"/>
          <w:u w:val="single" w:color="auto"/>
          <w:color w:val="auto"/>
        </w:rPr>
        <w:t>Section 15.2</w:t>
      </w:r>
      <w:r>
        <w:rPr>
          <w:rFonts w:ascii="Times New Roman" w:cs="Times New Roman" w:eastAsia="Times New Roman" w:hAnsi="Times New Roman"/>
          <w:sz w:val="15"/>
          <w:szCs w:val="15"/>
          <w:color w:val="auto"/>
        </w:rPr>
        <w:t xml:space="preserve"> with respect thereto. Licensee shall at all times utilize a batch tracing system which will enable the Parties to identify, on a prompt basis, customers who have been supplied with Product of any particular batch, and to recall such Product from such customers as required pursuant to this </w:t>
      </w:r>
      <w:r>
        <w:rPr>
          <w:rFonts w:ascii="Times New Roman" w:cs="Times New Roman" w:eastAsia="Times New Roman" w:hAnsi="Times New Roman"/>
          <w:sz w:val="15"/>
          <w:szCs w:val="15"/>
          <w:u w:val="single" w:color="auto"/>
          <w:color w:val="auto"/>
        </w:rPr>
        <w:t>Section 6.4</w:t>
      </w:r>
      <w:r>
        <w:rPr>
          <w:rFonts w:ascii="Times New Roman" w:cs="Times New Roman" w:eastAsia="Times New Roman" w:hAnsi="Times New Roman"/>
          <w:sz w:val="15"/>
          <w:szCs w:val="15"/>
          <w:color w:val="auto"/>
        </w:rPr>
        <w:t>. All costs and expenses associated with implementing a recall, withdrawal or market notification with respect to the Products shall be borne by Licensee.</w:t>
      </w:r>
    </w:p>
    <w:p>
      <w:pPr>
        <w:spacing w:after="0" w:line="156" w:lineRule="exact"/>
        <w:rPr>
          <w:sz w:val="20"/>
          <w:szCs w:val="20"/>
          <w:color w:val="auto"/>
        </w:rPr>
      </w:pPr>
    </w:p>
    <w:p>
      <w:pPr>
        <w:ind w:left="540" w:hanging="532"/>
        <w:spacing w:after="0"/>
        <w:tabs>
          <w:tab w:leader="none" w:pos="540" w:val="left"/>
        </w:tabs>
        <w:numPr>
          <w:ilvl w:val="0"/>
          <w:numId w:val="20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Manufacture and Supply</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left="540" w:right="6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7.1</w:t>
      </w:r>
      <w:r>
        <w:rPr>
          <w:sz w:val="20"/>
          <w:szCs w:val="20"/>
          <w:color w:val="auto"/>
        </w:rPr>
        <w:tab/>
      </w:r>
      <w:r>
        <w:rPr>
          <w:rFonts w:ascii="Times New Roman" w:cs="Times New Roman" w:eastAsia="Times New Roman" w:hAnsi="Times New Roman"/>
          <w:sz w:val="15"/>
          <w:szCs w:val="15"/>
          <w:b w:val="1"/>
          <w:bCs w:val="1"/>
          <w:color w:val="auto"/>
        </w:rPr>
        <w:t>In General</w:t>
      </w:r>
      <w:r>
        <w:rPr>
          <w:rFonts w:ascii="Times New Roman" w:cs="Times New Roman" w:eastAsia="Times New Roman" w:hAnsi="Times New Roman"/>
          <w:sz w:val="15"/>
          <w:szCs w:val="15"/>
          <w:color w:val="auto"/>
        </w:rPr>
        <w:t>. Licensee shall have the right to Manufacture the Licensed Asset and Products for the Development or Commercialization of the Licensed Asset, Products, or Companion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Diagnostics in the Field in the Licensed Territory. Licensee may either itself Manufacture and supply, or enter into one or more definitive Manufacturing and supply agreements with appropriate Third Parties, subject to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to Manufacture and supply clinical and commercial supplies of the Licensed Asset and Products.</w:t>
      </w:r>
    </w:p>
    <w:p>
      <w:pPr>
        <w:spacing w:after="0" w:line="147" w:lineRule="exact"/>
        <w:rPr>
          <w:sz w:val="20"/>
          <w:szCs w:val="20"/>
          <w:color w:val="auto"/>
        </w:rPr>
      </w:pPr>
    </w:p>
    <w:p>
      <w:pPr>
        <w:ind w:left="540" w:right="20" w:hanging="526"/>
        <w:spacing w:after="0" w:line="248" w:lineRule="auto"/>
        <w:tabs>
          <w:tab w:leader="none" w:pos="520" w:val="left"/>
        </w:tabs>
        <w:rPr>
          <w:sz w:val="20"/>
          <w:szCs w:val="20"/>
          <w:color w:val="auto"/>
        </w:rPr>
      </w:pPr>
      <w:r>
        <w:rPr>
          <w:rFonts w:ascii="Times New Roman" w:cs="Times New Roman" w:eastAsia="Times New Roman" w:hAnsi="Times New Roman"/>
          <w:sz w:val="15"/>
          <w:szCs w:val="15"/>
          <w:color w:val="auto"/>
        </w:rPr>
        <w:t>7.2</w:t>
      </w:r>
      <w:r>
        <w:rPr>
          <w:sz w:val="20"/>
          <w:szCs w:val="20"/>
          <w:color w:val="auto"/>
        </w:rPr>
        <w:tab/>
      </w:r>
      <w:r>
        <w:rPr>
          <w:rFonts w:ascii="Times New Roman" w:cs="Times New Roman" w:eastAsia="Times New Roman" w:hAnsi="Times New Roman"/>
          <w:sz w:val="15"/>
          <w:szCs w:val="15"/>
          <w:b w:val="1"/>
          <w:bCs w:val="1"/>
          <w:color w:val="auto"/>
        </w:rPr>
        <w:t>Existing Supply</w:t>
      </w:r>
      <w:r>
        <w:rPr>
          <w:rFonts w:ascii="Times New Roman" w:cs="Times New Roman" w:eastAsia="Times New Roman" w:hAnsi="Times New Roman"/>
          <w:sz w:val="15"/>
          <w:szCs w:val="15"/>
          <w:color w:val="auto"/>
        </w:rPr>
        <w:t>. The Parties shall reasonably cooperate and assist each other in transferring ownership of existing drug product and/or drug substance (such material, collectively,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Product Lots</w:t>
      </w:r>
      <w:r>
        <w:rPr>
          <w:rFonts w:ascii="Times New Roman" w:cs="Times New Roman" w:eastAsia="Times New Roman" w:hAnsi="Times New Roman"/>
          <w:sz w:val="15"/>
          <w:szCs w:val="15"/>
          <w:color w:val="auto"/>
        </w:rPr>
        <w:t xml:space="preserve">”) identified in </w:t>
      </w:r>
      <w:r>
        <w:rPr>
          <w:rFonts w:ascii="Times New Roman" w:cs="Times New Roman" w:eastAsia="Times New Roman" w:hAnsi="Times New Roman"/>
          <w:sz w:val="15"/>
          <w:szCs w:val="15"/>
          <w:u w:val="single" w:color="auto"/>
          <w:color w:val="auto"/>
        </w:rPr>
        <w:t>Schedule 7.2</w:t>
      </w:r>
      <w:r>
        <w:rPr>
          <w:rFonts w:ascii="Times New Roman" w:cs="Times New Roman" w:eastAsia="Times New Roman" w:hAnsi="Times New Roman"/>
          <w:sz w:val="15"/>
          <w:szCs w:val="15"/>
          <w:color w:val="auto"/>
        </w:rPr>
        <w:t xml:space="preserve"> from XENCOR to Licensee as promptly as reasonably practicable following the Effective Date at XENCOR’s sole cost and expense except as provided below; provided that XENCOR shall provide the materials designated as “High Priority” on </w:t>
      </w:r>
      <w:r>
        <w:rPr>
          <w:rFonts w:ascii="Times New Roman" w:cs="Times New Roman" w:eastAsia="Times New Roman" w:hAnsi="Times New Roman"/>
          <w:sz w:val="15"/>
          <w:szCs w:val="15"/>
          <w:u w:val="single" w:color="auto"/>
          <w:color w:val="auto"/>
        </w:rPr>
        <w:t>Schedule 7.2</w:t>
      </w:r>
      <w:r>
        <w:rPr>
          <w:rFonts w:ascii="Times New Roman" w:cs="Times New Roman" w:eastAsia="Times New Roman" w:hAnsi="Times New Roman"/>
          <w:sz w:val="15"/>
          <w:szCs w:val="15"/>
          <w:color w:val="auto"/>
        </w:rPr>
        <w:t xml:space="preserve"> no later than [***] after the Effective Date. The Product Lots shall be delivered EXW (Ex Works) (Incoterms 2010) at facility designated by XENCOR to Licensee in writing. Any expense for shipment shall be borne by Licensee (including any import or export duties or taxes). Subject to the terms of this </w:t>
      </w:r>
      <w:r>
        <w:rPr>
          <w:rFonts w:ascii="Times New Roman" w:cs="Times New Roman" w:eastAsia="Times New Roman" w:hAnsi="Times New Roman"/>
          <w:sz w:val="15"/>
          <w:szCs w:val="15"/>
          <w:u w:val="single" w:color="auto"/>
          <w:color w:val="auto"/>
        </w:rPr>
        <w:t>Section 7.2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11.2</w:t>
      </w:r>
      <w:r>
        <w:rPr>
          <w:rFonts w:ascii="Times New Roman" w:cs="Times New Roman" w:eastAsia="Times New Roman" w:hAnsi="Times New Roman"/>
          <w:sz w:val="15"/>
          <w:szCs w:val="15"/>
          <w:color w:val="auto"/>
        </w:rPr>
        <w:t xml:space="preserve">, XENCOR transfers the Product Lots to Licensee “as is,” and makes no other representation to Licensee in connection therewith. Except for the Product Lots to be transferred to Licensee, Licensee shall be responsible for, and shall bear the cost of, obtaining (whether by Manufacturing or causing to be Manufactured) all research, clinical and commercial supplies of the Licensed Assets and Product(s). After the Effective Date, Licensee shall be responsible for all costs and expenses in connection with the storage of, and any stability studies performed on, the Product Lots. XENCOR shall have no obligation to supply or provide the Licensed Asset or Products other than the transfer of the Product Lots as set forth in this </w:t>
      </w:r>
      <w:r>
        <w:rPr>
          <w:rFonts w:ascii="Times New Roman" w:cs="Times New Roman" w:eastAsia="Times New Roman" w:hAnsi="Times New Roman"/>
          <w:sz w:val="15"/>
          <w:szCs w:val="15"/>
          <w:u w:val="single" w:color="auto"/>
          <w:color w:val="auto"/>
        </w:rPr>
        <w:t>Section 7.2</w:t>
      </w:r>
      <w:r>
        <w:rPr>
          <w:rFonts w:ascii="Times New Roman" w:cs="Times New Roman" w:eastAsia="Times New Roman" w:hAnsi="Times New Roman"/>
          <w:sz w:val="15"/>
          <w:szCs w:val="15"/>
          <w:color w:val="auto"/>
        </w:rPr>
        <w:t>.</w:t>
      </w: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0" w:right="339" w:bottom="1440" w:gutter="0" w:footer="0" w:header="0"/>
        </w:sectPr>
      </w:pPr>
    </w:p>
    <w:bookmarkStart w:id="362" w:name="page363"/>
    <w:bookmarkEnd w:id="362"/>
    <w:p>
      <w:pPr>
        <w:ind w:left="540" w:hanging="532"/>
        <w:spacing w:after="0"/>
        <w:tabs>
          <w:tab w:leader="none" w:pos="540" w:val="left"/>
        </w:tabs>
        <w:numPr>
          <w:ilvl w:val="0"/>
          <w:numId w:val="20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Commercialization</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540" w:right="180" w:hanging="526"/>
        <w:spacing w:after="0" w:line="251" w:lineRule="auto"/>
        <w:tabs>
          <w:tab w:leader="none" w:pos="520" w:val="left"/>
        </w:tabs>
        <w:rPr>
          <w:sz w:val="20"/>
          <w:szCs w:val="20"/>
          <w:color w:val="auto"/>
        </w:rPr>
      </w:pPr>
      <w:r>
        <w:rPr>
          <w:rFonts w:ascii="Times New Roman" w:cs="Times New Roman" w:eastAsia="Times New Roman" w:hAnsi="Times New Roman"/>
          <w:sz w:val="15"/>
          <w:szCs w:val="15"/>
          <w:color w:val="auto"/>
        </w:rPr>
        <w:t>8.1</w:t>
      </w:r>
      <w:r>
        <w:rPr>
          <w:sz w:val="20"/>
          <w:szCs w:val="20"/>
          <w:color w:val="auto"/>
        </w:rPr>
        <w:tab/>
      </w:r>
      <w:r>
        <w:rPr>
          <w:rFonts w:ascii="Times New Roman" w:cs="Times New Roman" w:eastAsia="Times New Roman" w:hAnsi="Times New Roman"/>
          <w:sz w:val="15"/>
          <w:szCs w:val="15"/>
          <w:b w:val="1"/>
          <w:bCs w:val="1"/>
          <w:color w:val="auto"/>
        </w:rPr>
        <w:t>Commercialization Activities</w:t>
      </w:r>
      <w:r>
        <w:rPr>
          <w:rFonts w:ascii="Times New Roman" w:cs="Times New Roman" w:eastAsia="Times New Roman" w:hAnsi="Times New Roman"/>
          <w:sz w:val="15"/>
          <w:szCs w:val="15"/>
          <w:color w:val="auto"/>
        </w:rPr>
        <w:t>. Licensee shall have sole and exclusive responsibility, as well as sole control and decision-making authority, for all aspects of Commercialization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Products in the Field in the Licensed Territory, including all costs and expenses associated therewith, which Commercialization shall, in any event, be in accordance with this Agreement. Licensee shall use Commercially Reasonable Efforts to Commercialize Products in the Field throughout the Major Territories after obtaining the applicable Regulatory Approvals. Licensee shall undertake Commercialization activities with respect to each Licensed Asset and Product in the Field in the [***] in accordance with all Applicable Laws and applicable industry professional standards. Without limiting the generality of the foregoing, Licensee shall [***].</w:t>
      </w:r>
    </w:p>
    <w:p>
      <w:pPr>
        <w:spacing w:after="0" w:line="15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8.2</w:t>
      </w:r>
      <w:r>
        <w:rPr>
          <w:sz w:val="20"/>
          <w:szCs w:val="20"/>
          <w:color w:val="auto"/>
        </w:rPr>
        <w:tab/>
      </w:r>
      <w:r>
        <w:rPr>
          <w:rFonts w:ascii="Times New Roman" w:cs="Times New Roman" w:eastAsia="Times New Roman" w:hAnsi="Times New Roman"/>
          <w:sz w:val="14"/>
          <w:szCs w:val="14"/>
          <w:b w:val="1"/>
          <w:bCs w:val="1"/>
          <w:color w:val="auto"/>
        </w:rPr>
        <w:t>Commercialization Plan</w:t>
      </w:r>
      <w:r>
        <w:rPr>
          <w:rFonts w:ascii="Times New Roman" w:cs="Times New Roman" w:eastAsia="Times New Roman" w:hAnsi="Times New Roman"/>
          <w:sz w:val="14"/>
          <w:szCs w:val="14"/>
          <w:color w:val="auto"/>
        </w:rPr>
        <w:t>. Licensee shall develop a reasonably detailed summary of its Commercialization plan for the Licensed Asset and the Products in the Field in the Licensed</w:t>
      </w:r>
    </w:p>
    <w:p>
      <w:pPr>
        <w:spacing w:after="0" w:line="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Territory and the associated budget, which will contain in reasonable detail the major Commercialization activities and the planned timelines for achieving such activities (the</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Commercialization Plan</w:t>
      </w:r>
      <w:r>
        <w:rPr>
          <w:rFonts w:ascii="Times New Roman" w:cs="Times New Roman" w:eastAsia="Times New Roman" w:hAnsi="Times New Roman"/>
          <w:sz w:val="15"/>
          <w:szCs w:val="15"/>
          <w:color w:val="auto"/>
        </w:rPr>
        <w:t>”). Licensee shall prepare the Commercialization Plan, which may be updated and revised from time to time by Licensee and discussed with XENCOR</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 xml:space="preserve">pursuant to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and shall provide a copy of the initial Commercialization Plan and any material updates thereto promptly to XENCOR. Licensee shall consider any comments</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provided by XENCOR in good faith. If the terms of the Commercialization Plan contradict, or create inconsistencies or ambiguities with, the terms of this Agreement, then the terms</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of this Agreement shall govern.</w:t>
      </w:r>
    </w:p>
    <w:p>
      <w:pPr>
        <w:spacing w:after="0" w:line="162" w:lineRule="exact"/>
        <w:rPr>
          <w:sz w:val="20"/>
          <w:szCs w:val="20"/>
          <w:color w:val="auto"/>
        </w:rPr>
      </w:pPr>
    </w:p>
    <w:p>
      <w:pPr>
        <w:ind w:left="54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8.3</w:t>
      </w:r>
      <w:r>
        <w:rPr>
          <w:sz w:val="20"/>
          <w:szCs w:val="20"/>
          <w:color w:val="auto"/>
        </w:rPr>
        <w:tab/>
      </w:r>
      <w:r>
        <w:rPr>
          <w:rFonts w:ascii="Times New Roman" w:cs="Times New Roman" w:eastAsia="Times New Roman" w:hAnsi="Times New Roman"/>
          <w:sz w:val="15"/>
          <w:szCs w:val="15"/>
          <w:b w:val="1"/>
          <w:bCs w:val="1"/>
          <w:color w:val="auto"/>
        </w:rPr>
        <w:t>Commercialization Reports</w:t>
      </w:r>
      <w:r>
        <w:rPr>
          <w:rFonts w:ascii="Times New Roman" w:cs="Times New Roman" w:eastAsia="Times New Roman" w:hAnsi="Times New Roman"/>
          <w:sz w:val="15"/>
          <w:szCs w:val="15"/>
          <w:color w:val="auto"/>
        </w:rPr>
        <w:t>. Licensee shall report to XENCOR on the progress of the Commercialization of the Licensed Asset and Products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addition,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Licensee shall, during each of the [***] after First Commercial Sale of a Product, provide XENCOR a reasonably detailed report regarding its significant Commercialization activities involving Product during the preceding [***].</w:t>
      </w:r>
    </w:p>
    <w:p>
      <w:pPr>
        <w:spacing w:after="0" w:line="147" w:lineRule="exact"/>
        <w:rPr>
          <w:sz w:val="20"/>
          <w:szCs w:val="20"/>
          <w:color w:val="auto"/>
        </w:rPr>
      </w:pPr>
    </w:p>
    <w:p>
      <w:pPr>
        <w:ind w:left="540" w:hanging="532"/>
        <w:spacing w:after="0"/>
        <w:tabs>
          <w:tab w:leader="none" w:pos="540" w:val="left"/>
        </w:tabs>
        <w:numPr>
          <w:ilvl w:val="0"/>
          <w:numId w:val="20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Consideration.</w:t>
      </w:r>
    </w:p>
    <w:p>
      <w:pPr>
        <w:spacing w:after="0" w:line="179" w:lineRule="exact"/>
        <w:rPr>
          <w:sz w:val="20"/>
          <w:szCs w:val="20"/>
          <w:color w:val="auto"/>
        </w:rPr>
      </w:pPr>
    </w:p>
    <w:p>
      <w:pPr>
        <w:ind w:left="540" w:right="20" w:hanging="526"/>
        <w:spacing w:after="0" w:line="271" w:lineRule="auto"/>
        <w:tabs>
          <w:tab w:leader="none" w:pos="520" w:val="left"/>
        </w:tabs>
        <w:rPr>
          <w:sz w:val="20"/>
          <w:szCs w:val="20"/>
          <w:color w:val="auto"/>
        </w:rPr>
      </w:pPr>
      <w:r>
        <w:rPr>
          <w:rFonts w:ascii="Times New Roman" w:cs="Times New Roman" w:eastAsia="Times New Roman" w:hAnsi="Times New Roman"/>
          <w:sz w:val="15"/>
          <w:szCs w:val="15"/>
          <w:color w:val="auto"/>
        </w:rPr>
        <w:t>9.1</w:t>
      </w:r>
      <w:r>
        <w:rPr>
          <w:sz w:val="20"/>
          <w:szCs w:val="20"/>
          <w:color w:val="auto"/>
        </w:rPr>
        <w:tab/>
      </w:r>
      <w:r>
        <w:rPr>
          <w:rFonts w:ascii="Times New Roman" w:cs="Times New Roman" w:eastAsia="Times New Roman" w:hAnsi="Times New Roman"/>
          <w:sz w:val="14"/>
          <w:szCs w:val="14"/>
          <w:b w:val="1"/>
          <w:bCs w:val="1"/>
          <w:color w:val="auto"/>
        </w:rPr>
        <w:t>Equity Consideration</w:t>
      </w:r>
      <w:r>
        <w:rPr>
          <w:rFonts w:ascii="Times New Roman" w:cs="Times New Roman" w:eastAsia="Times New Roman" w:hAnsi="Times New Roman"/>
          <w:sz w:val="14"/>
          <w:szCs w:val="14"/>
          <w:color w:val="auto"/>
        </w:rPr>
        <w:t>. Licensee shall pay XENCOR the Equity Consideration as partial consideration for the licenses and rights granted by XENCOR to Licensee under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Agreement (in addition to the milestone payments and the royalties payable to XENCOR pursuant to </w:t>
      </w:r>
      <w:r>
        <w:rPr>
          <w:rFonts w:ascii="Times New Roman" w:cs="Times New Roman" w:eastAsia="Times New Roman" w:hAnsi="Times New Roman"/>
          <w:sz w:val="14"/>
          <w:szCs w:val="14"/>
          <w:u w:val="single" w:color="auto"/>
          <w:color w:val="auto"/>
        </w:rPr>
        <w:t>Section 9.2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9.3</w:t>
      </w:r>
      <w:r>
        <w:rPr>
          <w:rFonts w:ascii="Times New Roman" w:cs="Times New Roman" w:eastAsia="Times New Roman" w:hAnsi="Times New Roman"/>
          <w:sz w:val="14"/>
          <w:szCs w:val="14"/>
          <w:color w:val="auto"/>
        </w:rPr>
        <w:t xml:space="preserve">), with the understanding that (a) such Equity Consideration will be issued to XENCOR promptly following the Subsequent Financing Closing and the execution and delivery by XENCOR of the same financing documents as entered into by the Investors in connection with the Subsequent Financing Closing after arms-length negotiation; (b) the rights and obligations of XENCOR under such financing documents shall be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lead Investors in the Subsequent Financing; (c) the Equity Consideration will be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Subsequent Financing Securities issued to the Investors (as each term is defined below); and (d) XENCOR shall have the opportunity to review such financing documents and provide reasonable and customary comments.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40"/>
          </w:cols>
          <w:pgMar w:left="300" w:top="760" w:right="359" w:bottom="1440" w:gutter="0" w:footer="0" w:header="0"/>
        </w:sectPr>
      </w:pPr>
    </w:p>
    <w:bookmarkStart w:id="363" w:name="page364"/>
    <w:bookmarkEnd w:id="363"/>
    <w:p>
      <w:pPr>
        <w:spacing w:after="0"/>
        <w:tabs>
          <w:tab w:leader="none" w:pos="520" w:val="left"/>
        </w:tabs>
        <w:rPr>
          <w:sz w:val="20"/>
          <w:szCs w:val="20"/>
          <w:color w:val="auto"/>
        </w:rPr>
      </w:pPr>
      <w:r>
        <w:rPr>
          <w:rFonts w:ascii="Times New Roman" w:cs="Times New Roman" w:eastAsia="Times New Roman" w:hAnsi="Times New Roman"/>
          <w:sz w:val="15"/>
          <w:szCs w:val="15"/>
          <w:color w:val="auto"/>
        </w:rPr>
        <w:t>9.2</w:t>
      </w:r>
      <w:r>
        <w:rPr>
          <w:sz w:val="20"/>
          <w:szCs w:val="20"/>
          <w:color w:val="auto"/>
        </w:rPr>
        <w:tab/>
      </w:r>
      <w:r>
        <w:rPr>
          <w:rFonts w:ascii="Times New Roman" w:cs="Times New Roman" w:eastAsia="Times New Roman" w:hAnsi="Times New Roman"/>
          <w:sz w:val="14"/>
          <w:szCs w:val="14"/>
          <w:b w:val="1"/>
          <w:bCs w:val="1"/>
          <w:color w:val="auto"/>
        </w:rPr>
        <w:t>Milestones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60" w:right="100" w:hanging="526"/>
        <w:spacing w:after="0" w:line="258" w:lineRule="auto"/>
        <w:tabs>
          <w:tab w:leader="none" w:pos="1040" w:val="left"/>
        </w:tabs>
        <w:rPr>
          <w:sz w:val="20"/>
          <w:szCs w:val="20"/>
          <w:color w:val="auto"/>
        </w:rPr>
      </w:pPr>
      <w:r>
        <w:rPr>
          <w:rFonts w:ascii="Times New Roman" w:cs="Times New Roman" w:eastAsia="Times New Roman" w:hAnsi="Times New Roman"/>
          <w:sz w:val="15"/>
          <w:szCs w:val="15"/>
          <w:color w:val="auto"/>
        </w:rPr>
        <w:t>9.2.1</w:t>
      </w:r>
      <w:r>
        <w:rPr>
          <w:sz w:val="20"/>
          <w:szCs w:val="20"/>
          <w:color w:val="auto"/>
        </w:rPr>
        <w:tab/>
      </w:r>
      <w:r>
        <w:rPr>
          <w:rFonts w:ascii="Times New Roman" w:cs="Times New Roman" w:eastAsia="Times New Roman" w:hAnsi="Times New Roman"/>
          <w:sz w:val="15"/>
          <w:szCs w:val="15"/>
          <w:b w:val="1"/>
          <w:bCs w:val="1"/>
          <w:color w:val="auto"/>
        </w:rPr>
        <w:t>Development and Regulatory Milestones</w:t>
      </w:r>
      <w:r>
        <w:rPr>
          <w:rFonts w:ascii="Times New Roman" w:cs="Times New Roman" w:eastAsia="Times New Roman" w:hAnsi="Times New Roman"/>
          <w:sz w:val="15"/>
          <w:szCs w:val="15"/>
          <w:color w:val="auto"/>
        </w:rPr>
        <w:t>. Licensee shall notify XENCOR within [***] of the achievement of the first each of the following development and regulatory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milestones in the applicable Region in the Licensed Territory, and shall pay XENCOR’s invoice with a non-refundable, non-creditable, one-time milestone payment for each such corresponding milestone within [***] after receipt of such invoice: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Table 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57720" cy="105346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57720" cy="105346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5"/>
          <w:szCs w:val="15"/>
          <w:b w:val="1"/>
          <w:bCs w:val="1"/>
          <w:color w:val="auto"/>
        </w:rPr>
        <w:t>Development Milestone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640" w:type="dxa"/>
            <w:vAlign w:val="bottom"/>
            <w:tcBorders>
              <w:top w:val="single" w:sz="8" w:color="auto"/>
              <w:right w:val="single" w:sz="8" w:color="auto"/>
            </w:tcBorders>
          </w:tcPr>
          <w:p>
            <w:pPr>
              <w:ind w:left="100"/>
              <w:spacing w:after="0" w:line="152" w:lineRule="exact"/>
              <w:rPr>
                <w:sz w:val="20"/>
                <w:szCs w:val="20"/>
                <w:color w:val="auto"/>
              </w:rPr>
            </w:pPr>
            <w:r>
              <w:rPr>
                <w:rFonts w:ascii="Times New Roman" w:cs="Times New Roman" w:eastAsia="Times New Roman" w:hAnsi="Times New Roman"/>
                <w:sz w:val="15"/>
                <w:szCs w:val="15"/>
                <w:color w:val="auto"/>
              </w:rPr>
              <w:t>Initiation of first Clinical Study of the</w:t>
            </w:r>
          </w:p>
        </w:tc>
        <w:tc>
          <w:tcPr>
            <w:tcW w:w="1760" w:type="dxa"/>
            <w:vAlign w:val="bottom"/>
            <w:tcBorders>
              <w:top w:val="single" w:sz="8" w:color="auto"/>
            </w:tcBorders>
          </w:tcPr>
          <w:p>
            <w:pPr>
              <w:spacing w:after="0"/>
              <w:rPr>
                <w:sz w:val="13"/>
                <w:szCs w:val="13"/>
                <w:color w:val="auto"/>
              </w:rPr>
            </w:pPr>
          </w:p>
        </w:tc>
        <w:tc>
          <w:tcPr>
            <w:tcW w:w="4640" w:type="dxa"/>
            <w:vAlign w:val="bottom"/>
            <w:tcBorders>
              <w:top w:val="single" w:sz="8" w:color="auto"/>
            </w:tcBorders>
            <w:gridSpan w:val="3"/>
          </w:tcPr>
          <w:p>
            <w:pPr>
              <w:jc w:val="right"/>
              <w:spacing w:after="0" w:line="152" w:lineRule="exact"/>
              <w:rPr>
                <w:sz w:val="20"/>
                <w:szCs w:val="20"/>
                <w:color w:val="auto"/>
              </w:rPr>
            </w:pPr>
            <w:r>
              <w:rPr>
                <w:rFonts w:ascii="Times New Roman" w:cs="Times New Roman" w:eastAsia="Times New Roman" w:hAnsi="Times New Roman"/>
                <w:sz w:val="15"/>
                <w:szCs w:val="15"/>
                <w:color w:val="auto"/>
              </w:rPr>
              <w:t>XENCOR may exercise its option in accordance with Section 9.2.1(a).</w:t>
            </w:r>
          </w:p>
        </w:tc>
        <w:tc>
          <w:tcPr>
            <w:tcW w:w="2240" w:type="dxa"/>
            <w:vAlign w:val="bottom"/>
            <w:tcBorders>
              <w:top w:val="single" w:sz="8" w:color="auto"/>
            </w:tcBorders>
          </w:tcPr>
          <w:p>
            <w:pPr>
              <w:spacing w:after="0"/>
              <w:rPr>
                <w:sz w:val="13"/>
                <w:szCs w:val="13"/>
                <w:color w:val="auto"/>
              </w:rPr>
            </w:pPr>
          </w:p>
        </w:tc>
      </w:tr>
      <w:tr>
        <w:trPr>
          <w:trHeight w:val="176"/>
        </w:trPr>
        <w:tc>
          <w:tcPr>
            <w:tcW w:w="26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Licensed Asset or a Product in the</w:t>
            </w:r>
          </w:p>
        </w:tc>
        <w:tc>
          <w:tcPr>
            <w:tcW w:w="1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90"/>
        </w:trPr>
        <w:tc>
          <w:tcPr>
            <w:tcW w:w="26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Licensed Territory</w:t>
            </w:r>
          </w:p>
        </w:tc>
        <w:tc>
          <w:tcPr>
            <w:tcW w:w="17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r>
      <w:tr>
        <w:trPr>
          <w:trHeight w:val="167"/>
        </w:trPr>
        <w:tc>
          <w:tcPr>
            <w:tcW w:w="26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2"/>
          </w:tcPr>
          <w:p>
            <w:pPr>
              <w:jc w:val="right"/>
              <w:ind w:right="487"/>
              <w:spacing w:after="0" w:line="167" w:lineRule="exact"/>
              <w:rPr>
                <w:sz w:val="20"/>
                <w:szCs w:val="20"/>
                <w:color w:val="auto"/>
              </w:rPr>
            </w:pPr>
            <w:r>
              <w:rPr>
                <w:rFonts w:ascii="Times New Roman" w:cs="Times New Roman" w:eastAsia="Times New Roman" w:hAnsi="Times New Roman"/>
                <w:sz w:val="15"/>
                <w:szCs w:val="15"/>
                <w:b w:val="1"/>
                <w:bCs w:val="1"/>
                <w:color w:val="auto"/>
              </w:rPr>
              <w:t>Regulatory Milestones</w:t>
            </w:r>
          </w:p>
        </w:tc>
        <w:tc>
          <w:tcPr>
            <w:tcW w:w="2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r>
      <w:tr>
        <w:trPr>
          <w:trHeight w:val="167"/>
        </w:trPr>
        <w:tc>
          <w:tcPr>
            <w:tcW w:w="2640" w:type="dxa"/>
            <w:vAlign w:val="bottom"/>
            <w:tcBorders>
              <w:bottom w:val="single" w:sz="8" w:color="auto"/>
              <w:right w:val="single" w:sz="8" w:color="auto"/>
            </w:tcBorders>
          </w:tcPr>
          <w:p>
            <w:pPr>
              <w:spacing w:after="0"/>
              <w:rPr>
                <w:sz w:val="14"/>
                <w:szCs w:val="14"/>
                <w:color w:val="auto"/>
              </w:rPr>
            </w:pPr>
          </w:p>
        </w:tc>
        <w:tc>
          <w:tcPr>
            <w:tcW w:w="1760" w:type="dxa"/>
            <w:vAlign w:val="bottom"/>
            <w:tcBorders>
              <w:bottom w:val="single" w:sz="8" w:color="auto"/>
            </w:tcBorders>
          </w:tcPr>
          <w:p>
            <w:pPr>
              <w:jc w:val="right"/>
              <w:ind w:right="367"/>
              <w:spacing w:after="0" w:line="167"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jc w:val="right"/>
              <w:ind w:right="7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140" w:type="dxa"/>
            <w:vAlign w:val="bottom"/>
            <w:tcBorders>
              <w:bottom w:val="single" w:sz="8" w:color="auto"/>
              <w:right w:val="single" w:sz="8" w:color="auto"/>
            </w:tcBorders>
          </w:tcPr>
          <w:p>
            <w:pPr>
              <w:jc w:val="right"/>
              <w:ind w:right="8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240" w:type="dxa"/>
            <w:vAlign w:val="bottom"/>
            <w:tcBorders>
              <w:bottom w:val="single" w:sz="8" w:color="auto"/>
            </w:tcBorders>
          </w:tcPr>
          <w:p>
            <w:pPr>
              <w:jc w:val="right"/>
              <w:ind w:right="907"/>
              <w:spacing w:after="0" w:line="167" w:lineRule="exact"/>
              <w:rPr>
                <w:sz w:val="20"/>
                <w:szCs w:val="20"/>
                <w:color w:val="auto"/>
              </w:rPr>
            </w:pPr>
            <w:r>
              <w:rPr>
                <w:rFonts w:ascii="Times New Roman" w:cs="Times New Roman" w:eastAsia="Times New Roman" w:hAnsi="Times New Roman"/>
                <w:sz w:val="15"/>
                <w:szCs w:val="15"/>
                <w:color w:val="auto"/>
              </w:rPr>
              <w:t>[***]</w:t>
            </w:r>
          </w:p>
        </w:tc>
      </w:tr>
      <w:tr>
        <w:trPr>
          <w:trHeight w:val="167"/>
        </w:trPr>
        <w:tc>
          <w:tcPr>
            <w:tcW w:w="2640" w:type="dxa"/>
            <w:vAlign w:val="bottom"/>
            <w:tcBorders>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760" w:type="dxa"/>
            <w:vAlign w:val="bottom"/>
            <w:tcBorders>
              <w:bottom w:val="single" w:sz="8" w:color="auto"/>
            </w:tcBorders>
          </w:tcPr>
          <w:p>
            <w:pPr>
              <w:jc w:val="right"/>
              <w:ind w:right="13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jc w:val="right"/>
              <w:ind w:right="14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140" w:type="dxa"/>
            <w:vAlign w:val="bottom"/>
            <w:tcBorders>
              <w:bottom w:val="single" w:sz="8" w:color="auto"/>
              <w:right w:val="single" w:sz="8" w:color="auto"/>
            </w:tcBorders>
          </w:tcPr>
          <w:p>
            <w:pPr>
              <w:jc w:val="right"/>
              <w:ind w:right="166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240" w:type="dxa"/>
            <w:vAlign w:val="bottom"/>
            <w:tcBorders>
              <w:bottom w:val="single" w:sz="8" w:color="auto"/>
            </w:tcBorders>
          </w:tcPr>
          <w:p>
            <w:pPr>
              <w:jc w:val="right"/>
              <w:ind w:right="1787"/>
              <w:spacing w:after="0" w:line="167" w:lineRule="exact"/>
              <w:rPr>
                <w:sz w:val="20"/>
                <w:szCs w:val="20"/>
                <w:color w:val="auto"/>
              </w:rPr>
            </w:pPr>
            <w:r>
              <w:rPr>
                <w:rFonts w:ascii="Times New Roman" w:cs="Times New Roman" w:eastAsia="Times New Roman" w:hAnsi="Times New Roman"/>
                <w:sz w:val="15"/>
                <w:szCs w:val="15"/>
                <w:color w:val="auto"/>
              </w:rPr>
              <w:t>[***]</w:t>
            </w:r>
          </w:p>
        </w:tc>
      </w:tr>
      <w:tr>
        <w:trPr>
          <w:trHeight w:val="167"/>
        </w:trPr>
        <w:tc>
          <w:tcPr>
            <w:tcW w:w="2640" w:type="dxa"/>
            <w:vAlign w:val="bottom"/>
            <w:tcBorders>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760" w:type="dxa"/>
            <w:vAlign w:val="bottom"/>
            <w:tcBorders>
              <w:bottom w:val="single" w:sz="8" w:color="auto"/>
            </w:tcBorders>
          </w:tcPr>
          <w:p>
            <w:pPr>
              <w:jc w:val="right"/>
              <w:ind w:right="13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jc w:val="right"/>
              <w:ind w:right="14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140" w:type="dxa"/>
            <w:vAlign w:val="bottom"/>
            <w:tcBorders>
              <w:bottom w:val="single" w:sz="8" w:color="auto"/>
              <w:right w:val="single" w:sz="8" w:color="auto"/>
            </w:tcBorders>
          </w:tcPr>
          <w:p>
            <w:pPr>
              <w:jc w:val="right"/>
              <w:ind w:right="166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240" w:type="dxa"/>
            <w:vAlign w:val="bottom"/>
            <w:tcBorders>
              <w:bottom w:val="single" w:sz="8" w:color="auto"/>
            </w:tcBorders>
          </w:tcPr>
          <w:p>
            <w:pPr>
              <w:jc w:val="right"/>
              <w:ind w:right="1787"/>
              <w:spacing w:after="0" w:line="167" w:lineRule="exact"/>
              <w:rPr>
                <w:sz w:val="20"/>
                <w:szCs w:val="20"/>
                <w:color w:val="auto"/>
              </w:rPr>
            </w:pPr>
            <w:r>
              <w:rPr>
                <w:rFonts w:ascii="Times New Roman" w:cs="Times New Roman" w:eastAsia="Times New Roman" w:hAnsi="Times New Roman"/>
                <w:sz w:val="15"/>
                <w:szCs w:val="15"/>
                <w:color w:val="auto"/>
              </w:rPr>
              <w:t>[***]</w:t>
            </w:r>
          </w:p>
        </w:tc>
      </w:tr>
    </w:tbl>
    <w:p>
      <w:pPr>
        <w:spacing w:after="0" w:line="161" w:lineRule="exact"/>
        <w:rPr>
          <w:sz w:val="20"/>
          <w:szCs w:val="20"/>
          <w:color w:val="auto"/>
        </w:rPr>
      </w:pPr>
    </w:p>
    <w:p>
      <w:pPr>
        <w:ind w:left="1600" w:hanging="537"/>
        <w:spacing w:after="0"/>
        <w:tabs>
          <w:tab w:leader="none" w:pos="1600"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XENCOR’s option, to be elected by 30-days advance written notice to Licensee (the “</w:t>
      </w:r>
      <w:r>
        <w:rPr>
          <w:rFonts w:ascii="Times New Roman" w:cs="Times New Roman" w:eastAsia="Times New Roman" w:hAnsi="Times New Roman"/>
          <w:sz w:val="15"/>
          <w:szCs w:val="15"/>
          <w:u w:val="single" w:color="auto"/>
          <w:color w:val="auto"/>
        </w:rPr>
        <w:t>Consideration Election Notice</w:t>
      </w:r>
      <w:r>
        <w:rPr>
          <w:rFonts w:ascii="Times New Roman" w:cs="Times New Roman" w:eastAsia="Times New Roman" w:hAnsi="Times New Roman"/>
          <w:sz w:val="15"/>
          <w:szCs w:val="15"/>
          <w:color w:val="auto"/>
        </w:rPr>
        <w:t>”), payment of either: [***].</w:t>
      </w:r>
    </w:p>
    <w:p>
      <w:pPr>
        <w:spacing w:after="0" w:line="177" w:lineRule="exact"/>
        <w:rPr>
          <w:sz w:val="20"/>
          <w:szCs w:val="20"/>
          <w:color w:val="auto"/>
        </w:rPr>
      </w:pPr>
    </w:p>
    <w:p>
      <w:pPr>
        <w:jc w:val="both"/>
        <w:ind w:left="1060" w:right="280" w:hanging="526"/>
        <w:spacing w:after="0" w:line="258" w:lineRule="auto"/>
        <w:tabs>
          <w:tab w:leader="none" w:pos="1040" w:val="left"/>
        </w:tabs>
        <w:rPr>
          <w:sz w:val="20"/>
          <w:szCs w:val="20"/>
          <w:color w:val="auto"/>
        </w:rPr>
      </w:pPr>
      <w:r>
        <w:rPr>
          <w:rFonts w:ascii="Times New Roman" w:cs="Times New Roman" w:eastAsia="Times New Roman" w:hAnsi="Times New Roman"/>
          <w:sz w:val="15"/>
          <w:szCs w:val="15"/>
          <w:color w:val="auto"/>
        </w:rPr>
        <w:t>9.2.2</w:t>
      </w:r>
      <w:r>
        <w:rPr>
          <w:sz w:val="20"/>
          <w:szCs w:val="20"/>
          <w:color w:val="auto"/>
        </w:rPr>
        <w:tab/>
      </w:r>
      <w:r>
        <w:rPr>
          <w:rFonts w:ascii="Times New Roman" w:cs="Times New Roman" w:eastAsia="Times New Roman" w:hAnsi="Times New Roman"/>
          <w:sz w:val="15"/>
          <w:szCs w:val="15"/>
          <w:b w:val="1"/>
          <w:bCs w:val="1"/>
          <w:color w:val="auto"/>
        </w:rPr>
        <w:t>Sales Milestones</w:t>
      </w:r>
      <w:r>
        <w:rPr>
          <w:rFonts w:ascii="Times New Roman" w:cs="Times New Roman" w:eastAsia="Times New Roman" w:hAnsi="Times New Roman"/>
          <w:sz w:val="15"/>
          <w:szCs w:val="15"/>
          <w:color w:val="auto"/>
        </w:rPr>
        <w:t>. Licensee shall notify XENCOR within [***] of the end of the Calendar Year in which the following sales milestones are first achieved in the Licensed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Territory, and shall pay XENCOR’s invoice with a one-time, non-refundable, non-creditable milestone payment for each such milestone within [***] after receipt of such invoice: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Table 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57720" cy="8299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57720" cy="8299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5"/>
          <w:szCs w:val="15"/>
          <w:b w:val="1"/>
          <w:bCs w:val="1"/>
          <w:color w:val="auto"/>
        </w:rPr>
        <w:t>Sales Milestones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00" w:type="dxa"/>
            <w:vAlign w:val="bottom"/>
            <w:tcBorders>
              <w:top w:val="single" w:sz="8" w:color="auto"/>
              <w:bottom w:val="single" w:sz="8" w:color="auto"/>
              <w:right w:val="single" w:sz="8" w:color="auto"/>
            </w:tcBorders>
          </w:tcPr>
          <w:p>
            <w:pPr>
              <w:ind w:left="120"/>
              <w:spacing w:after="0" w:line="167" w:lineRule="exact"/>
              <w:rPr>
                <w:sz w:val="20"/>
                <w:szCs w:val="20"/>
                <w:color w:val="auto"/>
              </w:rPr>
            </w:pPr>
            <w:r>
              <w:rPr>
                <w:rFonts w:ascii="Times New Roman" w:cs="Times New Roman" w:eastAsia="Times New Roman" w:hAnsi="Times New Roman"/>
                <w:sz w:val="15"/>
                <w:szCs w:val="15"/>
                <w:color w:val="auto"/>
              </w:rPr>
              <w:t>First Achievement of Licensed Territory annual Net Sales of the Licensed Asset/Product in a Calendar Year of at least [***]</w:t>
            </w:r>
          </w:p>
        </w:tc>
        <w:tc>
          <w:tcPr>
            <w:tcW w:w="25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r>
      <w:tr>
        <w:trPr>
          <w:trHeight w:val="167"/>
        </w:trPr>
        <w:tc>
          <w:tcPr>
            <w:tcW w:w="8700" w:type="dxa"/>
            <w:vAlign w:val="bottom"/>
            <w:tcBorders>
              <w:bottom w:val="single" w:sz="8" w:color="auto"/>
              <w:right w:val="single" w:sz="8" w:color="auto"/>
            </w:tcBorders>
          </w:tcPr>
          <w:p>
            <w:pPr>
              <w:ind w:left="120"/>
              <w:spacing w:after="0" w:line="167" w:lineRule="exact"/>
              <w:rPr>
                <w:sz w:val="20"/>
                <w:szCs w:val="20"/>
                <w:color w:val="auto"/>
              </w:rPr>
            </w:pPr>
            <w:r>
              <w:rPr>
                <w:rFonts w:ascii="Times New Roman" w:cs="Times New Roman" w:eastAsia="Times New Roman" w:hAnsi="Times New Roman"/>
                <w:sz w:val="15"/>
                <w:szCs w:val="15"/>
                <w:color w:val="auto"/>
              </w:rPr>
              <w:t>First Achievement of Licensed Territory annual Net Sales of the Licensed Asset/Product in a Calendar Year of at least [***]</w:t>
            </w:r>
          </w:p>
        </w:tc>
        <w:tc>
          <w:tcPr>
            <w:tcW w:w="25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r>
      <w:tr>
        <w:trPr>
          <w:trHeight w:val="167"/>
        </w:trPr>
        <w:tc>
          <w:tcPr>
            <w:tcW w:w="8700" w:type="dxa"/>
            <w:vAlign w:val="bottom"/>
            <w:tcBorders>
              <w:bottom w:val="single" w:sz="8" w:color="auto"/>
              <w:right w:val="single" w:sz="8" w:color="auto"/>
            </w:tcBorders>
          </w:tcPr>
          <w:p>
            <w:pPr>
              <w:ind w:left="120"/>
              <w:spacing w:after="0" w:line="167" w:lineRule="exact"/>
              <w:rPr>
                <w:sz w:val="20"/>
                <w:szCs w:val="20"/>
                <w:color w:val="auto"/>
              </w:rPr>
            </w:pPr>
            <w:r>
              <w:rPr>
                <w:rFonts w:ascii="Times New Roman" w:cs="Times New Roman" w:eastAsia="Times New Roman" w:hAnsi="Times New Roman"/>
                <w:sz w:val="15"/>
                <w:szCs w:val="15"/>
                <w:color w:val="auto"/>
              </w:rPr>
              <w:t>First Achievement of Licensed Territory annual Net Sales of the Licensed Asset/Product in a Calendar Year of at least [***]</w:t>
            </w:r>
          </w:p>
        </w:tc>
        <w:tc>
          <w:tcPr>
            <w:tcW w:w="25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r>
      <w:tr>
        <w:trPr>
          <w:trHeight w:val="167"/>
        </w:trPr>
        <w:tc>
          <w:tcPr>
            <w:tcW w:w="8700" w:type="dxa"/>
            <w:vAlign w:val="bottom"/>
            <w:tcBorders>
              <w:bottom w:val="single" w:sz="8" w:color="auto"/>
              <w:right w:val="single" w:sz="8" w:color="auto"/>
            </w:tcBorders>
          </w:tcPr>
          <w:p>
            <w:pPr>
              <w:ind w:left="120"/>
              <w:spacing w:after="0" w:line="167" w:lineRule="exact"/>
              <w:rPr>
                <w:sz w:val="20"/>
                <w:szCs w:val="20"/>
                <w:color w:val="auto"/>
              </w:rPr>
            </w:pPr>
            <w:r>
              <w:rPr>
                <w:rFonts w:ascii="Times New Roman" w:cs="Times New Roman" w:eastAsia="Times New Roman" w:hAnsi="Times New Roman"/>
                <w:sz w:val="15"/>
                <w:szCs w:val="15"/>
                <w:color w:val="auto"/>
              </w:rPr>
              <w:t>First Achievement of Licensed Territory annual Net Sales of the Licensed Asset/Product in a Calendar Year of at least [***]</w:t>
            </w:r>
          </w:p>
        </w:tc>
        <w:tc>
          <w:tcPr>
            <w:tcW w:w="25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r>
      <w:tr>
        <w:trPr>
          <w:trHeight w:val="167"/>
        </w:trPr>
        <w:tc>
          <w:tcPr>
            <w:tcW w:w="8700" w:type="dxa"/>
            <w:vAlign w:val="bottom"/>
            <w:tcBorders>
              <w:bottom w:val="single" w:sz="8" w:color="auto"/>
              <w:right w:val="single" w:sz="8" w:color="auto"/>
            </w:tcBorders>
          </w:tcPr>
          <w:p>
            <w:pPr>
              <w:ind w:left="120"/>
              <w:spacing w:after="0" w:line="167" w:lineRule="exact"/>
              <w:rPr>
                <w:sz w:val="20"/>
                <w:szCs w:val="20"/>
                <w:color w:val="auto"/>
              </w:rPr>
            </w:pPr>
            <w:r>
              <w:rPr>
                <w:rFonts w:ascii="Times New Roman" w:cs="Times New Roman" w:eastAsia="Times New Roman" w:hAnsi="Times New Roman"/>
                <w:sz w:val="15"/>
                <w:szCs w:val="15"/>
                <w:color w:val="auto"/>
              </w:rPr>
              <w:t>First Achievement of Licensed Territory annual Net Sales of the Licensed Asset/Product in a Calendar Year of at least [***]</w:t>
            </w:r>
          </w:p>
        </w:tc>
        <w:tc>
          <w:tcPr>
            <w:tcW w:w="25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r>
    </w:tbl>
    <w:p>
      <w:pPr>
        <w:spacing w:after="0" w:line="159" w:lineRule="exact"/>
        <w:rPr>
          <w:sz w:val="20"/>
          <w:szCs w:val="20"/>
          <w:color w:val="auto"/>
        </w:rPr>
      </w:pPr>
    </w:p>
    <w:p>
      <w:pPr>
        <w:ind w:left="1060" w:right="100" w:hanging="526"/>
        <w:spacing w:after="0" w:line="253" w:lineRule="auto"/>
        <w:tabs>
          <w:tab w:leader="none" w:pos="1040" w:val="left"/>
        </w:tabs>
        <w:rPr>
          <w:sz w:val="20"/>
          <w:szCs w:val="20"/>
          <w:color w:val="auto"/>
        </w:rPr>
      </w:pPr>
      <w:r>
        <w:rPr>
          <w:rFonts w:ascii="Times New Roman" w:cs="Times New Roman" w:eastAsia="Times New Roman" w:hAnsi="Times New Roman"/>
          <w:sz w:val="15"/>
          <w:szCs w:val="15"/>
          <w:color w:val="auto"/>
        </w:rPr>
        <w:t>9.2.3</w:t>
      </w:r>
      <w:r>
        <w:rPr>
          <w:sz w:val="20"/>
          <w:szCs w:val="20"/>
          <w:color w:val="auto"/>
        </w:rPr>
        <w:tab/>
      </w:r>
      <w:r>
        <w:rPr>
          <w:rFonts w:ascii="Times New Roman" w:cs="Times New Roman" w:eastAsia="Times New Roman" w:hAnsi="Times New Roman"/>
          <w:sz w:val="15"/>
          <w:szCs w:val="15"/>
          <w:b w:val="1"/>
          <w:bCs w:val="1"/>
          <w:color w:val="auto"/>
        </w:rPr>
        <w:t>Determination that Milestone Events Have Occurred</w:t>
      </w:r>
      <w:r>
        <w:rPr>
          <w:rFonts w:ascii="Times New Roman" w:cs="Times New Roman" w:eastAsia="Times New Roman" w:hAnsi="Times New Roman"/>
          <w:sz w:val="15"/>
          <w:szCs w:val="15"/>
          <w:color w:val="auto"/>
        </w:rPr>
        <w:t>. Licensee shall promptly notify XENCOR in writing of the achievement of each development, regulatory and sales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milestone contemplated in this </w:t>
      </w:r>
      <w:r>
        <w:rPr>
          <w:rFonts w:ascii="Times New Roman" w:cs="Times New Roman" w:eastAsia="Times New Roman" w:hAnsi="Times New Roman"/>
          <w:sz w:val="15"/>
          <w:szCs w:val="15"/>
          <w:u w:val="single" w:color="auto"/>
          <w:color w:val="auto"/>
        </w:rPr>
        <w:t>Section 9.2</w:t>
      </w:r>
      <w:r>
        <w:rPr>
          <w:rFonts w:ascii="Times New Roman" w:cs="Times New Roman" w:eastAsia="Times New Roman" w:hAnsi="Times New Roman"/>
          <w:sz w:val="15"/>
          <w:szCs w:val="15"/>
          <w:color w:val="auto"/>
        </w:rPr>
        <w:t>. In the event that, notwithstanding the fact that Licensee has not provided XENCOR such a notice, XENCOR believes that any such milestone event has been achieved, it shall so notify Licensee in writing and the Parties shall promptly meet and discuss in good faith whether such milestone event has been achieved. [***].</w:t>
      </w: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64" w:name="page365"/>
    <w:bookmarkEnd w:id="364"/>
    <w:p>
      <w:pPr>
        <w:spacing w:after="0"/>
        <w:tabs>
          <w:tab w:leader="none" w:pos="520" w:val="left"/>
        </w:tabs>
        <w:rPr>
          <w:sz w:val="20"/>
          <w:szCs w:val="20"/>
          <w:color w:val="auto"/>
        </w:rPr>
      </w:pPr>
      <w:r>
        <w:rPr>
          <w:rFonts w:ascii="Times New Roman" w:cs="Times New Roman" w:eastAsia="Times New Roman" w:hAnsi="Times New Roman"/>
          <w:sz w:val="15"/>
          <w:szCs w:val="15"/>
          <w:color w:val="auto"/>
        </w:rPr>
        <w:t>9.3</w:t>
      </w:r>
      <w:r>
        <w:rPr>
          <w:sz w:val="20"/>
          <w:szCs w:val="20"/>
          <w:color w:val="auto"/>
        </w:rPr>
        <w:tab/>
      </w:r>
      <w:r>
        <w:rPr>
          <w:rFonts w:ascii="Times New Roman" w:cs="Times New Roman" w:eastAsia="Times New Roman" w:hAnsi="Times New Roman"/>
          <w:sz w:val="14"/>
          <w:szCs w:val="14"/>
          <w:b w:val="1"/>
          <w:bCs w:val="1"/>
          <w:color w:val="auto"/>
        </w:rPr>
        <w:t>Royalty</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9.3.1</w:t>
      </w:r>
      <w:r>
        <w:rPr>
          <w:sz w:val="20"/>
          <w:szCs w:val="20"/>
          <w:color w:val="auto"/>
        </w:rPr>
        <w:tab/>
      </w:r>
      <w:r>
        <w:rPr>
          <w:rFonts w:ascii="Times New Roman" w:cs="Times New Roman" w:eastAsia="Times New Roman" w:hAnsi="Times New Roman"/>
          <w:sz w:val="14"/>
          <w:szCs w:val="14"/>
          <w:b w:val="1"/>
          <w:bCs w:val="1"/>
          <w:color w:val="auto"/>
        </w:rPr>
        <w:t>Generally</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1600" w:hanging="537"/>
        <w:spacing w:after="0" w:line="267" w:lineRule="auto"/>
        <w:tabs>
          <w:tab w:leader="none" w:pos="160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remainder of this </w:t>
      </w:r>
      <w:r>
        <w:rPr>
          <w:rFonts w:ascii="Times New Roman" w:cs="Times New Roman" w:eastAsia="Times New Roman" w:hAnsi="Times New Roman"/>
          <w:sz w:val="14"/>
          <w:szCs w:val="14"/>
          <w:u w:val="single" w:color="auto"/>
          <w:color w:val="auto"/>
        </w:rPr>
        <w:t>Section 9.3</w:t>
      </w:r>
      <w:r>
        <w:rPr>
          <w:rFonts w:ascii="Times New Roman" w:cs="Times New Roman" w:eastAsia="Times New Roman" w:hAnsi="Times New Roman"/>
          <w:sz w:val="14"/>
          <w:szCs w:val="14"/>
          <w:color w:val="auto"/>
        </w:rPr>
        <w:t xml:space="preserve">, on a Region-by-Region basis, Licensee shall pay to XENCOR a running royalty on aggregated Net Sales of all Products sold by Licensee, its Affiliates or its Sublicensees in the Field in a Region in the Licensed Territory, calculated by multiplying the applicable royalty rate set forth in </w:t>
      </w:r>
      <w:r>
        <w:rPr>
          <w:rFonts w:ascii="Times New Roman" w:cs="Times New Roman" w:eastAsia="Times New Roman" w:hAnsi="Times New Roman"/>
          <w:sz w:val="14"/>
          <w:szCs w:val="14"/>
          <w:u w:val="single" w:color="auto"/>
          <w:color w:val="auto"/>
        </w:rPr>
        <w:t>Table 9.3.1</w:t>
      </w:r>
      <w:r>
        <w:rPr>
          <w:rFonts w:ascii="Times New Roman" w:cs="Times New Roman" w:eastAsia="Times New Roman" w:hAnsi="Times New Roman"/>
          <w:sz w:val="14"/>
          <w:szCs w:val="14"/>
          <w:color w:val="auto"/>
        </w:rPr>
        <w:t xml:space="preserve"> (Royalty Rates) below by the corresponding amount of incremental, aggregated annual Net Sales of all Products sold by Licensee, its Affiliates or its Sublicensees in the Field in the respective Region in the applicable Calendar Year. For each Calendar Year, the below tiered royalties shall be calculated such that the next tiered royalty rates are only used after Net Sales in the entire Licensed Territory in each Calendar Year exceed the top threshold of the previous tier of Net Sales, and such next tiered royalty rate shall only apply to the portion of Net Sales in the entire Licensed Territory that falls within that tier. For example, if Net Sales in the entire Licensed Territory exceed [***] on November 1 of the fourth Calendar Quarter in a given Calendar Year, then the next tier royalty rate of [***] of Net Sales in the [***] of Net Sales in [***], and [***] of Net Sales in the [***] will apply, respectively, to Net Sales in the [***] and the [***] occurring after November 1 until the end of the Calendar Year (so long as the top threshold of the then-current tier of Net Sales is not exceeded)</w:t>
      </w:r>
      <w:r>
        <w:rPr>
          <w:rFonts w:ascii="Times New Roman" w:cs="Times New Roman" w:eastAsia="Times New Roman" w:hAnsi="Times New Roman"/>
          <w:sz w:val="14"/>
          <w:szCs w:val="14"/>
          <w:i w:val="1"/>
          <w:iCs w:val="1"/>
          <w:color w:val="1F497D"/>
        </w:rPr>
        <w:t>.</w:t>
      </w:r>
    </w:p>
    <w:p>
      <w:pPr>
        <w:spacing w:after="0" w:line="145" w:lineRule="exact"/>
        <w:rPr>
          <w:rFonts w:ascii="Times New Roman" w:cs="Times New Roman" w:eastAsia="Times New Roman" w:hAnsi="Times New Roman"/>
          <w:sz w:val="14"/>
          <w:szCs w:val="14"/>
          <w:color w:val="auto"/>
        </w:rPr>
      </w:pPr>
    </w:p>
    <w:p>
      <w:pPr>
        <w:ind w:left="1600" w:hanging="537"/>
        <w:spacing w:after="0"/>
        <w:tabs>
          <w:tab w:leader="none" w:pos="1600"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Table 9.3.1 (Royalty Rates):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Table 9.3.1 Royalty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57720" cy="8299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7720" cy="8299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2"/>
        </w:trPr>
        <w:tc>
          <w:tcPr>
            <w:tcW w:w="2860" w:type="dxa"/>
            <w:vAlign w:val="bottom"/>
            <w:tcBorders>
              <w:top w:val="single" w:sz="8" w:color="auto"/>
              <w:right w:val="single" w:sz="8" w:color="auto"/>
            </w:tcBorders>
          </w:tcPr>
          <w:p>
            <w:pPr>
              <w:ind w:left="100"/>
              <w:spacing w:after="0" w:line="152" w:lineRule="exact"/>
              <w:rPr>
                <w:sz w:val="20"/>
                <w:szCs w:val="20"/>
                <w:color w:val="auto"/>
              </w:rPr>
            </w:pPr>
            <w:r>
              <w:rPr>
                <w:rFonts w:ascii="Times New Roman" w:cs="Times New Roman" w:eastAsia="Times New Roman" w:hAnsi="Times New Roman"/>
                <w:sz w:val="15"/>
                <w:szCs w:val="15"/>
                <w:color w:val="auto"/>
              </w:rPr>
              <w:t>Total Calendar Year Aggregate Net Sales in</w:t>
            </w:r>
          </w:p>
        </w:tc>
        <w:tc>
          <w:tcPr>
            <w:tcW w:w="2800" w:type="dxa"/>
            <w:vAlign w:val="bottom"/>
            <w:tcBorders>
              <w:top w:val="single" w:sz="8" w:color="auto"/>
              <w:right w:val="single" w:sz="8" w:color="auto"/>
            </w:tcBorders>
          </w:tcPr>
          <w:p>
            <w:pPr>
              <w:ind w:left="60"/>
              <w:spacing w:after="0" w:line="152" w:lineRule="exact"/>
              <w:rPr>
                <w:sz w:val="20"/>
                <w:szCs w:val="20"/>
                <w:color w:val="auto"/>
              </w:rPr>
            </w:pPr>
            <w:r>
              <w:rPr>
                <w:rFonts w:ascii="Times New Roman" w:cs="Times New Roman" w:eastAsia="Times New Roman" w:hAnsi="Times New Roman"/>
                <w:sz w:val="15"/>
                <w:szCs w:val="15"/>
                <w:color w:val="auto"/>
              </w:rPr>
              <w:t>Royalty Rate for Net Sales in the PRC</w:t>
            </w:r>
          </w:p>
        </w:tc>
        <w:tc>
          <w:tcPr>
            <w:tcW w:w="3160" w:type="dxa"/>
            <w:vAlign w:val="bottom"/>
            <w:tcBorders>
              <w:top w:val="single" w:sz="8" w:color="auto"/>
              <w:right w:val="single" w:sz="8" w:color="auto"/>
            </w:tcBorders>
          </w:tcPr>
          <w:p>
            <w:pPr>
              <w:ind w:left="80"/>
              <w:spacing w:after="0" w:line="152" w:lineRule="exact"/>
              <w:rPr>
                <w:sz w:val="20"/>
                <w:szCs w:val="20"/>
                <w:color w:val="auto"/>
              </w:rPr>
            </w:pPr>
            <w:r>
              <w:rPr>
                <w:rFonts w:ascii="Times New Roman" w:cs="Times New Roman" w:eastAsia="Times New Roman" w:hAnsi="Times New Roman"/>
                <w:sz w:val="15"/>
                <w:szCs w:val="15"/>
                <w:color w:val="auto"/>
              </w:rPr>
              <w:t>Royalty Rate for Net Sales in US/EU/Japan</w:t>
            </w:r>
          </w:p>
        </w:tc>
        <w:tc>
          <w:tcPr>
            <w:tcW w:w="2460" w:type="dxa"/>
            <w:vAlign w:val="bottom"/>
            <w:tcBorders>
              <w:top w:val="single" w:sz="8" w:color="auto"/>
            </w:tcBorders>
          </w:tcPr>
          <w:p>
            <w:pPr>
              <w:ind w:left="60"/>
              <w:spacing w:after="0" w:line="152" w:lineRule="exact"/>
              <w:rPr>
                <w:sz w:val="20"/>
                <w:szCs w:val="20"/>
                <w:color w:val="auto"/>
              </w:rPr>
            </w:pPr>
            <w:r>
              <w:rPr>
                <w:rFonts w:ascii="Times New Roman" w:cs="Times New Roman" w:eastAsia="Times New Roman" w:hAnsi="Times New Roman"/>
                <w:sz w:val="15"/>
                <w:szCs w:val="15"/>
                <w:color w:val="auto"/>
              </w:rPr>
              <w:t>Royalty Rate for Net Sales in the</w:t>
            </w:r>
          </w:p>
        </w:tc>
      </w:tr>
      <w:tr>
        <w:trPr>
          <w:trHeight w:val="190"/>
        </w:trPr>
        <w:tc>
          <w:tcPr>
            <w:tcW w:w="2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the Licensed Territory</w:t>
            </w:r>
          </w:p>
        </w:tc>
        <w:tc>
          <w:tcPr>
            <w:tcW w:w="2800" w:type="dxa"/>
            <w:vAlign w:val="bottom"/>
            <w:tcBorders>
              <w:bottom w:val="single" w:sz="8" w:color="auto"/>
              <w:right w:val="single" w:sz="8" w:color="auto"/>
            </w:tcBorders>
          </w:tcPr>
          <w:p>
            <w:pPr>
              <w:spacing w:after="0"/>
              <w:rPr>
                <w:sz w:val="16"/>
                <w:szCs w:val="16"/>
                <w:color w:val="auto"/>
              </w:rPr>
            </w:pPr>
          </w:p>
        </w:tc>
        <w:tc>
          <w:tcPr>
            <w:tcW w:w="3160" w:type="dxa"/>
            <w:vAlign w:val="bottom"/>
            <w:tcBorders>
              <w:bottom w:val="single" w:sz="8" w:color="auto"/>
              <w:right w:val="single" w:sz="8" w:color="auto"/>
            </w:tcBorders>
          </w:tcPr>
          <w:p>
            <w:pPr>
              <w:spacing w:after="0"/>
              <w:rPr>
                <w:sz w:val="16"/>
                <w:szCs w:val="16"/>
                <w:color w:val="auto"/>
              </w:rPr>
            </w:pPr>
          </w:p>
        </w:tc>
        <w:tc>
          <w:tcPr>
            <w:tcW w:w="2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ROW</w:t>
            </w:r>
          </w:p>
        </w:tc>
      </w:tr>
      <w:tr>
        <w:trPr>
          <w:trHeight w:val="167"/>
        </w:trPr>
        <w:tc>
          <w:tcPr>
            <w:tcW w:w="2860" w:type="dxa"/>
            <w:vAlign w:val="bottom"/>
            <w:tcBorders>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2800" w:type="dxa"/>
            <w:vAlign w:val="bottom"/>
            <w:tcBorders>
              <w:bottom w:val="single" w:sz="8" w:color="auto"/>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3160" w:type="dxa"/>
            <w:vAlign w:val="bottom"/>
            <w:tcBorders>
              <w:bottom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5"/>
                <w:szCs w:val="15"/>
                <w:color w:val="auto"/>
              </w:rPr>
              <w:t>[***]</w:t>
            </w:r>
          </w:p>
        </w:tc>
        <w:tc>
          <w:tcPr>
            <w:tcW w:w="2460" w:type="dxa"/>
            <w:vAlign w:val="bottom"/>
            <w:tcBorders>
              <w:bottom w:val="single" w:sz="8" w:color="auto"/>
            </w:tcBorders>
          </w:tcPr>
          <w:p>
            <w:pPr>
              <w:ind w:left="60"/>
              <w:spacing w:after="0" w:line="167" w:lineRule="exact"/>
              <w:rPr>
                <w:sz w:val="20"/>
                <w:szCs w:val="20"/>
                <w:color w:val="auto"/>
              </w:rPr>
            </w:pPr>
            <w:r>
              <w:rPr>
                <w:rFonts w:ascii="Times New Roman" w:cs="Times New Roman" w:eastAsia="Times New Roman" w:hAnsi="Times New Roman"/>
                <w:sz w:val="15"/>
                <w:szCs w:val="15"/>
                <w:color w:val="auto"/>
              </w:rPr>
              <w:t>[***]</w:t>
            </w:r>
          </w:p>
        </w:tc>
      </w:tr>
      <w:tr>
        <w:trPr>
          <w:trHeight w:val="167"/>
        </w:trPr>
        <w:tc>
          <w:tcPr>
            <w:tcW w:w="2860" w:type="dxa"/>
            <w:vAlign w:val="bottom"/>
            <w:tcBorders>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2800" w:type="dxa"/>
            <w:vAlign w:val="bottom"/>
            <w:tcBorders>
              <w:bottom w:val="single" w:sz="8" w:color="auto"/>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3160" w:type="dxa"/>
            <w:vAlign w:val="bottom"/>
            <w:tcBorders>
              <w:bottom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5"/>
                <w:szCs w:val="15"/>
                <w:color w:val="auto"/>
              </w:rPr>
              <w:t>[***]</w:t>
            </w:r>
          </w:p>
        </w:tc>
        <w:tc>
          <w:tcPr>
            <w:tcW w:w="2460" w:type="dxa"/>
            <w:vAlign w:val="bottom"/>
            <w:tcBorders>
              <w:bottom w:val="single" w:sz="8" w:color="auto"/>
            </w:tcBorders>
          </w:tcPr>
          <w:p>
            <w:pPr>
              <w:ind w:left="60"/>
              <w:spacing w:after="0" w:line="167" w:lineRule="exact"/>
              <w:rPr>
                <w:sz w:val="20"/>
                <w:szCs w:val="20"/>
                <w:color w:val="auto"/>
              </w:rPr>
            </w:pPr>
            <w:r>
              <w:rPr>
                <w:rFonts w:ascii="Times New Roman" w:cs="Times New Roman" w:eastAsia="Times New Roman" w:hAnsi="Times New Roman"/>
                <w:sz w:val="15"/>
                <w:szCs w:val="15"/>
                <w:color w:val="auto"/>
              </w:rPr>
              <w:t>[***]</w:t>
            </w:r>
          </w:p>
        </w:tc>
      </w:tr>
      <w:tr>
        <w:trPr>
          <w:trHeight w:val="167"/>
        </w:trPr>
        <w:tc>
          <w:tcPr>
            <w:tcW w:w="2860" w:type="dxa"/>
            <w:vAlign w:val="bottom"/>
            <w:tcBorders>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2800" w:type="dxa"/>
            <w:vAlign w:val="bottom"/>
            <w:tcBorders>
              <w:bottom w:val="single" w:sz="8" w:color="auto"/>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3160" w:type="dxa"/>
            <w:vAlign w:val="bottom"/>
            <w:tcBorders>
              <w:bottom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5"/>
                <w:szCs w:val="15"/>
                <w:color w:val="auto"/>
              </w:rPr>
              <w:t>[***]</w:t>
            </w:r>
          </w:p>
        </w:tc>
        <w:tc>
          <w:tcPr>
            <w:tcW w:w="2460" w:type="dxa"/>
            <w:vAlign w:val="bottom"/>
            <w:tcBorders>
              <w:bottom w:val="single" w:sz="8" w:color="auto"/>
            </w:tcBorders>
          </w:tcPr>
          <w:p>
            <w:pPr>
              <w:ind w:left="60"/>
              <w:spacing w:after="0" w:line="167" w:lineRule="exact"/>
              <w:rPr>
                <w:sz w:val="20"/>
                <w:szCs w:val="20"/>
                <w:color w:val="auto"/>
              </w:rPr>
            </w:pPr>
            <w:r>
              <w:rPr>
                <w:rFonts w:ascii="Times New Roman" w:cs="Times New Roman" w:eastAsia="Times New Roman" w:hAnsi="Times New Roman"/>
                <w:sz w:val="15"/>
                <w:szCs w:val="15"/>
                <w:color w:val="auto"/>
              </w:rPr>
              <w:t>[***]</w:t>
            </w:r>
          </w:p>
        </w:tc>
      </w:tr>
      <w:tr>
        <w:trPr>
          <w:trHeight w:val="167"/>
        </w:trPr>
        <w:tc>
          <w:tcPr>
            <w:tcW w:w="2860" w:type="dxa"/>
            <w:vAlign w:val="bottom"/>
            <w:tcBorders>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2800" w:type="dxa"/>
            <w:vAlign w:val="bottom"/>
            <w:tcBorders>
              <w:bottom w:val="single" w:sz="8" w:color="auto"/>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3160" w:type="dxa"/>
            <w:vAlign w:val="bottom"/>
            <w:tcBorders>
              <w:bottom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5"/>
                <w:szCs w:val="15"/>
                <w:color w:val="auto"/>
              </w:rPr>
              <w:t>[***]</w:t>
            </w:r>
          </w:p>
        </w:tc>
        <w:tc>
          <w:tcPr>
            <w:tcW w:w="2460" w:type="dxa"/>
            <w:vAlign w:val="bottom"/>
            <w:tcBorders>
              <w:bottom w:val="single" w:sz="8" w:color="auto"/>
            </w:tcBorders>
          </w:tcPr>
          <w:p>
            <w:pPr>
              <w:ind w:left="60"/>
              <w:spacing w:after="0" w:line="167" w:lineRule="exact"/>
              <w:rPr>
                <w:sz w:val="20"/>
                <w:szCs w:val="20"/>
                <w:color w:val="auto"/>
              </w:rPr>
            </w:pPr>
            <w:r>
              <w:rPr>
                <w:rFonts w:ascii="Times New Roman" w:cs="Times New Roman" w:eastAsia="Times New Roman" w:hAnsi="Times New Roman"/>
                <w:sz w:val="15"/>
                <w:szCs w:val="15"/>
                <w:color w:val="auto"/>
              </w:rPr>
              <w:t>[***]</w:t>
            </w:r>
          </w:p>
        </w:tc>
      </w:tr>
    </w:tbl>
    <w:p>
      <w:pPr>
        <w:spacing w:after="0" w:line="159" w:lineRule="exact"/>
        <w:rPr>
          <w:sz w:val="20"/>
          <w:szCs w:val="20"/>
          <w:color w:val="auto"/>
        </w:rPr>
      </w:pPr>
    </w:p>
    <w:p>
      <w:pPr>
        <w:ind w:left="1060" w:right="180" w:hanging="526"/>
        <w:spacing w:after="0" w:line="253" w:lineRule="auto"/>
        <w:tabs>
          <w:tab w:leader="none" w:pos="1040" w:val="left"/>
        </w:tabs>
        <w:rPr>
          <w:sz w:val="20"/>
          <w:szCs w:val="20"/>
          <w:color w:val="auto"/>
        </w:rPr>
      </w:pPr>
      <w:r>
        <w:rPr>
          <w:rFonts w:ascii="Times New Roman" w:cs="Times New Roman" w:eastAsia="Times New Roman" w:hAnsi="Times New Roman"/>
          <w:sz w:val="15"/>
          <w:szCs w:val="15"/>
          <w:color w:val="auto"/>
        </w:rPr>
        <w:t>9.3.2</w:t>
      </w:r>
      <w:r>
        <w:rPr>
          <w:sz w:val="20"/>
          <w:szCs w:val="20"/>
          <w:color w:val="auto"/>
        </w:rPr>
        <w:tab/>
      </w:r>
      <w:r>
        <w:rPr>
          <w:rFonts w:ascii="Times New Roman" w:cs="Times New Roman" w:eastAsia="Times New Roman" w:hAnsi="Times New Roman"/>
          <w:sz w:val="15"/>
          <w:szCs w:val="15"/>
          <w:b w:val="1"/>
          <w:bCs w:val="1"/>
          <w:color w:val="auto"/>
        </w:rPr>
        <w:t>Royalty Term</w:t>
      </w:r>
      <w:r>
        <w:rPr>
          <w:rFonts w:ascii="Times New Roman" w:cs="Times New Roman" w:eastAsia="Times New Roman" w:hAnsi="Times New Roman"/>
          <w:sz w:val="15"/>
          <w:szCs w:val="15"/>
          <w:color w:val="auto"/>
        </w:rPr>
        <w:t>. Royalties will be payable on a Region-by-Region and Product-by-Product basis from the First Commercial Sale of a Product in the Licensed Territory until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later of: (a) the expiration of the last Valid Claim of a XENCOR Patent Right or a Specified Joint Patent Right that Covers the Licensed Asset or such Product in the applicable Region in the Licensed Territory; (b) the last to expire Regulatory Exclusivity period for such Product in such Region; or (c) twelve (12) years from the First Commercial Sale of such Product in such Region (the “</w:t>
      </w:r>
      <w:r>
        <w:rPr>
          <w:rFonts w:ascii="Times New Roman" w:cs="Times New Roman" w:eastAsia="Times New Roman" w:hAnsi="Times New Roman"/>
          <w:sz w:val="15"/>
          <w:szCs w:val="15"/>
          <w:u w:val="single" w:color="auto"/>
          <w:color w:val="auto"/>
        </w:rPr>
        <w:t>Royalty Term</w:t>
      </w:r>
      <w:r>
        <w:rPr>
          <w:rFonts w:ascii="Times New Roman" w:cs="Times New Roman" w:eastAsia="Times New Roman" w:hAnsi="Times New Roman"/>
          <w:sz w:val="15"/>
          <w:szCs w:val="15"/>
          <w:color w:val="auto"/>
        </w:rPr>
        <w:t>”).</w:t>
      </w: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65" w:name="page366"/>
    <w:bookmarkEnd w:id="365"/>
    <w:p>
      <w:pPr>
        <w:ind w:left="520" w:hanging="526"/>
        <w:spacing w:after="0" w:line="253" w:lineRule="auto"/>
        <w:tabs>
          <w:tab w:leader="none" w:pos="500" w:val="left"/>
        </w:tabs>
        <w:rPr>
          <w:sz w:val="20"/>
          <w:szCs w:val="20"/>
          <w:color w:val="auto"/>
        </w:rPr>
      </w:pPr>
      <w:r>
        <w:rPr>
          <w:rFonts w:ascii="Times New Roman" w:cs="Times New Roman" w:eastAsia="Times New Roman" w:hAnsi="Times New Roman"/>
          <w:sz w:val="15"/>
          <w:szCs w:val="15"/>
          <w:color w:val="auto"/>
        </w:rPr>
        <w:t>9.3.3</w:t>
      </w:r>
      <w:r>
        <w:rPr>
          <w:sz w:val="20"/>
          <w:szCs w:val="20"/>
          <w:color w:val="auto"/>
        </w:rPr>
        <w:tab/>
      </w:r>
      <w:r>
        <w:rPr>
          <w:rFonts w:ascii="Times New Roman" w:cs="Times New Roman" w:eastAsia="Times New Roman" w:hAnsi="Times New Roman"/>
          <w:sz w:val="15"/>
          <w:szCs w:val="15"/>
          <w:b w:val="1"/>
          <w:bCs w:val="1"/>
          <w:color w:val="auto"/>
        </w:rPr>
        <w:t>Royalty Reports and Payments</w:t>
      </w:r>
      <w:r>
        <w:rPr>
          <w:rFonts w:ascii="Times New Roman" w:cs="Times New Roman" w:eastAsia="Times New Roman" w:hAnsi="Times New Roman"/>
          <w:sz w:val="15"/>
          <w:szCs w:val="15"/>
          <w:color w:val="auto"/>
        </w:rPr>
        <w:t>. Within [***] after each Calendar Quarter, commencing with the Calendar Quarter during which the First Commercial Sale of a Product 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made anywhere in the Licensed Territory, Licensee shall provide XENCOR with a report that contains the following information for the applicable Calendar Quarter, on a Region-by-Region basis: [***]. Concurrent with the delivery of the applicable Calendar Quarter report, Licensee shall pay to XENCOR in U.S. dollars all royalties due under this Agreement with respect to Net Sales by Licensee, its Affiliates and their respective Sublicensees for such Calendar Quarter.</w:t>
      </w:r>
    </w:p>
    <w:p>
      <w:pPr>
        <w:spacing w:after="0" w:line="152" w:lineRule="exact"/>
        <w:rPr>
          <w:sz w:val="20"/>
          <w:szCs w:val="20"/>
          <w:color w:val="auto"/>
        </w:rPr>
      </w:pPr>
    </w:p>
    <w:p>
      <w:pPr>
        <w:ind w:left="520" w:right="380" w:hanging="526"/>
        <w:spacing w:after="0" w:line="272" w:lineRule="auto"/>
        <w:tabs>
          <w:tab w:leader="none" w:pos="500" w:val="left"/>
        </w:tabs>
        <w:rPr>
          <w:sz w:val="20"/>
          <w:szCs w:val="20"/>
          <w:color w:val="auto"/>
        </w:rPr>
      </w:pPr>
      <w:r>
        <w:rPr>
          <w:rFonts w:ascii="Times New Roman" w:cs="Times New Roman" w:eastAsia="Times New Roman" w:hAnsi="Times New Roman"/>
          <w:sz w:val="15"/>
          <w:szCs w:val="15"/>
          <w:color w:val="auto"/>
        </w:rPr>
        <w:t>9.3.4</w:t>
      </w:r>
      <w:r>
        <w:rPr>
          <w:sz w:val="20"/>
          <w:szCs w:val="20"/>
          <w:color w:val="auto"/>
        </w:rPr>
        <w:tab/>
      </w:r>
      <w:r>
        <w:rPr>
          <w:rFonts w:ascii="Times New Roman" w:cs="Times New Roman" w:eastAsia="Times New Roman" w:hAnsi="Times New Roman"/>
          <w:sz w:val="15"/>
          <w:szCs w:val="15"/>
          <w:b w:val="1"/>
          <w:bCs w:val="1"/>
          <w:color w:val="auto"/>
        </w:rPr>
        <w:t>Royalty Reduction</w:t>
      </w:r>
      <w:r>
        <w:rPr>
          <w:rFonts w:ascii="Times New Roman" w:cs="Times New Roman" w:eastAsia="Times New Roman" w:hAnsi="Times New Roman"/>
          <w:sz w:val="15"/>
          <w:szCs w:val="15"/>
          <w:color w:val="auto"/>
        </w:rPr>
        <w:t>. The royalty payment due and payable to XENCOR for Net Sales of a Product in a Region in the Licensed Territory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9.3</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will be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reduced, on a Product-by-Product and Region-by-Region basis, as follows:</w:t>
      </w:r>
    </w:p>
    <w:p>
      <w:pPr>
        <w:spacing w:after="0" w:line="136" w:lineRule="exact"/>
        <w:rPr>
          <w:sz w:val="20"/>
          <w:szCs w:val="20"/>
          <w:color w:val="auto"/>
        </w:rPr>
      </w:pPr>
    </w:p>
    <w:p>
      <w:pPr>
        <w:ind w:left="1060" w:right="360" w:hanging="537"/>
        <w:spacing w:after="0" w:line="272" w:lineRule="auto"/>
        <w:tabs>
          <w:tab w:leader="none" w:pos="1060"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Expiration of Valid Claims</w:t>
      </w:r>
      <w:r>
        <w:rPr>
          <w:rFonts w:ascii="Times New Roman" w:cs="Times New Roman" w:eastAsia="Times New Roman" w:hAnsi="Times New Roman"/>
          <w:sz w:val="15"/>
          <w:szCs w:val="15"/>
          <w:color w:val="auto"/>
        </w:rPr>
        <w:t>. If at any time during the Royalty Term there is no Valid Claim of a XENCOR Patent Rights in a Region in the Licensed Territory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Covering such Product, then the applicable royalties in effect with respect to such Product sold in such Region shall be reduced by [***].</w:t>
      </w:r>
    </w:p>
    <w:p>
      <w:pPr>
        <w:spacing w:after="0" w:line="136" w:lineRule="exact"/>
        <w:rPr>
          <w:rFonts w:ascii="Times New Roman" w:cs="Times New Roman" w:eastAsia="Times New Roman" w:hAnsi="Times New Roman"/>
          <w:sz w:val="15"/>
          <w:szCs w:val="15"/>
          <w:color w:val="auto"/>
        </w:rPr>
      </w:pPr>
    </w:p>
    <w:p>
      <w:pPr>
        <w:ind w:left="1060" w:right="20" w:hanging="537"/>
        <w:spacing w:after="0" w:line="253" w:lineRule="auto"/>
        <w:tabs>
          <w:tab w:leader="none" w:pos="1060"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Entry of Biosimilar Products</w:t>
      </w:r>
      <w:r>
        <w:rPr>
          <w:rFonts w:ascii="Times New Roman" w:cs="Times New Roman" w:eastAsia="Times New Roman" w:hAnsi="Times New Roman"/>
          <w:sz w:val="15"/>
          <w:szCs w:val="15"/>
          <w:color w:val="auto"/>
        </w:rPr>
        <w:t>. If, in any Region in the Licensed Territory during the Royalty Term for a Product, one or more Biosimilar Products to such Product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are sold by any Third Party in such Region for [***], and sales of such Biosimilar Product(s) during each such [***] represent at least [***] of the total sales in such Region on a unit basis (as measured against the total sales of such Product and Biosimilar Products in such Region), then the then-applicable royalty rates for such [***] for such Product in such Region will be reduced by [***].</w:t>
      </w:r>
    </w:p>
    <w:p>
      <w:pPr>
        <w:spacing w:after="0" w:line="151" w:lineRule="exact"/>
        <w:rPr>
          <w:rFonts w:ascii="Times New Roman" w:cs="Times New Roman" w:eastAsia="Times New Roman" w:hAnsi="Times New Roman"/>
          <w:sz w:val="15"/>
          <w:szCs w:val="15"/>
          <w:color w:val="auto"/>
        </w:rPr>
      </w:pPr>
    </w:p>
    <w:p>
      <w:pPr>
        <w:ind w:left="1060" w:right="20" w:hanging="537"/>
        <w:spacing w:after="0" w:line="250" w:lineRule="auto"/>
        <w:tabs>
          <w:tab w:leader="none" w:pos="1060"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Third Party Payments</w:t>
      </w:r>
      <w:r>
        <w:rPr>
          <w:rFonts w:ascii="Times New Roman" w:cs="Times New Roman" w:eastAsia="Times New Roman" w:hAnsi="Times New Roman"/>
          <w:sz w:val="15"/>
          <w:szCs w:val="15"/>
          <w:color w:val="auto"/>
        </w:rPr>
        <w:t>. In the event Licensee obtains a Third Party license to any Third Party Patent Rights that is necessary to avoid infringement of such Third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Party Patent Rights through the practice of XENCOR Know-How and XENCOR Patent Rights licensed under </w:t>
      </w:r>
      <w:r>
        <w:rPr>
          <w:rFonts w:ascii="Times New Roman" w:cs="Times New Roman" w:eastAsia="Times New Roman" w:hAnsi="Times New Roman"/>
          <w:sz w:val="15"/>
          <w:szCs w:val="15"/>
          <w:u w:val="single" w:color="auto"/>
          <w:color w:val="auto"/>
        </w:rPr>
        <w:t>Section 2.1.1</w:t>
      </w:r>
      <w:r>
        <w:rPr>
          <w:rFonts w:ascii="Times New Roman" w:cs="Times New Roman" w:eastAsia="Times New Roman" w:hAnsi="Times New Roman"/>
          <w:sz w:val="15"/>
          <w:szCs w:val="15"/>
          <w:color w:val="auto"/>
        </w:rPr>
        <w:t xml:space="preserve"> for the Development, Manufacture, or Commercialization of the Licensed Asset or such Product in one or more Regions, then Licensee shall have the right to deduct from the royalty payment that would otherwise have been due with respect to such Product in such Region(s) in a [***] under </w:t>
      </w:r>
      <w:r>
        <w:rPr>
          <w:rFonts w:ascii="Times New Roman" w:cs="Times New Roman" w:eastAsia="Times New Roman" w:hAnsi="Times New Roman"/>
          <w:sz w:val="15"/>
          <w:szCs w:val="15"/>
          <w:u w:val="single" w:color="auto"/>
          <w:color w:val="auto"/>
        </w:rPr>
        <w:t>Section 9.3.1</w:t>
      </w:r>
      <w:r>
        <w:rPr>
          <w:rFonts w:ascii="Times New Roman" w:cs="Times New Roman" w:eastAsia="Times New Roman" w:hAnsi="Times New Roman"/>
          <w:sz w:val="15"/>
          <w:szCs w:val="15"/>
          <w:color w:val="auto"/>
        </w:rPr>
        <w:t xml:space="preserve"> an amount equal to [***] of any amount paid to such Third Party for such license during such [***]. For the avoidance of doubt, Licensee shall not have the right under this Section 9.3.4(c) to deduct from the royalty payment for which Licensee is responsible for pursuant to </w:t>
      </w:r>
      <w:r>
        <w:rPr>
          <w:rFonts w:ascii="Times New Roman" w:cs="Times New Roman" w:eastAsia="Times New Roman" w:hAnsi="Times New Roman"/>
          <w:sz w:val="15"/>
          <w:szCs w:val="15"/>
          <w:u w:val="single" w:color="auto"/>
          <w:color w:val="auto"/>
        </w:rPr>
        <w:t>Section 2.4.2</w:t>
      </w:r>
      <w:r>
        <w:rPr>
          <w:rFonts w:ascii="Times New Roman" w:cs="Times New Roman" w:eastAsia="Times New Roman" w:hAnsi="Times New Roman"/>
          <w:sz w:val="15"/>
          <w:szCs w:val="15"/>
          <w:color w:val="auto"/>
        </w:rPr>
        <w:t>.</w:t>
      </w:r>
    </w:p>
    <w:p>
      <w:pPr>
        <w:spacing w:after="0" w:line="152" w:lineRule="exact"/>
        <w:rPr>
          <w:rFonts w:ascii="Times New Roman" w:cs="Times New Roman" w:eastAsia="Times New Roman" w:hAnsi="Times New Roman"/>
          <w:sz w:val="15"/>
          <w:szCs w:val="15"/>
          <w:color w:val="auto"/>
        </w:rPr>
      </w:pPr>
    </w:p>
    <w:p>
      <w:pPr>
        <w:ind w:left="1060" w:hanging="537"/>
        <w:spacing w:after="0"/>
        <w:tabs>
          <w:tab w:leader="none" w:pos="1060"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Reduction Floor</w:t>
      </w:r>
      <w:r>
        <w:rPr>
          <w:rFonts w:ascii="Times New Roman" w:cs="Times New Roman" w:eastAsia="Times New Roman" w:hAnsi="Times New Roman"/>
          <w:sz w:val="15"/>
          <w:szCs w:val="15"/>
          <w:color w:val="auto"/>
        </w:rPr>
        <w:t>. In no circumstances will the royalties payable to XENCOR under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9.3.1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any [***] be reduced to, as a result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9.3.4 (a)–</w:t>
      </w:r>
    </w:p>
    <w:p>
      <w:pPr>
        <w:spacing w:after="0" w:line="19" w:lineRule="exact"/>
        <w:rPr>
          <w:rFonts w:ascii="Times New Roman" w:cs="Times New Roman" w:eastAsia="Times New Roman" w:hAnsi="Times New Roman"/>
          <w:sz w:val="15"/>
          <w:szCs w:val="15"/>
          <w:color w:val="auto"/>
        </w:rPr>
      </w:pPr>
    </w:p>
    <w:p>
      <w:pPr>
        <w:ind w:left="1060" w:right="220"/>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xml:space="preserve"> below [***] of the royalties otherwise payable under </w:t>
      </w:r>
      <w:r>
        <w:rPr>
          <w:rFonts w:ascii="Times New Roman" w:cs="Times New Roman" w:eastAsia="Times New Roman" w:hAnsi="Times New Roman"/>
          <w:sz w:val="15"/>
          <w:szCs w:val="15"/>
          <w:u w:val="single" w:color="auto"/>
          <w:color w:val="auto"/>
        </w:rPr>
        <w:t>Section 9.3.1</w:t>
      </w:r>
      <w:r>
        <w:rPr>
          <w:rFonts w:ascii="Times New Roman" w:cs="Times New Roman" w:eastAsia="Times New Roman" w:hAnsi="Times New Roman"/>
          <w:sz w:val="15"/>
          <w:szCs w:val="15"/>
          <w:color w:val="auto"/>
        </w:rPr>
        <w:t xml:space="preserve"> with respect to Net Sales of any Product in any Region. Licensee may not carry forward to subsequent [***] any deductions that it was not able to deduct as a result of the foregoing proviso.</w:t>
      </w:r>
    </w:p>
    <w:p>
      <w:pPr>
        <w:spacing w:after="0" w:line="33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11430</wp:posOffset>
            </wp:positionV>
            <wp:extent cx="7157720" cy="69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20"/>
          </w:cols>
          <w:pgMar w:left="840" w:top="760" w:right="339" w:bottom="1440" w:gutter="0" w:footer="0" w:header="0"/>
        </w:sectPr>
      </w:pPr>
    </w:p>
    <w:bookmarkStart w:id="366" w:name="page367"/>
    <w:bookmarkEnd w:id="366"/>
    <w:p>
      <w:pPr>
        <w:spacing w:after="0"/>
        <w:tabs>
          <w:tab w:leader="none" w:pos="520" w:val="left"/>
        </w:tabs>
        <w:rPr>
          <w:sz w:val="20"/>
          <w:szCs w:val="20"/>
          <w:color w:val="auto"/>
        </w:rPr>
      </w:pPr>
      <w:r>
        <w:rPr>
          <w:rFonts w:ascii="Times New Roman" w:cs="Times New Roman" w:eastAsia="Times New Roman" w:hAnsi="Times New Roman"/>
          <w:sz w:val="15"/>
          <w:szCs w:val="15"/>
          <w:color w:val="auto"/>
        </w:rPr>
        <w:t>9.4</w:t>
      </w:r>
      <w:r>
        <w:rPr>
          <w:sz w:val="20"/>
          <w:szCs w:val="20"/>
          <w:color w:val="auto"/>
        </w:rPr>
        <w:tab/>
      </w:r>
      <w:r>
        <w:rPr>
          <w:rFonts w:ascii="Times New Roman" w:cs="Times New Roman" w:eastAsia="Times New Roman" w:hAnsi="Times New Roman"/>
          <w:sz w:val="14"/>
          <w:szCs w:val="14"/>
          <w:b w:val="1"/>
          <w:bCs w:val="1"/>
          <w:color w:val="auto"/>
        </w:rPr>
        <w:t>Taxes and Withholding</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1060" w:right="20" w:hanging="526"/>
        <w:spacing w:after="0" w:line="257" w:lineRule="auto"/>
        <w:tabs>
          <w:tab w:leader="none" w:pos="1040" w:val="left"/>
        </w:tabs>
        <w:rPr>
          <w:sz w:val="20"/>
          <w:szCs w:val="20"/>
          <w:color w:val="auto"/>
        </w:rPr>
      </w:pPr>
      <w:r>
        <w:rPr>
          <w:rFonts w:ascii="Times New Roman" w:cs="Times New Roman" w:eastAsia="Times New Roman" w:hAnsi="Times New Roman"/>
          <w:sz w:val="15"/>
          <w:szCs w:val="15"/>
          <w:color w:val="auto"/>
        </w:rPr>
        <w:t>9.4.1</w:t>
      </w:r>
      <w:r>
        <w:rPr>
          <w:sz w:val="20"/>
          <w:szCs w:val="20"/>
          <w:color w:val="auto"/>
        </w:rPr>
        <w:tab/>
      </w:r>
      <w:r>
        <w:rPr>
          <w:rFonts w:ascii="Times New Roman" w:cs="Times New Roman" w:eastAsia="Times New Roman" w:hAnsi="Times New Roman"/>
          <w:sz w:val="15"/>
          <w:szCs w:val="15"/>
          <w:color w:val="auto"/>
        </w:rPr>
        <w:t xml:space="preserve">It is the Parties’ mutual objective and intent to minimize, to the extent feasible, taxes payable with respect to their collaborative efforts under this Agreement to cooperate and coordinate with each other to achieve such objective. For the avoidance of doubt, as between the Parties, Licensee shall be responsible for any Branded Prescription Drug Fees that may be levied under </w:t>
      </w:r>
      <w:r>
        <w:rPr>
          <w:rFonts w:ascii="Times New Roman" w:cs="Times New Roman" w:eastAsia="Times New Roman" w:hAnsi="Times New Roman"/>
          <w:sz w:val="15"/>
          <w:szCs w:val="15"/>
          <w:u w:val="single" w:color="auto"/>
          <w:color w:val="auto"/>
        </w:rPr>
        <w:t>section 9008 o</w:t>
      </w:r>
      <w:r>
        <w:rPr>
          <w:rFonts w:ascii="Times New Roman" w:cs="Times New Roman" w:eastAsia="Times New Roman" w:hAnsi="Times New Roman"/>
          <w:sz w:val="15"/>
          <w:szCs w:val="15"/>
          <w:color w:val="auto"/>
        </w:rPr>
        <w:t>f the Affordable Care Act with respect to any Product sold.</w:t>
      </w:r>
    </w:p>
    <w:p>
      <w:pPr>
        <w:spacing w:after="0" w:line="149" w:lineRule="exact"/>
        <w:rPr>
          <w:sz w:val="20"/>
          <w:szCs w:val="20"/>
          <w:color w:val="auto"/>
        </w:rPr>
      </w:pPr>
    </w:p>
    <w:p>
      <w:pPr>
        <w:ind w:left="1060" w:hanging="526"/>
        <w:spacing w:after="0" w:line="248" w:lineRule="auto"/>
        <w:tabs>
          <w:tab w:leader="none" w:pos="1040" w:val="left"/>
        </w:tabs>
        <w:rPr>
          <w:sz w:val="20"/>
          <w:szCs w:val="20"/>
          <w:color w:val="auto"/>
        </w:rPr>
      </w:pPr>
      <w:r>
        <w:rPr>
          <w:rFonts w:ascii="Times New Roman" w:cs="Times New Roman" w:eastAsia="Times New Roman" w:hAnsi="Times New Roman"/>
          <w:sz w:val="15"/>
          <w:szCs w:val="15"/>
          <w:color w:val="auto"/>
        </w:rPr>
        <w:t>9.4.2</w:t>
      </w:r>
      <w:r>
        <w:rPr>
          <w:sz w:val="20"/>
          <w:szCs w:val="20"/>
          <w:color w:val="auto"/>
        </w:rPr>
        <w:tab/>
      </w:r>
      <w:r>
        <w:rPr>
          <w:rFonts w:ascii="Times New Roman" w:cs="Times New Roman" w:eastAsia="Times New Roman" w:hAnsi="Times New Roman"/>
          <w:sz w:val="15"/>
          <w:szCs w:val="15"/>
          <w:color w:val="auto"/>
        </w:rPr>
        <w:t xml:space="preserve">Each Party shall each bear any and all taxes levied against such Party on account of any payment received by such Party under this Agreement. In the event that the Licensee is required, under Applicable Laws, to withhold any deduction or tax from any payment due to XENCOR under this Agreement, such amount shall be deducted from the payment to be made by Licensee and paid to the proper taxing authority;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Licensee shall take reasonable and lawful actions to avoid or minimize such withholding and promptly notify XENCOR (including by sending proof of such payment), as applicable, so that XENCOR may take lawful actions to avoid or minimize such withholding. Licensee shall promptly furnish XENCOR, as applicable, with copies of any tax certificate or other documentation evidencing such withholding as necessary to satisfy the requirements of the relevant Government Authority related to any application by XENCOR for foreign tax credit for such payment, and cooperate with XENCOR as reasonably required by XENCOR to obtain available reductions, credits or refunds of such taxes. Each Party agrees to cooperate with the other Party in claiming exemptions from such deductions or withholdings under any agreement or treaty from time to time in effect.</w:t>
      </w:r>
    </w:p>
    <w:p>
      <w:pPr>
        <w:spacing w:after="0" w:line="156" w:lineRule="exact"/>
        <w:rPr>
          <w:sz w:val="20"/>
          <w:szCs w:val="20"/>
          <w:color w:val="auto"/>
        </w:rPr>
      </w:pPr>
    </w:p>
    <w:p>
      <w:pPr>
        <w:ind w:left="1060" w:hanging="526"/>
        <w:spacing w:after="0" w:line="247" w:lineRule="auto"/>
        <w:tabs>
          <w:tab w:leader="none" w:pos="1040" w:val="left"/>
        </w:tabs>
        <w:rPr>
          <w:sz w:val="20"/>
          <w:szCs w:val="20"/>
          <w:color w:val="auto"/>
        </w:rPr>
      </w:pPr>
      <w:r>
        <w:rPr>
          <w:rFonts w:ascii="Times New Roman" w:cs="Times New Roman" w:eastAsia="Times New Roman" w:hAnsi="Times New Roman"/>
          <w:sz w:val="15"/>
          <w:szCs w:val="15"/>
          <w:color w:val="auto"/>
        </w:rPr>
        <w:t>9.4.3</w:t>
      </w:r>
      <w:r>
        <w:rPr>
          <w:sz w:val="20"/>
          <w:szCs w:val="20"/>
          <w:color w:val="auto"/>
        </w:rPr>
        <w:tab/>
      </w:r>
      <w:r>
        <w:rPr>
          <w:rFonts w:ascii="Times New Roman" w:cs="Times New Roman" w:eastAsia="Times New Roman" w:hAnsi="Times New Roman"/>
          <w:sz w:val="15"/>
          <w:szCs w:val="15"/>
          <w:color w:val="auto"/>
        </w:rPr>
        <w:t>To the extent (a) any payment under this Agreement is triggered due to activities of an Affiliate or Sublicensee of Licensee incorporated or established in the Licensed Territory, whose Applicable Laws require the withholding of taxes in relation to such payment if it were to be made from such Affiliate or Sublicensee of Licensee to XENCOR, and (b) Licensee receives a payment from its such Affiliate or Sublicensee in relation to such activity, and such payment is reduced due to withholding taxes required by Applicable Laws to be withheld on such payment, then Licensee shall have the right to deduct an amount that equals to [***] of the deducted amount for withholding taxes from the payments due to XENCOR under this Agreement. Licensee shall promptly provide to XENCOR applicable receipts evidencing payment of such withholding taxes and other documentation reasonably requested by XENCOR. Upon either Party’s request, the other Party shall provide reasonable assistance to the requesting Party for the requesting Party to recover or obtain a credit in relation to any such withholding taxes. In the event that a Party actually recovers or obtains a credit in relation to any such withholding taxes from an applicable Governmental Authority, such Party shall remit [***] of any such recovered or credited withholding taxes to the other Party.</w:t>
      </w:r>
    </w:p>
    <w:p>
      <w:pPr>
        <w:spacing w:after="0" w:line="158" w:lineRule="exact"/>
        <w:rPr>
          <w:sz w:val="20"/>
          <w:szCs w:val="20"/>
          <w:color w:val="auto"/>
        </w:rPr>
      </w:pPr>
    </w:p>
    <w:p>
      <w:pPr>
        <w:ind w:left="54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9.5</w:t>
      </w:r>
      <w:r>
        <w:rPr>
          <w:sz w:val="20"/>
          <w:szCs w:val="20"/>
          <w:color w:val="auto"/>
        </w:rPr>
        <w:tab/>
      </w:r>
      <w:r>
        <w:rPr>
          <w:rFonts w:ascii="Times New Roman" w:cs="Times New Roman" w:eastAsia="Times New Roman" w:hAnsi="Times New Roman"/>
          <w:sz w:val="15"/>
          <w:szCs w:val="15"/>
          <w:b w:val="1"/>
          <w:bCs w:val="1"/>
          <w:color w:val="auto"/>
        </w:rPr>
        <w:t>Currency; Exchange Rate</w:t>
      </w:r>
      <w:r>
        <w:rPr>
          <w:rFonts w:ascii="Times New Roman" w:cs="Times New Roman" w:eastAsia="Times New Roman" w:hAnsi="Times New Roman"/>
          <w:sz w:val="15"/>
          <w:szCs w:val="15"/>
          <w:color w:val="auto"/>
        </w:rPr>
        <w:t>. All amounts payable and calculations hereunder shall be in U.S. dollars. Conversion of Net Sales recorded in local currencies will be converted to Dollars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at the exchange rate set forth in </w:t>
      </w:r>
      <w:r>
        <w:rPr>
          <w:rFonts w:ascii="Times New Roman" w:cs="Times New Roman" w:eastAsia="Times New Roman" w:hAnsi="Times New Roman"/>
          <w:sz w:val="15"/>
          <w:szCs w:val="15"/>
          <w:i w:val="1"/>
          <w:iCs w:val="1"/>
          <w:color w:val="auto"/>
        </w:rPr>
        <w:t>The Wall Street Journal</w:t>
      </w:r>
      <w:r>
        <w:rPr>
          <w:rFonts w:ascii="Times New Roman" w:cs="Times New Roman" w:eastAsia="Times New Roman" w:hAnsi="Times New Roman"/>
          <w:sz w:val="15"/>
          <w:szCs w:val="15"/>
          <w:color w:val="auto"/>
        </w:rPr>
        <w:t>, Western U.S. Edition, or any successor thereto for the last Business Day of the Calendar Quarter in which the applicable payment obligation became due and payable.</w:t>
      </w:r>
    </w:p>
    <w:p>
      <w:pPr>
        <w:spacing w:after="0" w:line="147" w:lineRule="exact"/>
        <w:rPr>
          <w:sz w:val="20"/>
          <w:szCs w:val="20"/>
          <w:color w:val="auto"/>
        </w:rPr>
      </w:pPr>
    </w:p>
    <w:p>
      <w:pPr>
        <w:ind w:left="540" w:right="12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9.6</w:t>
      </w:r>
      <w:r>
        <w:rPr>
          <w:sz w:val="20"/>
          <w:szCs w:val="20"/>
          <w:color w:val="auto"/>
        </w:rPr>
        <w:tab/>
      </w:r>
      <w:r>
        <w:rPr>
          <w:rFonts w:ascii="Times New Roman" w:cs="Times New Roman" w:eastAsia="Times New Roman" w:hAnsi="Times New Roman"/>
          <w:sz w:val="15"/>
          <w:szCs w:val="15"/>
          <w:b w:val="1"/>
          <w:bCs w:val="1"/>
          <w:color w:val="auto"/>
        </w:rPr>
        <w:t>Method of Payment</w:t>
      </w:r>
      <w:r>
        <w:rPr>
          <w:rFonts w:ascii="Times New Roman" w:cs="Times New Roman" w:eastAsia="Times New Roman" w:hAnsi="Times New Roman"/>
          <w:sz w:val="15"/>
          <w:szCs w:val="15"/>
          <w:color w:val="auto"/>
        </w:rPr>
        <w:t>. Payments due to XENCOR under this Agreement shall be made by wire transfer in immediately available funds to an account designated by XENCOR, unless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otherwise specified in writing by XENCOR.</w:t>
      </w: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0" w:right="339" w:bottom="1440" w:gutter="0" w:footer="0" w:header="0"/>
        </w:sectPr>
      </w:pPr>
    </w:p>
    <w:bookmarkStart w:id="367" w:name="page368"/>
    <w:bookmarkEnd w:id="367"/>
    <w:p>
      <w:pPr>
        <w:ind w:left="500" w:right="60" w:hanging="526"/>
        <w:spacing w:after="0" w:line="258" w:lineRule="auto"/>
        <w:tabs>
          <w:tab w:leader="none" w:pos="480" w:val="left"/>
        </w:tabs>
        <w:rPr>
          <w:sz w:val="20"/>
          <w:szCs w:val="20"/>
          <w:color w:val="auto"/>
        </w:rPr>
      </w:pPr>
      <w:r>
        <w:rPr>
          <w:rFonts w:ascii="Times New Roman" w:cs="Times New Roman" w:eastAsia="Times New Roman" w:hAnsi="Times New Roman"/>
          <w:sz w:val="15"/>
          <w:szCs w:val="15"/>
          <w:color w:val="auto"/>
        </w:rPr>
        <w:t>9.7</w:t>
      </w:r>
      <w:r>
        <w:rPr>
          <w:sz w:val="20"/>
          <w:szCs w:val="20"/>
          <w:color w:val="auto"/>
        </w:rPr>
        <w:tab/>
      </w:r>
      <w:r>
        <w:rPr>
          <w:rFonts w:ascii="Times New Roman" w:cs="Times New Roman" w:eastAsia="Times New Roman" w:hAnsi="Times New Roman"/>
          <w:sz w:val="15"/>
          <w:szCs w:val="15"/>
          <w:b w:val="1"/>
          <w:bCs w:val="1"/>
          <w:color w:val="auto"/>
        </w:rPr>
        <w:t>Record Keeping</w:t>
      </w:r>
      <w:r>
        <w:rPr>
          <w:rFonts w:ascii="Times New Roman" w:cs="Times New Roman" w:eastAsia="Times New Roman" w:hAnsi="Times New Roman"/>
          <w:sz w:val="15"/>
          <w:szCs w:val="15"/>
          <w:color w:val="auto"/>
        </w:rPr>
        <w:t>. Licensee shall keep and maintain, and shall cause its Affiliates and Sublicensees to keep and maintain, complete and accurate books and records sufficient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support and confirm the calculation of gross invoiced sales, Net Sales, exchange rates and milestone and royalty payments under </w:t>
      </w:r>
      <w:r>
        <w:rPr>
          <w:rFonts w:ascii="Times New Roman" w:cs="Times New Roman" w:eastAsia="Times New Roman" w:hAnsi="Times New Roman"/>
          <w:sz w:val="15"/>
          <w:szCs w:val="15"/>
          <w:u w:val="single" w:color="auto"/>
          <w:color w:val="auto"/>
        </w:rPr>
        <w:t>Sections 9.2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9.3</w:t>
      </w:r>
      <w:r>
        <w:rPr>
          <w:rFonts w:ascii="Times New Roman" w:cs="Times New Roman" w:eastAsia="Times New Roman" w:hAnsi="Times New Roman"/>
          <w:sz w:val="15"/>
          <w:szCs w:val="15"/>
          <w:color w:val="auto"/>
        </w:rPr>
        <w:t xml:space="preserve"> in accordance with Accounting Standard and shall retain such books and records for a period of at least [***] after the end of the Calendar Quarter in which they are generated.</w:t>
      </w:r>
    </w:p>
    <w:p>
      <w:pPr>
        <w:spacing w:after="0" w:line="147" w:lineRule="exact"/>
        <w:rPr>
          <w:sz w:val="20"/>
          <w:szCs w:val="20"/>
          <w:color w:val="auto"/>
        </w:rPr>
      </w:pPr>
    </w:p>
    <w:p>
      <w:pPr>
        <w:ind w:left="500" w:hanging="526"/>
        <w:spacing w:after="0" w:line="267" w:lineRule="auto"/>
        <w:tabs>
          <w:tab w:leader="none" w:pos="480" w:val="left"/>
        </w:tabs>
        <w:rPr>
          <w:sz w:val="20"/>
          <w:szCs w:val="20"/>
          <w:color w:val="auto"/>
        </w:rPr>
      </w:pPr>
      <w:r>
        <w:rPr>
          <w:rFonts w:ascii="Times New Roman" w:cs="Times New Roman" w:eastAsia="Times New Roman" w:hAnsi="Times New Roman"/>
          <w:sz w:val="15"/>
          <w:szCs w:val="15"/>
          <w:color w:val="auto"/>
        </w:rPr>
        <w:t>9.8</w:t>
      </w:r>
      <w:r>
        <w:rPr>
          <w:sz w:val="20"/>
          <w:szCs w:val="20"/>
          <w:color w:val="auto"/>
        </w:rPr>
        <w:tab/>
      </w:r>
      <w:r>
        <w:rPr>
          <w:rFonts w:ascii="Times New Roman" w:cs="Times New Roman" w:eastAsia="Times New Roman" w:hAnsi="Times New Roman"/>
          <w:sz w:val="14"/>
          <w:szCs w:val="14"/>
          <w:b w:val="1"/>
          <w:bCs w:val="1"/>
          <w:color w:val="auto"/>
        </w:rPr>
        <w:t>Audits</w:t>
      </w:r>
      <w:r>
        <w:rPr>
          <w:rFonts w:ascii="Times New Roman" w:cs="Times New Roman" w:eastAsia="Times New Roman" w:hAnsi="Times New Roman"/>
          <w:sz w:val="14"/>
          <w:szCs w:val="14"/>
          <w:color w:val="auto"/>
        </w:rPr>
        <w:t>. Upon [***] prior written notice from XENCOR, Licensee shall permit an independent certified public accounting firm of nationally recognized standing selected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XENCOR and reasonably acceptable to Licensee, to examine, at XENCOR’s sole expense (subject to </w:t>
      </w:r>
      <w:r>
        <w:rPr>
          <w:rFonts w:ascii="Times New Roman" w:cs="Times New Roman" w:eastAsia="Times New Roman" w:hAnsi="Times New Roman"/>
          <w:sz w:val="14"/>
          <w:szCs w:val="14"/>
          <w:u w:val="single" w:color="auto"/>
          <w:color w:val="auto"/>
        </w:rPr>
        <w:t>Section 9.9</w:t>
      </w:r>
      <w:r>
        <w:rPr>
          <w:rFonts w:ascii="Times New Roman" w:cs="Times New Roman" w:eastAsia="Times New Roman" w:hAnsi="Times New Roman"/>
          <w:sz w:val="14"/>
          <w:szCs w:val="14"/>
          <w:color w:val="auto"/>
        </w:rPr>
        <w:t xml:space="preserve">), the relevant financial records of Licensee, its Affiliates or Sublicensees as may be reasonably necessary to verify the accuracy of the royalties and sales milestone payments made by Licensee in accordance with this </w:t>
      </w:r>
      <w:r>
        <w:rPr>
          <w:rFonts w:ascii="Times New Roman" w:cs="Times New Roman" w:eastAsia="Times New Roman" w:hAnsi="Times New Roman"/>
          <w:sz w:val="14"/>
          <w:szCs w:val="14"/>
          <w:u w:val="single" w:color="auto"/>
          <w:color w:val="auto"/>
        </w:rPr>
        <w:t>Article 9</w:t>
      </w:r>
      <w:r>
        <w:rPr>
          <w:rFonts w:ascii="Times New Roman" w:cs="Times New Roman" w:eastAsia="Times New Roman" w:hAnsi="Times New Roman"/>
          <w:sz w:val="14"/>
          <w:szCs w:val="14"/>
          <w:color w:val="auto"/>
        </w:rPr>
        <w:t xml:space="preserve">. XENCOR shall be entitled to conduct an audit in accordance with this </w:t>
      </w:r>
      <w:r>
        <w:rPr>
          <w:rFonts w:ascii="Times New Roman" w:cs="Times New Roman" w:eastAsia="Times New Roman" w:hAnsi="Times New Roman"/>
          <w:sz w:val="14"/>
          <w:szCs w:val="14"/>
          <w:u w:val="single" w:color="auto"/>
          <w:color w:val="auto"/>
        </w:rPr>
        <w:t>Section 9.8</w:t>
      </w:r>
      <w:r>
        <w:rPr>
          <w:rFonts w:ascii="Times New Roman" w:cs="Times New Roman" w:eastAsia="Times New Roman" w:hAnsi="Times New Roman"/>
          <w:sz w:val="14"/>
          <w:szCs w:val="14"/>
          <w:color w:val="auto"/>
        </w:rPr>
        <w:t xml:space="preserve"> [***], except in the case of any subsequent “for cause” audits, and such audit shall be limited to the pertinent financial records from any Calendar Year ending [***]. The notice must identify the period of time subject to inspection. Records from a period of time already subject to an inspection pursuant to this </w:t>
      </w:r>
      <w:r>
        <w:rPr>
          <w:rFonts w:ascii="Times New Roman" w:cs="Times New Roman" w:eastAsia="Times New Roman" w:hAnsi="Times New Roman"/>
          <w:sz w:val="14"/>
          <w:szCs w:val="14"/>
          <w:u w:val="single" w:color="auto"/>
          <w:color w:val="auto"/>
        </w:rPr>
        <w:t>Section 9.8</w:t>
      </w:r>
      <w:r>
        <w:rPr>
          <w:rFonts w:ascii="Times New Roman" w:cs="Times New Roman" w:eastAsia="Times New Roman" w:hAnsi="Times New Roman"/>
          <w:sz w:val="14"/>
          <w:szCs w:val="14"/>
          <w:color w:val="auto"/>
        </w:rPr>
        <w:t xml:space="preserve"> may not be inspected again, except in the case of any subsequent “for cause” audits. The accounting firm shall be provided access to such records at the facility(ies) where such records are normally kept and such audit shall be conducted during normal business hours. Such accountant must have agreed in writing to maintain the confidentiality of all information learned in confidence, except as necessary to disclose any discrepancy to XENCOR. Any information provided by Licensee to the accounting firm and any disclosure of the accounting firm to XENCOR pursuant to the immediately preceding sentence shall be the Confidential Information of Licensee.</w:t>
      </w:r>
    </w:p>
    <w:p>
      <w:pPr>
        <w:spacing w:after="0" w:line="146" w:lineRule="exact"/>
        <w:rPr>
          <w:sz w:val="20"/>
          <w:szCs w:val="20"/>
          <w:color w:val="auto"/>
        </w:rPr>
      </w:pPr>
    </w:p>
    <w:p>
      <w:pPr>
        <w:ind w:left="500" w:right="40" w:hanging="526"/>
        <w:spacing w:after="0" w:line="250" w:lineRule="auto"/>
        <w:tabs>
          <w:tab w:leader="none" w:pos="480" w:val="left"/>
        </w:tabs>
        <w:rPr>
          <w:sz w:val="20"/>
          <w:szCs w:val="20"/>
          <w:color w:val="auto"/>
        </w:rPr>
      </w:pPr>
      <w:r>
        <w:rPr>
          <w:rFonts w:ascii="Times New Roman" w:cs="Times New Roman" w:eastAsia="Times New Roman" w:hAnsi="Times New Roman"/>
          <w:sz w:val="15"/>
          <w:szCs w:val="15"/>
          <w:color w:val="auto"/>
        </w:rPr>
        <w:t>9.9</w:t>
      </w:r>
      <w:r>
        <w:rPr>
          <w:sz w:val="20"/>
          <w:szCs w:val="20"/>
          <w:color w:val="auto"/>
        </w:rPr>
        <w:tab/>
      </w:r>
      <w:r>
        <w:rPr>
          <w:rFonts w:ascii="Times New Roman" w:cs="Times New Roman" w:eastAsia="Times New Roman" w:hAnsi="Times New Roman"/>
          <w:sz w:val="15"/>
          <w:szCs w:val="15"/>
          <w:b w:val="1"/>
          <w:bCs w:val="1"/>
          <w:color w:val="auto"/>
        </w:rPr>
        <w:t>Underpayments/Overpayments</w:t>
      </w:r>
      <w:r>
        <w:rPr>
          <w:rFonts w:ascii="Times New Roman" w:cs="Times New Roman" w:eastAsia="Times New Roman" w:hAnsi="Times New Roman"/>
          <w:sz w:val="15"/>
          <w:szCs w:val="15"/>
          <w:color w:val="auto"/>
        </w:rPr>
        <w:t>. If a report of an independent public accounting firm submitted to XENCOR and Licensee in accordance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9.8</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shows any underpayment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of royalties or milestone payments due under this </w:t>
      </w:r>
      <w:r>
        <w:rPr>
          <w:rFonts w:ascii="Times New Roman" w:cs="Times New Roman" w:eastAsia="Times New Roman" w:hAnsi="Times New Roman"/>
          <w:sz w:val="15"/>
          <w:szCs w:val="15"/>
          <w:u w:val="single" w:color="auto"/>
          <w:color w:val="auto"/>
        </w:rPr>
        <w:t>Article 9</w:t>
      </w:r>
      <w:r>
        <w:rPr>
          <w:rFonts w:ascii="Times New Roman" w:cs="Times New Roman" w:eastAsia="Times New Roman" w:hAnsi="Times New Roman"/>
          <w:sz w:val="15"/>
          <w:szCs w:val="15"/>
          <w:color w:val="auto"/>
        </w:rPr>
        <w:t xml:space="preserve">, Licensee shall remit to XENCOR within [***] after receipt of such report by Licensee: (a) the amount of such underpayment and (b) if such underpayment exceeds [***] of the total amount owed to XENCOR for the Calendar Year then being audited, the reasonable fees and expenses of such independent public accounting firm performing the audit, subject to reasonable substantiation thereof. If such independent public accounting firm’s written report shows any overpayment of royalties and milestone payments due under this </w:t>
      </w:r>
      <w:r>
        <w:rPr>
          <w:rFonts w:ascii="Times New Roman" w:cs="Times New Roman" w:eastAsia="Times New Roman" w:hAnsi="Times New Roman"/>
          <w:sz w:val="15"/>
          <w:szCs w:val="15"/>
          <w:u w:val="single" w:color="auto"/>
          <w:color w:val="auto"/>
        </w:rPr>
        <w:t>Article 9</w:t>
      </w:r>
      <w:r>
        <w:rPr>
          <w:rFonts w:ascii="Times New Roman" w:cs="Times New Roman" w:eastAsia="Times New Roman" w:hAnsi="Times New Roman"/>
          <w:sz w:val="15"/>
          <w:szCs w:val="15"/>
          <w:color w:val="auto"/>
        </w:rPr>
        <w:t xml:space="preserve">, XENCOR shall, at Licensee’s sole option, either pay Licensee the amount of such overpayment or provide Licensee with a credit equal to such overpayment, against the royalties payments due under this </w:t>
      </w:r>
      <w:r>
        <w:rPr>
          <w:rFonts w:ascii="Times New Roman" w:cs="Times New Roman" w:eastAsia="Times New Roman" w:hAnsi="Times New Roman"/>
          <w:sz w:val="15"/>
          <w:szCs w:val="15"/>
          <w:u w:val="single" w:color="auto"/>
          <w:color w:val="auto"/>
        </w:rPr>
        <w:t>Article 9</w:t>
      </w:r>
      <w:r>
        <w:rPr>
          <w:rFonts w:ascii="Times New Roman" w:cs="Times New Roman" w:eastAsia="Times New Roman" w:hAnsi="Times New Roman"/>
          <w:sz w:val="15"/>
          <w:szCs w:val="15"/>
          <w:color w:val="auto"/>
        </w:rPr>
        <w:t xml:space="preserve"> otherwise payable to XENCOR.</w:t>
      </w:r>
    </w:p>
    <w:p>
      <w:pPr>
        <w:spacing w:after="0" w:line="152" w:lineRule="exact"/>
        <w:rPr>
          <w:sz w:val="20"/>
          <w:szCs w:val="20"/>
          <w:color w:val="auto"/>
        </w:rPr>
      </w:pPr>
    </w:p>
    <w:p>
      <w:pPr>
        <w:ind w:left="500" w:right="40" w:hanging="526"/>
        <w:spacing w:after="0" w:line="251" w:lineRule="auto"/>
        <w:tabs>
          <w:tab w:leader="none" w:pos="480" w:val="left"/>
        </w:tabs>
        <w:rPr>
          <w:sz w:val="20"/>
          <w:szCs w:val="20"/>
          <w:color w:val="auto"/>
        </w:rPr>
      </w:pPr>
      <w:r>
        <w:rPr>
          <w:rFonts w:ascii="Times New Roman" w:cs="Times New Roman" w:eastAsia="Times New Roman" w:hAnsi="Times New Roman"/>
          <w:sz w:val="15"/>
          <w:szCs w:val="15"/>
          <w:color w:val="auto"/>
        </w:rPr>
        <w:t>9.10</w:t>
      </w:r>
      <w:r>
        <w:rPr>
          <w:sz w:val="20"/>
          <w:szCs w:val="20"/>
          <w:color w:val="auto"/>
        </w:rPr>
        <w:tab/>
      </w:r>
      <w:r>
        <w:rPr>
          <w:rFonts w:ascii="Times New Roman" w:cs="Times New Roman" w:eastAsia="Times New Roman" w:hAnsi="Times New Roman"/>
          <w:sz w:val="15"/>
          <w:szCs w:val="15"/>
          <w:b w:val="1"/>
          <w:bCs w:val="1"/>
          <w:color w:val="auto"/>
        </w:rPr>
        <w:t>Interest</w:t>
      </w:r>
      <w:r>
        <w:rPr>
          <w:rFonts w:ascii="Times New Roman" w:cs="Times New Roman" w:eastAsia="Times New Roman" w:hAnsi="Times New Roman"/>
          <w:sz w:val="15"/>
          <w:szCs w:val="15"/>
          <w:color w:val="auto"/>
        </w:rPr>
        <w:t>. Licensee shall pay interest on any amounts overdue under this Agreement at a per annum rate of [***] above the average of the prime rate as published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The Wall Street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Journal</w:t>
      </w:r>
      <w:r>
        <w:rPr>
          <w:rFonts w:ascii="Times New Roman" w:cs="Times New Roman" w:eastAsia="Times New Roman" w:hAnsi="Times New Roman"/>
          <w:sz w:val="15"/>
          <w:szCs w:val="15"/>
          <w:color w:val="auto"/>
        </w:rPr>
        <w:t>, Western U.S. Edition, or any successor thereto during the [***] immediately preceding the due date of such overdue payment;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that in no event shall such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rate exceed the maximum legal annual interest rate. Royalties and other payments required to be paid by Licensee pursuant to this Agreement shall, if overdue, bear interest from the day the original payment was due until the day that the payment was received by XENCOR. The payment of such interest shall not foreclose XENCOR from exercising any other rights it may have because any payment is overdue.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11430</wp:posOffset>
            </wp:positionV>
            <wp:extent cx="7157720" cy="69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180"/>
          </w:cols>
          <w:pgMar w:left="340" w:top="760" w:right="379" w:bottom="1440" w:gutter="0" w:footer="0" w:header="0"/>
        </w:sectPr>
      </w:pPr>
    </w:p>
    <w:bookmarkStart w:id="368" w:name="page369"/>
    <w:bookmarkEnd w:id="368"/>
    <w:p>
      <w:pPr>
        <w:ind w:left="540" w:hanging="532"/>
        <w:spacing w:after="0"/>
        <w:tabs>
          <w:tab w:leader="none" w:pos="540" w:val="left"/>
        </w:tabs>
        <w:numPr>
          <w:ilvl w:val="0"/>
          <w:numId w:val="21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Covenants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10.1</w:t>
      </w:r>
      <w:r>
        <w:rPr>
          <w:sz w:val="20"/>
          <w:szCs w:val="20"/>
          <w:color w:val="auto"/>
        </w:rPr>
        <w:tab/>
      </w:r>
      <w:r>
        <w:rPr>
          <w:rFonts w:ascii="Times New Roman" w:cs="Times New Roman" w:eastAsia="Times New Roman" w:hAnsi="Times New Roman"/>
          <w:sz w:val="14"/>
          <w:szCs w:val="14"/>
          <w:b w:val="1"/>
          <w:bCs w:val="1"/>
          <w:color w:val="auto"/>
        </w:rPr>
        <w:t>Confidentiality</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60" w:hanging="526"/>
        <w:spacing w:after="0" w:line="248" w:lineRule="auto"/>
        <w:tabs>
          <w:tab w:leader="none" w:pos="1040" w:val="left"/>
        </w:tabs>
        <w:rPr>
          <w:sz w:val="20"/>
          <w:szCs w:val="20"/>
          <w:color w:val="auto"/>
        </w:rPr>
      </w:pPr>
      <w:r>
        <w:rPr>
          <w:rFonts w:ascii="Times New Roman" w:cs="Times New Roman" w:eastAsia="Times New Roman" w:hAnsi="Times New Roman"/>
          <w:sz w:val="15"/>
          <w:szCs w:val="15"/>
          <w:color w:val="auto"/>
        </w:rPr>
        <w:t>10.1.1</w:t>
      </w:r>
      <w:r>
        <w:rPr>
          <w:sz w:val="20"/>
          <w:szCs w:val="20"/>
          <w:color w:val="auto"/>
        </w:rPr>
        <w:tab/>
      </w:r>
      <w:r>
        <w:rPr>
          <w:rFonts w:ascii="Times New Roman" w:cs="Times New Roman" w:eastAsia="Times New Roman" w:hAnsi="Times New Roman"/>
          <w:sz w:val="15"/>
          <w:szCs w:val="15"/>
          <w:b w:val="1"/>
          <w:bCs w:val="1"/>
          <w:color w:val="auto"/>
        </w:rPr>
        <w:t>Confidential Information</w:t>
      </w:r>
      <w:r>
        <w:rPr>
          <w:rFonts w:ascii="Times New Roman" w:cs="Times New Roman" w:eastAsia="Times New Roman" w:hAnsi="Times New Roman"/>
          <w:sz w:val="15"/>
          <w:szCs w:val="15"/>
          <w:color w:val="auto"/>
        </w:rPr>
        <w:t>. Except to the extent expressly permitted by this Agreement, and subject to the provisions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Sections 10.1.2</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10.1.3</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12.10</w:t>
      </w:r>
      <w:r>
        <w:rPr>
          <w:rFonts w:ascii="Times New Roman" w:cs="Times New Roman" w:eastAsia="Times New Roman" w:hAnsi="Times New Roman"/>
          <w:sz w:val="15"/>
          <w:szCs w:val="15"/>
          <w:color w:val="auto"/>
        </w:rPr>
        <w:t>, during the License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 and for a period of [***] thereafter, a Party receiving any Confidential Information hereunder (the “</w:t>
      </w:r>
      <w:r>
        <w:rPr>
          <w:rFonts w:ascii="Times New Roman" w:cs="Times New Roman" w:eastAsia="Times New Roman" w:hAnsi="Times New Roman"/>
          <w:sz w:val="15"/>
          <w:szCs w:val="15"/>
          <w:u w:val="single" w:color="auto"/>
          <w:color w:val="auto"/>
        </w:rPr>
        <w:t>Receiving Party</w:t>
      </w:r>
      <w:r>
        <w:rPr>
          <w:rFonts w:ascii="Times New Roman" w:cs="Times New Roman" w:eastAsia="Times New Roman" w:hAnsi="Times New Roman"/>
          <w:sz w:val="15"/>
          <w:szCs w:val="15"/>
          <w:color w:val="auto"/>
        </w:rPr>
        <w:t>”) (a) shall maintain in confidence all Confidential Information of the disclosing Party (the “</w:t>
      </w:r>
      <w:r>
        <w:rPr>
          <w:rFonts w:ascii="Times New Roman" w:cs="Times New Roman" w:eastAsia="Times New Roman" w:hAnsi="Times New Roman"/>
          <w:sz w:val="15"/>
          <w:szCs w:val="15"/>
          <w:u w:val="single" w:color="auto"/>
          <w:color w:val="auto"/>
        </w:rPr>
        <w:t>Disclosing Party</w:t>
      </w:r>
      <w:r>
        <w:rPr>
          <w:rFonts w:ascii="Times New Roman" w:cs="Times New Roman" w:eastAsia="Times New Roman" w:hAnsi="Times New Roman"/>
          <w:sz w:val="15"/>
          <w:szCs w:val="15"/>
          <w:color w:val="auto"/>
        </w:rPr>
        <w:t>”) to the same extent such Receiving Party maintains its own proprietary information of similar kind and value, and, in any event, using no less than a reasonable standard of care; (b) shall not use such Confidential Information directly or indirectly for any purpose except to exercise its rights or perform its obligations hereunder; and (c) shall not publish or otherwise disclose any such Confidential Information to anyone other than the Receiving Party’s Affiliates or actual collaborators (including sublicensees or subcontractors), and its and their employees, consultants, advisors, partners, or representatives who have a need to know such information (collectively, “</w:t>
      </w:r>
      <w:r>
        <w:rPr>
          <w:rFonts w:ascii="Times New Roman" w:cs="Times New Roman" w:eastAsia="Times New Roman" w:hAnsi="Times New Roman"/>
          <w:sz w:val="15"/>
          <w:szCs w:val="15"/>
          <w:u w:val="single" w:color="auto"/>
          <w:color w:val="auto"/>
        </w:rPr>
        <w:t>Recipients</w:t>
      </w:r>
      <w:r>
        <w:rPr>
          <w:rFonts w:ascii="Times New Roman" w:cs="Times New Roman" w:eastAsia="Times New Roman" w:hAnsi="Times New Roman"/>
          <w:sz w:val="15"/>
          <w:szCs w:val="15"/>
          <w:color w:val="auto"/>
        </w:rPr>
        <w:t xml:space="preserve">”) to perform the Receiving Party’s obligations or exercising its rights hereunder and who are bound by written confidentiality obligations no less stringent than those set forth in this </w:t>
      </w:r>
      <w:r>
        <w:rPr>
          <w:rFonts w:ascii="Times New Roman" w:cs="Times New Roman" w:eastAsia="Times New Roman" w:hAnsi="Times New Roman"/>
          <w:sz w:val="15"/>
          <w:szCs w:val="15"/>
          <w:u w:val="single" w:color="auto"/>
          <w:color w:val="auto"/>
        </w:rPr>
        <w:t>Section 10.1</w:t>
      </w:r>
      <w:r>
        <w:rPr>
          <w:rFonts w:ascii="Times New Roman" w:cs="Times New Roman" w:eastAsia="Times New Roman" w:hAnsi="Times New Roman"/>
          <w:sz w:val="15"/>
          <w:szCs w:val="15"/>
          <w:color w:val="auto"/>
        </w:rPr>
        <w:t>. The Receiving Party shall be liable for any breach by any of its Recipients of the restrictions set forth in this Agreement.</w:t>
      </w:r>
    </w:p>
    <w:p>
      <w:pPr>
        <w:spacing w:after="0" w:line="154"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10.1.2</w:t>
      </w:r>
      <w:r>
        <w:rPr>
          <w:sz w:val="20"/>
          <w:szCs w:val="20"/>
          <w:color w:val="auto"/>
        </w:rPr>
        <w:tab/>
      </w:r>
      <w:r>
        <w:rPr>
          <w:rFonts w:ascii="Times New Roman" w:cs="Times New Roman" w:eastAsia="Times New Roman" w:hAnsi="Times New Roman"/>
          <w:sz w:val="14"/>
          <w:szCs w:val="14"/>
          <w:b w:val="1"/>
          <w:bCs w:val="1"/>
          <w:color w:val="auto"/>
        </w:rPr>
        <w:t>Exceptions to Confidentiality</w:t>
      </w:r>
      <w:r>
        <w:rPr>
          <w:rFonts w:ascii="Times New Roman" w:cs="Times New Roman" w:eastAsia="Times New Roman" w:hAnsi="Times New Roman"/>
          <w:sz w:val="14"/>
          <w:szCs w:val="14"/>
          <w:color w:val="auto"/>
        </w:rPr>
        <w:t>. The Receiving Party’s obligations set forth in this Agreement shall not extend to any Confidential Information of the Disclosing Party:</w:t>
      </w:r>
    </w:p>
    <w:p>
      <w:pPr>
        <w:spacing w:after="0" w:line="181" w:lineRule="exact"/>
        <w:rPr>
          <w:sz w:val="20"/>
          <w:szCs w:val="20"/>
          <w:color w:val="auto"/>
        </w:rPr>
      </w:pPr>
    </w:p>
    <w:p>
      <w:pPr>
        <w:ind w:left="1600" w:hanging="537"/>
        <w:spacing w:after="0"/>
        <w:tabs>
          <w:tab w:leader="none" w:pos="1600"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is or hereafter becomes part of the public domain through no wrongful act, fault or negligence on the part of a Receiving Party or its Recipients;</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is received from a Third Party without restriction and without breach of any agreement or fiduciary duty between such Third Party and the Disclosing Party;</w:t>
      </w:r>
    </w:p>
    <w:p>
      <w:pPr>
        <w:spacing w:after="0" w:line="179" w:lineRule="exact"/>
        <w:rPr>
          <w:rFonts w:ascii="Times New Roman" w:cs="Times New Roman" w:eastAsia="Times New Roman" w:hAnsi="Times New Roman"/>
          <w:sz w:val="15"/>
          <w:szCs w:val="15"/>
          <w:color w:val="auto"/>
        </w:rPr>
      </w:pPr>
    </w:p>
    <w:p>
      <w:pPr>
        <w:ind w:left="1600" w:right="180" w:hanging="537"/>
        <w:spacing w:after="0" w:line="269" w:lineRule="auto"/>
        <w:tabs>
          <w:tab w:leader="none" w:pos="1600"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Receiving Party can demonstrate by competent evidence was already in its possession without any limitation or restriction on use or disclosure prior to its receipt from the Disclosing Party; or</w:t>
      </w:r>
    </w:p>
    <w:p>
      <w:pPr>
        <w:spacing w:after="0" w:line="140" w:lineRule="exact"/>
        <w:rPr>
          <w:rFonts w:ascii="Times New Roman" w:cs="Times New Roman" w:eastAsia="Times New Roman" w:hAnsi="Times New Roman"/>
          <w:sz w:val="15"/>
          <w:szCs w:val="15"/>
          <w:color w:val="auto"/>
        </w:rPr>
      </w:pPr>
    </w:p>
    <w:p>
      <w:pPr>
        <w:ind w:left="1600" w:right="720" w:hanging="537"/>
        <w:spacing w:after="0" w:line="269" w:lineRule="auto"/>
        <w:tabs>
          <w:tab w:leader="none" w:pos="1600"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Receiving Party can demonstrate by competent evidence was independently developed by the Receiving Party without any use of or reference to Confidential Information.</w:t>
      </w:r>
    </w:p>
    <w:p>
      <w:pPr>
        <w:spacing w:after="0" w:line="139"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10.1.3</w:t>
      </w:r>
      <w:r>
        <w:rPr>
          <w:sz w:val="20"/>
          <w:szCs w:val="20"/>
          <w:color w:val="auto"/>
        </w:rPr>
        <w:tab/>
      </w:r>
      <w:r>
        <w:rPr>
          <w:rFonts w:ascii="Times New Roman" w:cs="Times New Roman" w:eastAsia="Times New Roman" w:hAnsi="Times New Roman"/>
          <w:sz w:val="14"/>
          <w:szCs w:val="14"/>
          <w:b w:val="1"/>
          <w:bCs w:val="1"/>
          <w:color w:val="auto"/>
        </w:rPr>
        <w:t>Authorized Disclosure</w:t>
      </w:r>
      <w:r>
        <w:rPr>
          <w:rFonts w:ascii="Times New Roman" w:cs="Times New Roman" w:eastAsia="Times New Roman" w:hAnsi="Times New Roman"/>
          <w:sz w:val="14"/>
          <w:szCs w:val="14"/>
          <w:color w:val="auto"/>
        </w:rPr>
        <w:t>. Notwithstanding the provisions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10.1.1</w:t>
      </w:r>
      <w:r>
        <w:rPr>
          <w:rFonts w:ascii="Times New Roman" w:cs="Times New Roman" w:eastAsia="Times New Roman" w:hAnsi="Times New Roman"/>
          <w:sz w:val="14"/>
          <w:szCs w:val="14"/>
          <w:color w:val="auto"/>
        </w:rPr>
        <w:t>, the Receiving Party and its Recipients may disclose Confidential Information belonging to the</w:t>
      </w:r>
    </w:p>
    <w:p>
      <w:pPr>
        <w:spacing w:after="0" w:line="2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Disclosing Party to the extent that such disclosure is reasonably necessary:</w:t>
      </w:r>
    </w:p>
    <w:p>
      <w:pPr>
        <w:spacing w:after="0" w:line="164" w:lineRule="exact"/>
        <w:rPr>
          <w:sz w:val="20"/>
          <w:szCs w:val="20"/>
          <w:color w:val="auto"/>
        </w:rPr>
      </w:pPr>
    </w:p>
    <w:p>
      <w:pPr>
        <w:ind w:left="1600" w:right="240" w:hanging="537"/>
        <w:spacing w:after="0" w:line="269" w:lineRule="auto"/>
        <w:tabs>
          <w:tab w:leader="none" w:pos="160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applicable governmental laws, court orders, and regulations (including Applicable Law or any rule or regulation or the requirements of a national securities exchange or another similar regulatory body);</w:t>
      </w:r>
    </w:p>
    <w:p>
      <w:pPr>
        <w:spacing w:after="0" w:line="140" w:lineRule="exact"/>
        <w:rPr>
          <w:rFonts w:ascii="Times New Roman" w:cs="Times New Roman" w:eastAsia="Times New Roman" w:hAnsi="Times New Roman"/>
          <w:sz w:val="15"/>
          <w:szCs w:val="15"/>
          <w:color w:val="auto"/>
        </w:rPr>
      </w:pPr>
    </w:p>
    <w:p>
      <w:pPr>
        <w:ind w:left="1600" w:right="80" w:hanging="537"/>
        <w:spacing w:after="0" w:line="269" w:lineRule="auto"/>
        <w:tabs>
          <w:tab w:leader="none" w:pos="160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filings and submissions to, or correspond or communicate with, any Government Authority (including the NMPA, the CNIPA and other similar offices of a Government Authority); or</w:t>
      </w:r>
    </w:p>
    <w:p>
      <w:pPr>
        <w:spacing w:after="0" w:line="140" w:lineRule="exact"/>
        <w:rPr>
          <w:rFonts w:ascii="Times New Roman" w:cs="Times New Roman" w:eastAsia="Times New Roman" w:hAnsi="Times New Roman"/>
          <w:sz w:val="15"/>
          <w:szCs w:val="15"/>
          <w:color w:val="auto"/>
        </w:rPr>
      </w:pPr>
    </w:p>
    <w:p>
      <w:pPr>
        <w:ind w:left="1600" w:right="140" w:hanging="537"/>
        <w:spacing w:after="0" w:line="269" w:lineRule="auto"/>
        <w:tabs>
          <w:tab w:leader="none" w:pos="160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potential or actual investment bankers, investors, lenders, or acquirers, who have a need to know such information and who are bound by written confidentiality obligations no less stringent than those set forth in this </w:t>
      </w:r>
      <w:r>
        <w:rPr>
          <w:rFonts w:ascii="Times New Roman" w:cs="Times New Roman" w:eastAsia="Times New Roman" w:hAnsi="Times New Roman"/>
          <w:sz w:val="15"/>
          <w:szCs w:val="15"/>
          <w:u w:val="single" w:color="auto"/>
          <w:color w:val="auto"/>
        </w:rPr>
        <w:t>Section 10.1</w:t>
      </w:r>
      <w:r>
        <w:rPr>
          <w:rFonts w:ascii="Times New Roman" w:cs="Times New Roman" w:eastAsia="Times New Roman" w:hAnsi="Times New Roman"/>
          <w:sz w:val="15"/>
          <w:szCs w:val="15"/>
          <w:color w:val="auto"/>
        </w:rPr>
        <w:t>.</w:t>
      </w: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0" w:right="339" w:bottom="1440" w:gutter="0" w:footer="0" w:header="0"/>
        </w:sectPr>
      </w:pPr>
    </w:p>
    <w:bookmarkStart w:id="369" w:name="page370"/>
    <w:bookmarkEnd w:id="369"/>
    <w:p>
      <w:pPr>
        <w:ind w:left="520" w:right="20"/>
        <w:spacing w:after="0" w:line="248" w:lineRule="auto"/>
        <w:rPr>
          <w:sz w:val="20"/>
          <w:szCs w:val="20"/>
          <w:color w:val="auto"/>
        </w:rPr>
      </w:pPr>
      <w:r>
        <w:rPr>
          <w:rFonts w:ascii="Times New Roman" w:cs="Times New Roman" w:eastAsia="Times New Roman" w:hAnsi="Times New Roman"/>
          <w:sz w:val="15"/>
          <w:szCs w:val="15"/>
          <w:color w:val="auto"/>
        </w:rPr>
        <w:t xml:space="preserve">In the event that the Receiving Party or its Recipients, as applicable, deem it reasonably necessary to disclose Confidential Information belonging to the Disclosing Party pursuant to this </w:t>
      </w:r>
      <w:r>
        <w:rPr>
          <w:rFonts w:ascii="Times New Roman" w:cs="Times New Roman" w:eastAsia="Times New Roman" w:hAnsi="Times New Roman"/>
          <w:sz w:val="15"/>
          <w:szCs w:val="15"/>
          <w:u w:val="single" w:color="auto"/>
          <w:color w:val="auto"/>
        </w:rPr>
        <w:t>Section 10.1.3</w:t>
      </w:r>
      <w:r>
        <w:rPr>
          <w:rFonts w:ascii="Times New Roman" w:cs="Times New Roman" w:eastAsia="Times New Roman" w:hAnsi="Times New Roman"/>
          <w:sz w:val="15"/>
          <w:szCs w:val="15"/>
          <w:color w:val="auto"/>
        </w:rPr>
        <w:t xml:space="preserve">, the Receiving Party shall, (i) to the extent possible, provide the Disclosing Party with reasonable advance notice of such disclosure and take reasonable measures to ensure confidential treatment of such information, including by allowing the Disclosing Party to review and, if permitted under Applicable Laws, regulations and court orders, make redactions to any such disclosure; and (ii) only disclose such Confidential Information to the extent of such necessity or requirements, and no such disclosure shall cause any such information to cease to be Confidential Information hereunder, except to the extent such disclosure results in a public disclosure of such information. In addition, the Receiving Party may disclose Confidential Information belonging to the Disclosing Party to any Third Party who is performing diligence in connection with a transaction with the Receiving Party (including potential Sublicensees and licensees),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each such Third Party has signed a written confidentiality agreement with the Receiving Party relating to such Confidential Information no less strict than the terms of this </w:t>
      </w:r>
      <w:r>
        <w:rPr>
          <w:rFonts w:ascii="Times New Roman" w:cs="Times New Roman" w:eastAsia="Times New Roman" w:hAnsi="Times New Roman"/>
          <w:sz w:val="15"/>
          <w:szCs w:val="15"/>
          <w:u w:val="single" w:color="auto"/>
          <w:color w:val="auto"/>
        </w:rPr>
        <w:t>Section 10.1</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20" w:right="240" w:hanging="526"/>
        <w:spacing w:after="0" w:line="272" w:lineRule="auto"/>
        <w:tabs>
          <w:tab w:leader="none" w:pos="500" w:val="left"/>
        </w:tabs>
        <w:rPr>
          <w:sz w:val="20"/>
          <w:szCs w:val="20"/>
          <w:color w:val="auto"/>
        </w:rPr>
      </w:pPr>
      <w:r>
        <w:rPr>
          <w:rFonts w:ascii="Times New Roman" w:cs="Times New Roman" w:eastAsia="Times New Roman" w:hAnsi="Times New Roman"/>
          <w:sz w:val="15"/>
          <w:szCs w:val="15"/>
          <w:color w:val="auto"/>
        </w:rPr>
        <w:t>10.1.4</w:t>
      </w:r>
      <w:r>
        <w:rPr>
          <w:sz w:val="20"/>
          <w:szCs w:val="20"/>
          <w:color w:val="auto"/>
        </w:rPr>
        <w:tab/>
      </w:r>
      <w:r>
        <w:rPr>
          <w:rFonts w:ascii="Times New Roman" w:cs="Times New Roman" w:eastAsia="Times New Roman" w:hAnsi="Times New Roman"/>
          <w:sz w:val="15"/>
          <w:szCs w:val="15"/>
          <w:b w:val="1"/>
          <w:bCs w:val="1"/>
          <w:color w:val="auto"/>
        </w:rPr>
        <w:t>Notification</w:t>
      </w:r>
      <w:r>
        <w:rPr>
          <w:rFonts w:ascii="Times New Roman" w:cs="Times New Roman" w:eastAsia="Times New Roman" w:hAnsi="Times New Roman"/>
          <w:sz w:val="15"/>
          <w:szCs w:val="15"/>
          <w:color w:val="auto"/>
        </w:rPr>
        <w:t>. The Receiving Party shall notify the Disclosing Party immediately, and cooperate with the Disclosing Party as the Disclosing Party may reasonably request,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upon the Receiving Party’s discovery of any loss or compromise of the Disclosing Party’s Confidential Information.</w:t>
      </w:r>
    </w:p>
    <w:p>
      <w:pPr>
        <w:spacing w:after="0" w:line="136" w:lineRule="exact"/>
        <w:rPr>
          <w:sz w:val="20"/>
          <w:szCs w:val="20"/>
          <w:color w:val="auto"/>
        </w:rPr>
      </w:pPr>
    </w:p>
    <w:p>
      <w:pPr>
        <w:ind w:left="520" w:hanging="526"/>
        <w:spacing w:after="0" w:line="248" w:lineRule="auto"/>
        <w:tabs>
          <w:tab w:leader="none" w:pos="500" w:val="left"/>
        </w:tabs>
        <w:rPr>
          <w:sz w:val="20"/>
          <w:szCs w:val="20"/>
          <w:color w:val="auto"/>
        </w:rPr>
      </w:pPr>
      <w:r>
        <w:rPr>
          <w:rFonts w:ascii="Times New Roman" w:cs="Times New Roman" w:eastAsia="Times New Roman" w:hAnsi="Times New Roman"/>
          <w:sz w:val="15"/>
          <w:szCs w:val="15"/>
          <w:color w:val="auto"/>
        </w:rPr>
        <w:t>10.1.5</w:t>
      </w:r>
      <w:r>
        <w:rPr>
          <w:sz w:val="20"/>
          <w:szCs w:val="20"/>
          <w:color w:val="auto"/>
        </w:rPr>
        <w:tab/>
      </w:r>
      <w:r>
        <w:rPr>
          <w:rFonts w:ascii="Times New Roman" w:cs="Times New Roman" w:eastAsia="Times New Roman" w:hAnsi="Times New Roman"/>
          <w:sz w:val="15"/>
          <w:szCs w:val="15"/>
          <w:b w:val="1"/>
          <w:bCs w:val="1"/>
          <w:color w:val="auto"/>
        </w:rPr>
        <w:t>Destruction of Confidential Information</w:t>
      </w:r>
      <w:r>
        <w:rPr>
          <w:rFonts w:ascii="Times New Roman" w:cs="Times New Roman" w:eastAsia="Times New Roman" w:hAnsi="Times New Roman"/>
          <w:sz w:val="15"/>
          <w:szCs w:val="15"/>
          <w:color w:val="auto"/>
        </w:rPr>
        <w:t>. Upon the earlier termination of this Agreement, the Receiving Party shall (a) return or destroy, at the Disclosing Party’s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discretion, all tangible embodiments of Confidential Information of the Disclosing Party, including any and all copies thereof, and those portions of any documents, memoranda, notes, studies and analyses prepared by the Receiving Party or its Recipients that contain, incorporate or are derived from such Confidential Information and provide written certification of such destruction to the Disclosing Party in a form reasonably acceptable to the Disclosing Party; and (b) immediately cease, and shall cause its Recipients to cease, using such Confidential Information, as well as any information or materials that contain, incorporate or are derived from such Confidential Information. Notwithstanding the foregoing, the Receiving Party may retain one copy of the Disclosing Party’s Confidential Information for archive and regulatory compliance purposes, subject to any applicable continuing obligations of confidentiality and non-use as provided herein. This </w:t>
      </w:r>
      <w:r>
        <w:rPr>
          <w:rFonts w:ascii="Times New Roman" w:cs="Times New Roman" w:eastAsia="Times New Roman" w:hAnsi="Times New Roman"/>
          <w:sz w:val="15"/>
          <w:szCs w:val="15"/>
          <w:u w:val="single" w:color="auto"/>
          <w:color w:val="auto"/>
        </w:rPr>
        <w:t>Section 10.1.5</w:t>
      </w:r>
      <w:r>
        <w:rPr>
          <w:rFonts w:ascii="Times New Roman" w:cs="Times New Roman" w:eastAsia="Times New Roman" w:hAnsi="Times New Roman"/>
          <w:sz w:val="15"/>
          <w:szCs w:val="15"/>
          <w:color w:val="auto"/>
        </w:rPr>
        <w:t xml:space="preserve"> shall not apply with respect to any Confidential Information that is necessary for a Party to exercise its rights or obligation under any terms that survive termination of this Agreement.</w:t>
      </w:r>
    </w:p>
    <w:p>
      <w:pPr>
        <w:spacing w:after="0" w:line="156" w:lineRule="exact"/>
        <w:rPr>
          <w:sz w:val="20"/>
          <w:szCs w:val="20"/>
          <w:color w:val="auto"/>
        </w:rPr>
      </w:pPr>
    </w:p>
    <w:p>
      <w:pPr>
        <w:ind w:left="520" w:hanging="526"/>
        <w:spacing w:after="0" w:line="268" w:lineRule="auto"/>
        <w:tabs>
          <w:tab w:leader="none" w:pos="500" w:val="left"/>
        </w:tabs>
        <w:rPr>
          <w:sz w:val="20"/>
          <w:szCs w:val="20"/>
          <w:color w:val="auto"/>
        </w:rPr>
      </w:pPr>
      <w:r>
        <w:rPr>
          <w:rFonts w:ascii="Times New Roman" w:cs="Times New Roman" w:eastAsia="Times New Roman" w:hAnsi="Times New Roman"/>
          <w:sz w:val="15"/>
          <w:szCs w:val="15"/>
          <w:color w:val="auto"/>
        </w:rPr>
        <w:t>10.1.6</w:t>
      </w:r>
      <w:r>
        <w:rPr>
          <w:sz w:val="20"/>
          <w:szCs w:val="20"/>
          <w:color w:val="auto"/>
        </w:rPr>
        <w:tab/>
      </w:r>
      <w:r>
        <w:rPr>
          <w:rFonts w:ascii="Times New Roman" w:cs="Times New Roman" w:eastAsia="Times New Roman" w:hAnsi="Times New Roman"/>
          <w:sz w:val="14"/>
          <w:szCs w:val="14"/>
          <w:b w:val="1"/>
          <w:bCs w:val="1"/>
          <w:color w:val="auto"/>
        </w:rPr>
        <w:t>Use of Name and Disclosure of Terms</w:t>
      </w:r>
      <w:r>
        <w:rPr>
          <w:rFonts w:ascii="Times New Roman" w:cs="Times New Roman" w:eastAsia="Times New Roman" w:hAnsi="Times New Roman"/>
          <w:sz w:val="14"/>
          <w:szCs w:val="14"/>
          <w:color w:val="auto"/>
        </w:rPr>
        <w:t>. Promptly after the Effective Date, the Parties shall issue a joint press release in the form mutually agreed by the Parties.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foregoing, each Party shall keep the existence of, the terms of and the transactions covered by this Agreement confidential and shall not disclose such information to any Third Party through a press release or otherwise, or mention or otherwise use the name, insignia, symbol, trademark, trade name or logotype of the other Party or its Affiliates in any manner without the prior written consent of the other Party in each instance (which shall not be unreasonably withheld). The restrictions imposed by this</w:t>
      </w:r>
    </w:p>
    <w:p>
      <w:pPr>
        <w:spacing w:after="0" w:line="1" w:lineRule="exact"/>
        <w:rPr>
          <w:sz w:val="20"/>
          <w:szCs w:val="20"/>
          <w:color w:val="auto"/>
        </w:rPr>
      </w:pPr>
    </w:p>
    <w:p>
      <w:pPr>
        <w:ind w:left="520" w:right="20"/>
        <w:spacing w:after="0" w:line="245" w:lineRule="auto"/>
        <w:rPr>
          <w:sz w:val="20"/>
          <w:szCs w:val="20"/>
          <w:color w:val="auto"/>
        </w:rPr>
      </w:pPr>
      <w:r>
        <w:rPr>
          <w:rFonts w:ascii="Times New Roman" w:cs="Times New Roman" w:eastAsia="Times New Roman" w:hAnsi="Times New Roman"/>
          <w:sz w:val="15"/>
          <w:szCs w:val="15"/>
          <w:u w:val="single" w:color="auto"/>
          <w:color w:val="auto"/>
        </w:rPr>
        <w:t>Section 10.1.6</w:t>
      </w:r>
      <w:r>
        <w:rPr>
          <w:rFonts w:ascii="Times New Roman" w:cs="Times New Roman" w:eastAsia="Times New Roman" w:hAnsi="Times New Roman"/>
          <w:sz w:val="15"/>
          <w:szCs w:val="15"/>
          <w:color w:val="auto"/>
        </w:rPr>
        <w:t xml:space="preserve"> shall not prohibit either Party from making any disclosure that is required by Applicable Law, or rule or regulation or the requirements of a national securities exchange or another similar regulatory body including disclosing such information in any clinical trial database maintained by or on behalf of a Party,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Receiving Party shall, to the extent possible, provide the Disclosing Party with reasonable advance notice of such disclosure and take reasonable measures to ensure confidential treatment of such information, including by allowing the Disclosing Party to review and, if lawful, make redactions to any such disclosure. Notwithstanding the foregoing, the Parties acknowledge that they each may engage in financing, licensing and merger and acquisition transactions after the Execution Date and that in such event, the Parties may disclose the existence and terms of this Agreement, under terms of confidentiality no less strict than those contained in this Agreement, to parties or potential parties in such transaction.</w:t>
      </w:r>
    </w:p>
    <w:p>
      <w:pPr>
        <w:spacing w:after="0" w:line="33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11430</wp:posOffset>
            </wp:positionV>
            <wp:extent cx="7157720" cy="698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20"/>
          </w:cols>
          <w:pgMar w:left="840" w:top="762" w:right="339" w:bottom="1440" w:gutter="0" w:footer="0" w:header="0"/>
        </w:sectPr>
      </w:pPr>
    </w:p>
    <w:bookmarkStart w:id="370" w:name="page371"/>
    <w:bookmarkEnd w:id="370"/>
    <w:p>
      <w:pPr>
        <w:ind w:left="1060" w:hanging="526"/>
        <w:spacing w:after="0" w:line="248" w:lineRule="auto"/>
        <w:tabs>
          <w:tab w:leader="none" w:pos="1040" w:val="left"/>
        </w:tabs>
        <w:rPr>
          <w:sz w:val="20"/>
          <w:szCs w:val="20"/>
          <w:color w:val="auto"/>
        </w:rPr>
      </w:pPr>
      <w:r>
        <w:rPr>
          <w:rFonts w:ascii="Times New Roman" w:cs="Times New Roman" w:eastAsia="Times New Roman" w:hAnsi="Times New Roman"/>
          <w:sz w:val="15"/>
          <w:szCs w:val="15"/>
          <w:color w:val="auto"/>
        </w:rPr>
        <w:t>10.1.7</w:t>
      </w:r>
      <w:r>
        <w:rPr>
          <w:sz w:val="20"/>
          <w:szCs w:val="20"/>
          <w:color w:val="auto"/>
        </w:rPr>
        <w:tab/>
      </w:r>
      <w:r>
        <w:rPr>
          <w:rFonts w:ascii="Times New Roman" w:cs="Times New Roman" w:eastAsia="Times New Roman" w:hAnsi="Times New Roman"/>
          <w:sz w:val="15"/>
          <w:szCs w:val="15"/>
          <w:b w:val="1"/>
          <w:bCs w:val="1"/>
          <w:color w:val="auto"/>
        </w:rPr>
        <w:t>Remedies</w:t>
      </w:r>
      <w:r>
        <w:rPr>
          <w:rFonts w:ascii="Times New Roman" w:cs="Times New Roman" w:eastAsia="Times New Roman" w:hAnsi="Times New Roman"/>
          <w:sz w:val="15"/>
          <w:szCs w:val="15"/>
          <w:color w:val="auto"/>
        </w:rPr>
        <w:t>. The Parties acknowledge and agree that the restrictions set forth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10.1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are reasonable and necessary to protect the legitimate interests of the Parties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that neither Party would have entered into this Agreement in the absence of such restrictions, and that any breach or threatened breach of any provision of </w:t>
      </w:r>
      <w:r>
        <w:rPr>
          <w:rFonts w:ascii="Times New Roman" w:cs="Times New Roman" w:eastAsia="Times New Roman" w:hAnsi="Times New Roman"/>
          <w:sz w:val="15"/>
          <w:szCs w:val="15"/>
          <w:u w:val="single" w:color="auto"/>
          <w:color w:val="auto"/>
        </w:rPr>
        <w:t>Section 10.1</w:t>
      </w:r>
      <w:r>
        <w:rPr>
          <w:rFonts w:ascii="Times New Roman" w:cs="Times New Roman" w:eastAsia="Times New Roman" w:hAnsi="Times New Roman"/>
          <w:sz w:val="15"/>
          <w:szCs w:val="15"/>
          <w:color w:val="auto"/>
        </w:rPr>
        <w:t xml:space="preserve"> with respect to a Party’s Confidential Information will result in irreparable injury to such Party for which there will be no adequate remedy at law. Notwithstanding the Dispute Resolution clause in </w:t>
      </w:r>
      <w:r>
        <w:rPr>
          <w:rFonts w:ascii="Times New Roman" w:cs="Times New Roman" w:eastAsia="Times New Roman" w:hAnsi="Times New Roman"/>
          <w:sz w:val="15"/>
          <w:szCs w:val="15"/>
          <w:u w:val="single" w:color="auto"/>
          <w:color w:val="auto"/>
        </w:rPr>
        <w:t>Section 16.3</w:t>
      </w:r>
      <w:r>
        <w:rPr>
          <w:rFonts w:ascii="Times New Roman" w:cs="Times New Roman" w:eastAsia="Times New Roman" w:hAnsi="Times New Roman"/>
          <w:sz w:val="15"/>
          <w:szCs w:val="15"/>
          <w:color w:val="auto"/>
        </w:rPr>
        <w:t xml:space="preserve">, in the event of a breach or threatened breach of any provision of </w:t>
      </w:r>
      <w:r>
        <w:rPr>
          <w:rFonts w:ascii="Times New Roman" w:cs="Times New Roman" w:eastAsia="Times New Roman" w:hAnsi="Times New Roman"/>
          <w:sz w:val="15"/>
          <w:szCs w:val="15"/>
          <w:u w:val="single" w:color="auto"/>
          <w:color w:val="auto"/>
        </w:rPr>
        <w:t>Section 10.1</w:t>
      </w:r>
      <w:r>
        <w:rPr>
          <w:rFonts w:ascii="Times New Roman" w:cs="Times New Roman" w:eastAsia="Times New Roman" w:hAnsi="Times New Roman"/>
          <w:sz w:val="15"/>
          <w:szCs w:val="15"/>
          <w:color w:val="auto"/>
        </w:rPr>
        <w:t xml:space="preserve"> by a Party, the affected Party shall be authorized and entitled to seek from any court of competent jurisdiction injunctive relief applying the laws of that court, whether preliminary or permanent. Subject to Applicable Law, the breaching Party agrees to waive any requirement that the affected Party (i) post a bond or other security as a condition for obtaining any such relief; and (ii) show irreparable harm, balancing of harms, consideration of the public interest or inadequacy of monetary damages as a remedy. Nothing in this </w:t>
      </w:r>
      <w:r>
        <w:rPr>
          <w:rFonts w:ascii="Times New Roman" w:cs="Times New Roman" w:eastAsia="Times New Roman" w:hAnsi="Times New Roman"/>
          <w:sz w:val="15"/>
          <w:szCs w:val="15"/>
          <w:u w:val="single" w:color="auto"/>
          <w:color w:val="auto"/>
        </w:rPr>
        <w:t>Section 10.1.7</w:t>
      </w:r>
      <w:r>
        <w:rPr>
          <w:rFonts w:ascii="Times New Roman" w:cs="Times New Roman" w:eastAsia="Times New Roman" w:hAnsi="Times New Roman"/>
          <w:sz w:val="15"/>
          <w:szCs w:val="15"/>
          <w:color w:val="auto"/>
        </w:rPr>
        <w:t xml:space="preserve"> is intended, or shall be construed, to limit the Parties’ rights to equitable relief or any other remedy for a breach of any provision of this Agreement.</w:t>
      </w:r>
    </w:p>
    <w:p>
      <w:pPr>
        <w:spacing w:after="0" w:line="156" w:lineRule="exact"/>
        <w:rPr>
          <w:sz w:val="20"/>
          <w:szCs w:val="20"/>
          <w:color w:val="auto"/>
        </w:rPr>
      </w:pPr>
    </w:p>
    <w:p>
      <w:pPr>
        <w:ind w:left="1060" w:right="180" w:hanging="526"/>
        <w:spacing w:after="0" w:line="253" w:lineRule="auto"/>
        <w:tabs>
          <w:tab w:leader="none" w:pos="1040" w:val="left"/>
        </w:tabs>
        <w:rPr>
          <w:sz w:val="20"/>
          <w:szCs w:val="20"/>
          <w:color w:val="auto"/>
        </w:rPr>
      </w:pPr>
      <w:r>
        <w:rPr>
          <w:rFonts w:ascii="Times New Roman" w:cs="Times New Roman" w:eastAsia="Times New Roman" w:hAnsi="Times New Roman"/>
          <w:sz w:val="15"/>
          <w:szCs w:val="15"/>
          <w:color w:val="auto"/>
        </w:rPr>
        <w:t>10.1.8</w:t>
      </w:r>
      <w:r>
        <w:rPr>
          <w:sz w:val="20"/>
          <w:szCs w:val="20"/>
          <w:color w:val="auto"/>
        </w:rPr>
        <w:tab/>
      </w:r>
      <w:r>
        <w:rPr>
          <w:rFonts w:ascii="Times New Roman" w:cs="Times New Roman" w:eastAsia="Times New Roman" w:hAnsi="Times New Roman"/>
          <w:sz w:val="15"/>
          <w:szCs w:val="15"/>
          <w:b w:val="1"/>
          <w:bCs w:val="1"/>
          <w:color w:val="auto"/>
        </w:rPr>
        <w:t>Prior CDA</w:t>
      </w:r>
      <w:r>
        <w:rPr>
          <w:rFonts w:ascii="Times New Roman" w:cs="Times New Roman" w:eastAsia="Times New Roman" w:hAnsi="Times New Roman"/>
          <w:sz w:val="15"/>
          <w:szCs w:val="15"/>
          <w:color w:val="auto"/>
        </w:rPr>
        <w:t>. As of the Execution Date, the terms of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10.1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shall supersede any prior non-disclosure, secrecy or confidentiality agreement between the Parties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their Affiliates) dealing with the subject of this Agreement, including the Mutual Confidentiality Agreement between the Parties dated March 10, 2020. Any information disclosed pursuant to any such prior agreement shall be deemed Confidential Information of the applicable Party for purposes of this Agreement, to the extent that such information was deemed to be “Confidential Information” under such prior agreement.</w:t>
      </w:r>
    </w:p>
    <w:p>
      <w:pPr>
        <w:spacing w:after="0" w:line="1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10.2</w:t>
      </w:r>
      <w:r>
        <w:rPr>
          <w:sz w:val="20"/>
          <w:szCs w:val="20"/>
          <w:color w:val="auto"/>
        </w:rPr>
        <w:tab/>
      </w:r>
      <w:r>
        <w:rPr>
          <w:rFonts w:ascii="Times New Roman" w:cs="Times New Roman" w:eastAsia="Times New Roman" w:hAnsi="Times New Roman"/>
          <w:sz w:val="14"/>
          <w:szCs w:val="14"/>
          <w:b w:val="1"/>
          <w:bCs w:val="1"/>
          <w:color w:val="auto"/>
        </w:rPr>
        <w:t>Compliance with Law</w:t>
      </w:r>
      <w:r>
        <w:rPr>
          <w:rFonts w:ascii="Times New Roman" w:cs="Times New Roman" w:eastAsia="Times New Roman" w:hAnsi="Times New Roman"/>
          <w:sz w:val="14"/>
          <w:szCs w:val="14"/>
          <w:color w:val="auto"/>
        </w:rPr>
        <w:t>. Each Party hereby covenants and agrees to comply with all Applicable Laws related to its activities connected with the Development, Manufacture and</w:t>
      </w:r>
    </w:p>
    <w:p>
      <w:pPr>
        <w:spacing w:after="0" w:line="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Commercialization of the Licensed Asset and Products. Without limiting the generality of the foregoing:</w:t>
      </w:r>
    </w:p>
    <w:p>
      <w:pPr>
        <w:spacing w:after="0" w:line="162" w:lineRule="exact"/>
        <w:rPr>
          <w:sz w:val="20"/>
          <w:szCs w:val="20"/>
          <w:color w:val="auto"/>
        </w:rPr>
      </w:pPr>
    </w:p>
    <w:p>
      <w:pPr>
        <w:ind w:left="1060" w:right="340" w:hanging="526"/>
        <w:spacing w:after="0" w:line="272" w:lineRule="auto"/>
        <w:tabs>
          <w:tab w:leader="none" w:pos="1040" w:val="left"/>
        </w:tabs>
        <w:rPr>
          <w:sz w:val="20"/>
          <w:szCs w:val="20"/>
          <w:color w:val="auto"/>
        </w:rPr>
      </w:pPr>
      <w:r>
        <w:rPr>
          <w:rFonts w:ascii="Times New Roman" w:cs="Times New Roman" w:eastAsia="Times New Roman" w:hAnsi="Times New Roman"/>
          <w:sz w:val="15"/>
          <w:szCs w:val="15"/>
          <w:color w:val="auto"/>
        </w:rPr>
        <w:t>10.2.1</w:t>
      </w:r>
      <w:r>
        <w:rPr>
          <w:sz w:val="20"/>
          <w:szCs w:val="20"/>
          <w:color w:val="auto"/>
        </w:rPr>
        <w:tab/>
      </w:r>
      <w:r>
        <w:rPr>
          <w:rFonts w:ascii="Times New Roman" w:cs="Times New Roman" w:eastAsia="Times New Roman" w:hAnsi="Times New Roman"/>
          <w:sz w:val="15"/>
          <w:szCs w:val="15"/>
          <w:b w:val="1"/>
          <w:bCs w:val="1"/>
          <w:color w:val="auto"/>
        </w:rPr>
        <w:t>Patient Information</w:t>
      </w:r>
      <w:r>
        <w:rPr>
          <w:rFonts w:ascii="Times New Roman" w:cs="Times New Roman" w:eastAsia="Times New Roman" w:hAnsi="Times New Roman"/>
          <w:sz w:val="15"/>
          <w:szCs w:val="15"/>
          <w:color w:val="auto"/>
        </w:rPr>
        <w:t>. Each Party agrees to abide by all laws, rules, regulations, and orders of all Government Authorities concerning the confidentiality or protection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patient identifiable information or patients’ protected health information in the course of their performance under this Agreement.</w:t>
      </w:r>
    </w:p>
    <w:p>
      <w:pPr>
        <w:spacing w:after="0" w:line="136" w:lineRule="exact"/>
        <w:rPr>
          <w:sz w:val="20"/>
          <w:szCs w:val="20"/>
          <w:color w:val="auto"/>
        </w:rPr>
      </w:pPr>
    </w:p>
    <w:p>
      <w:pPr>
        <w:ind w:left="1060" w:right="60" w:hanging="526"/>
        <w:spacing w:after="0" w:line="253" w:lineRule="auto"/>
        <w:tabs>
          <w:tab w:leader="none" w:pos="1040" w:val="left"/>
        </w:tabs>
        <w:rPr>
          <w:sz w:val="20"/>
          <w:szCs w:val="20"/>
          <w:color w:val="auto"/>
        </w:rPr>
      </w:pPr>
      <w:r>
        <w:rPr>
          <w:rFonts w:ascii="Times New Roman" w:cs="Times New Roman" w:eastAsia="Times New Roman" w:hAnsi="Times New Roman"/>
          <w:sz w:val="15"/>
          <w:szCs w:val="15"/>
          <w:color w:val="auto"/>
        </w:rPr>
        <w:t>10.2.2</w:t>
      </w:r>
      <w:r>
        <w:rPr>
          <w:sz w:val="20"/>
          <w:szCs w:val="20"/>
          <w:color w:val="auto"/>
        </w:rPr>
        <w:tab/>
      </w:r>
      <w:r>
        <w:rPr>
          <w:rFonts w:ascii="Times New Roman" w:cs="Times New Roman" w:eastAsia="Times New Roman" w:hAnsi="Times New Roman"/>
          <w:sz w:val="15"/>
          <w:szCs w:val="15"/>
          <w:b w:val="1"/>
          <w:bCs w:val="1"/>
          <w:color w:val="auto"/>
        </w:rPr>
        <w:t>Export Controls</w:t>
      </w:r>
      <w:r>
        <w:rPr>
          <w:rFonts w:ascii="Times New Roman" w:cs="Times New Roman" w:eastAsia="Times New Roman" w:hAnsi="Times New Roman"/>
          <w:sz w:val="15"/>
          <w:szCs w:val="15"/>
          <w:color w:val="auto"/>
        </w:rPr>
        <w:t>. This Agreement is made subject to any restrictions concerning the export of products or technical information from the United States or other countries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which may be imposed upon or related to XENCOR or Licensee from time to time. Each Party agrees that it shall not export, directly or indirectly, any technical information acquired from any other Party pursuant to this Agreement or any Products using such technical information to a location or in a manner that at the time of export requires an export license or other governmental approval, without first obtaining such license or approval from the appropriate Government Authority.</w:t>
      </w: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371" w:name="page372"/>
    <w:bookmarkEnd w:id="371"/>
    <w:p>
      <w:pPr>
        <w:ind w:left="1060" w:right="20" w:hanging="526"/>
        <w:spacing w:after="0" w:line="250" w:lineRule="auto"/>
        <w:tabs>
          <w:tab w:leader="none" w:pos="1040" w:val="left"/>
        </w:tabs>
        <w:rPr>
          <w:sz w:val="20"/>
          <w:szCs w:val="20"/>
          <w:color w:val="auto"/>
        </w:rPr>
      </w:pPr>
      <w:r>
        <w:rPr>
          <w:rFonts w:ascii="Times New Roman" w:cs="Times New Roman" w:eastAsia="Times New Roman" w:hAnsi="Times New Roman"/>
          <w:sz w:val="15"/>
          <w:szCs w:val="15"/>
          <w:color w:val="auto"/>
        </w:rPr>
        <w:t>10.2.3</w:t>
      </w:r>
      <w:r>
        <w:rPr>
          <w:sz w:val="20"/>
          <w:szCs w:val="20"/>
          <w:color w:val="auto"/>
        </w:rPr>
        <w:tab/>
      </w:r>
      <w:r>
        <w:rPr>
          <w:rFonts w:ascii="Times New Roman" w:cs="Times New Roman" w:eastAsia="Times New Roman" w:hAnsi="Times New Roman"/>
          <w:sz w:val="15"/>
          <w:szCs w:val="15"/>
          <w:b w:val="1"/>
          <w:bCs w:val="1"/>
          <w:color w:val="auto"/>
        </w:rPr>
        <w:t>Debarment</w:t>
      </w:r>
      <w:r>
        <w:rPr>
          <w:rFonts w:ascii="Times New Roman" w:cs="Times New Roman" w:eastAsia="Times New Roman" w:hAnsi="Times New Roman"/>
          <w:sz w:val="15"/>
          <w:szCs w:val="15"/>
          <w:color w:val="auto"/>
        </w:rPr>
        <w:t>. Each Party agrees that it shall not use, in any capacity, in connection with any of its obligations to be performed under this Agreement any Person who has been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debarred under the FD&amp;C Act or the Generic Drug Enforcement Act of 1992, 21 U.S.C. § 335a et. seq. (or analogous Applicable Laws in any jurisdiction), and Licensee shall inform XENCOR in writing immediately if it or any Person who is performing activities for Licensee hereunder is debarred or is the subject of a conviction described in </w:t>
      </w:r>
      <w:r>
        <w:rPr>
          <w:rFonts w:ascii="Times New Roman" w:cs="Times New Roman" w:eastAsia="Times New Roman" w:hAnsi="Times New Roman"/>
          <w:sz w:val="15"/>
          <w:szCs w:val="15"/>
          <w:u w:val="single" w:color="auto"/>
          <w:color w:val="auto"/>
        </w:rPr>
        <w:t>Section 306</w:t>
      </w:r>
      <w:r>
        <w:rPr>
          <w:rFonts w:ascii="Times New Roman" w:cs="Times New Roman" w:eastAsia="Times New Roman" w:hAnsi="Times New Roman"/>
          <w:sz w:val="15"/>
          <w:szCs w:val="15"/>
          <w:color w:val="auto"/>
        </w:rPr>
        <w:t xml:space="preserve"> of the FD&amp;C Act (or analogous Applicable Laws in any jurisdiction), or if any action, suit, claim, investigation or legal administrative proceeding is pending or, to Licensee’s knowledge, is threatened, relating to the debarment of Licensee or any Person used in any capacity by Licensee in connection with any of Licensee’s obligations to be performed under this Agreement.</w:t>
      </w:r>
    </w:p>
    <w:p>
      <w:pPr>
        <w:spacing w:after="0" w:line="152" w:lineRule="exact"/>
        <w:rPr>
          <w:sz w:val="20"/>
          <w:szCs w:val="20"/>
          <w:color w:val="auto"/>
        </w:rPr>
      </w:pPr>
    </w:p>
    <w:p>
      <w:pPr>
        <w:ind w:left="540" w:hanging="526"/>
        <w:spacing w:after="0" w:line="309" w:lineRule="auto"/>
        <w:tabs>
          <w:tab w:leader="none" w:pos="520" w:val="left"/>
        </w:tabs>
        <w:rPr>
          <w:sz w:val="20"/>
          <w:szCs w:val="20"/>
          <w:color w:val="auto"/>
        </w:rPr>
      </w:pPr>
      <w:r>
        <w:rPr>
          <w:rFonts w:ascii="Times New Roman" w:cs="Times New Roman" w:eastAsia="Times New Roman" w:hAnsi="Times New Roman"/>
          <w:sz w:val="15"/>
          <w:szCs w:val="15"/>
          <w:color w:val="auto"/>
        </w:rPr>
        <w:t>10.3</w:t>
      </w:r>
      <w:r>
        <w:rPr>
          <w:sz w:val="20"/>
          <w:szCs w:val="20"/>
          <w:color w:val="auto"/>
        </w:rPr>
        <w:tab/>
      </w:r>
      <w:r>
        <w:rPr>
          <w:rFonts w:ascii="Times New Roman" w:cs="Times New Roman" w:eastAsia="Times New Roman" w:hAnsi="Times New Roman"/>
          <w:sz w:val="14"/>
          <w:szCs w:val="14"/>
          <w:b w:val="1"/>
          <w:bCs w:val="1"/>
          <w:color w:val="auto"/>
        </w:rPr>
        <w:t>Compliance with Anti-Corruption Laws</w:t>
      </w:r>
      <w:r>
        <w:rPr>
          <w:rFonts w:ascii="Times New Roman" w:cs="Times New Roman" w:eastAsia="Times New Roman" w:hAnsi="Times New Roman"/>
          <w:sz w:val="14"/>
          <w:szCs w:val="14"/>
          <w:color w:val="auto"/>
        </w:rPr>
        <w:t>. Licensee agrees, on behalf of itself, its officers, directors and employees and on behalf of its Affiliates, and authorized agents, authorized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representatives, authorized consultants, Sublicensees and subcontractors (together with Licensee, the “</w:t>
      </w:r>
      <w:r>
        <w:rPr>
          <w:rFonts w:ascii="Times New Roman" w:cs="Times New Roman" w:eastAsia="Times New Roman" w:hAnsi="Times New Roman"/>
          <w:sz w:val="14"/>
          <w:szCs w:val="14"/>
          <w:u w:val="single" w:color="auto"/>
          <w:color w:val="auto"/>
        </w:rPr>
        <w:t>Licensee Representatives</w:t>
      </w:r>
      <w:r>
        <w:rPr>
          <w:rFonts w:ascii="Times New Roman" w:cs="Times New Roman" w:eastAsia="Times New Roman" w:hAnsi="Times New Roman"/>
          <w:sz w:val="14"/>
          <w:szCs w:val="14"/>
          <w:color w:val="auto"/>
        </w:rPr>
        <w:t>”) that for the performance of its obligations hereunder:</w:t>
      </w:r>
    </w:p>
    <w:p>
      <w:pPr>
        <w:spacing w:after="0" w:line="115" w:lineRule="exact"/>
        <w:rPr>
          <w:sz w:val="20"/>
          <w:szCs w:val="20"/>
          <w:color w:val="auto"/>
        </w:rPr>
      </w:pPr>
    </w:p>
    <w:p>
      <w:pPr>
        <w:ind w:left="1060" w:right="80" w:hanging="526"/>
        <w:spacing w:after="0" w:line="273" w:lineRule="auto"/>
        <w:tabs>
          <w:tab w:leader="none" w:pos="1040" w:val="left"/>
        </w:tabs>
        <w:rPr>
          <w:sz w:val="20"/>
          <w:szCs w:val="20"/>
          <w:color w:val="auto"/>
        </w:rPr>
      </w:pPr>
      <w:r>
        <w:rPr>
          <w:rFonts w:ascii="Times New Roman" w:cs="Times New Roman" w:eastAsia="Times New Roman" w:hAnsi="Times New Roman"/>
          <w:sz w:val="15"/>
          <w:szCs w:val="15"/>
          <w:color w:val="auto"/>
        </w:rPr>
        <w:t>10.3.1</w:t>
      </w:r>
      <w:r>
        <w:rPr>
          <w:sz w:val="20"/>
          <w:szCs w:val="20"/>
          <w:color w:val="auto"/>
        </w:rPr>
        <w:tab/>
      </w:r>
      <w:r>
        <w:rPr>
          <w:rFonts w:ascii="Times New Roman" w:cs="Times New Roman" w:eastAsia="Times New Roman" w:hAnsi="Times New Roman"/>
          <w:sz w:val="14"/>
          <w:szCs w:val="14"/>
          <w:color w:val="auto"/>
        </w:rPr>
        <w:t xml:space="preserve">As soon as practicable following the Effective Date, the Licensee shall, and shall cause its Affiliates to adopt and implement rules and policies regarding anti-bribery or anti-corruption issues and a code of conduct (including a written travel and entertainment policy) each substantially in the form and substance attached hereto as </w:t>
      </w:r>
      <w:r>
        <w:rPr>
          <w:rFonts w:ascii="Times New Roman" w:cs="Times New Roman" w:eastAsia="Times New Roman" w:hAnsi="Times New Roman"/>
          <w:sz w:val="14"/>
          <w:szCs w:val="14"/>
          <w:u w:val="single" w:color="auto"/>
          <w:color w:val="auto"/>
        </w:rPr>
        <w:t>Schedule 10.3.1</w:t>
      </w:r>
      <w:r>
        <w:rPr>
          <w:rFonts w:ascii="Times New Roman" w:cs="Times New Roman" w:eastAsia="Times New Roman" w:hAnsi="Times New Roman"/>
          <w:sz w:val="14"/>
          <w:szCs w:val="14"/>
          <w:color w:val="auto"/>
        </w:rPr>
        <w:t xml:space="preserve"> and consistent with global best practices (the “</w:t>
      </w:r>
      <w:r>
        <w:rPr>
          <w:rFonts w:ascii="Times New Roman" w:cs="Times New Roman" w:eastAsia="Times New Roman" w:hAnsi="Times New Roman"/>
          <w:sz w:val="14"/>
          <w:szCs w:val="14"/>
          <w:u w:val="single" w:color="auto"/>
          <w:color w:val="auto"/>
        </w:rPr>
        <w:t>Anti-Corruption Policies</w:t>
      </w:r>
      <w:r>
        <w:rPr>
          <w:rFonts w:ascii="Times New Roman" w:cs="Times New Roman" w:eastAsia="Times New Roman" w:hAnsi="Times New Roman"/>
          <w:sz w:val="14"/>
          <w:szCs w:val="14"/>
          <w:color w:val="auto"/>
        </w:rPr>
        <w:t>”), with the understanding that such Anti-Corruption Policies will forbid the Licensee and each Affiliate and their respective agents and representatives from promising, authorizing or making any payment to, or otherwise contributing any item of value, directly or indirectly, to any Third Party, including any Government Official, in each case, in violation of the Anti-Corruption Laws or the Anti-Corruption Policies.</w:t>
      </w:r>
    </w:p>
    <w:p>
      <w:pPr>
        <w:spacing w:after="0" w:line="139" w:lineRule="exact"/>
        <w:rPr>
          <w:sz w:val="20"/>
          <w:szCs w:val="20"/>
          <w:color w:val="auto"/>
        </w:rPr>
      </w:pPr>
    </w:p>
    <w:p>
      <w:pPr>
        <w:ind w:left="1060" w:right="2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10.3.2</w:t>
        <w:tab/>
        <w:t>Licensee and other Licensee Representatives has, and shall comply with the Anti-Corruption Laws and the Anti-Corruption Policies, and shall not take any action that will, or would reasonably be expected to, cause either Party (or its Affiliates) to be in violation of any such laws, policies or code.</w:t>
      </w:r>
    </w:p>
    <w:p>
      <w:pPr>
        <w:spacing w:after="0" w:line="141" w:lineRule="exact"/>
        <w:rPr>
          <w:sz w:val="20"/>
          <w:szCs w:val="20"/>
          <w:color w:val="auto"/>
        </w:rPr>
      </w:pPr>
    </w:p>
    <w:p>
      <w:pPr>
        <w:ind w:left="1060" w:right="54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10.3.3</w:t>
        <w:tab/>
        <w:t>The Licensee Representatives shall not directly or indirectly pay, offer or promise to pay, or authorize the payment of any money, or give, offer or promise to give, or authorize the giving of anything else of value, to:</w:t>
      </w:r>
    </w:p>
    <w:p>
      <w:pPr>
        <w:spacing w:after="0" w:line="141" w:lineRule="exact"/>
        <w:rPr>
          <w:sz w:val="20"/>
          <w:szCs w:val="20"/>
          <w:color w:val="auto"/>
        </w:rPr>
      </w:pPr>
    </w:p>
    <w:p>
      <w:pPr>
        <w:ind w:left="1600" w:hanging="537"/>
        <w:spacing w:after="0"/>
        <w:tabs>
          <w:tab w:leader="none" w:pos="1600"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Government Official in order to influence official action or inaction;</w:t>
      </w:r>
    </w:p>
    <w:p>
      <w:pPr>
        <w:spacing w:after="0" w:line="179"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(whether or not a Government Official) (1) to influence such Person to act in breach of a duty of good faith, impartiality or trust (“</w:t>
      </w:r>
      <w:r>
        <w:rPr>
          <w:rFonts w:ascii="Times New Roman" w:cs="Times New Roman" w:eastAsia="Times New Roman" w:hAnsi="Times New Roman"/>
          <w:sz w:val="14"/>
          <w:szCs w:val="14"/>
          <w:u w:val="single" w:color="auto"/>
          <w:color w:val="auto"/>
        </w:rPr>
        <w:t>Acting Improperly</w:t>
      </w:r>
      <w:r>
        <w:rPr>
          <w:rFonts w:ascii="Times New Roman" w:cs="Times New Roman" w:eastAsia="Times New Roman" w:hAnsi="Times New Roman"/>
          <w:sz w:val="14"/>
          <w:szCs w:val="14"/>
          <w:color w:val="auto"/>
        </w:rPr>
        <w:t>”),</w:t>
      </w:r>
    </w:p>
    <w:p>
      <w:pPr>
        <w:spacing w:after="0" w:line="29" w:lineRule="exact"/>
        <w:rPr>
          <w:rFonts w:ascii="Times New Roman" w:cs="Times New Roman" w:eastAsia="Times New Roman" w:hAnsi="Times New Roman"/>
          <w:sz w:val="14"/>
          <w:szCs w:val="14"/>
          <w:color w:val="auto"/>
        </w:rPr>
      </w:pPr>
    </w:p>
    <w:p>
      <w:pPr>
        <w:ind w:left="1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(2) to reward such Person for Acting Improperly, or (3) where such Person would be Acting Improperly by receiving the money or other thing of value;</w:t>
      </w:r>
    </w:p>
    <w:p>
      <w:pPr>
        <w:spacing w:after="0" w:line="164" w:lineRule="exact"/>
        <w:rPr>
          <w:rFonts w:ascii="Times New Roman" w:cs="Times New Roman" w:eastAsia="Times New Roman" w:hAnsi="Times New Roman"/>
          <w:sz w:val="14"/>
          <w:szCs w:val="14"/>
          <w:color w:val="auto"/>
        </w:rPr>
      </w:pPr>
    </w:p>
    <w:p>
      <w:pPr>
        <w:ind w:left="1600" w:hanging="537"/>
        <w:spacing w:after="0" w:line="257" w:lineRule="auto"/>
        <w:tabs>
          <w:tab w:leader="none" w:pos="1600"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Person while knowing or having a reason to know that all or any portion of the money or other thing of value will be paid, offered, promised or given to, or will otherwise benefit, a Government Official in order to influence official action or inaction for or against either Party in connection with the matters that are the subject of this Agreement; or</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72" w:name="page373"/>
    <w:bookmarkEnd w:id="372"/>
    <w:p>
      <w:pPr>
        <w:ind w:left="1600" w:hanging="537"/>
        <w:spacing w:after="0"/>
        <w:tabs>
          <w:tab w:leader="none" w:pos="1600" w:val="left"/>
        </w:tabs>
        <w:numPr>
          <w:ilvl w:val="0"/>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to reward that Person for Acting Improperly or to induce that Person to Act Improperly.</w:t>
      </w:r>
    </w:p>
    <w:p>
      <w:pPr>
        <w:spacing w:after="0" w:line="179" w:lineRule="exact"/>
        <w:rPr>
          <w:sz w:val="20"/>
          <w:szCs w:val="20"/>
          <w:color w:val="auto"/>
        </w:rPr>
      </w:pPr>
    </w:p>
    <w:p>
      <w:pPr>
        <w:ind w:left="1060" w:right="30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10.3.4</w:t>
        <w:tab/>
        <w:t>The Licensee Representatives shall not, directly or indirectly, solicit, receive or agree to accept any payment of money or anything else of value in violation of the Anti-Corruption Laws.</w:t>
      </w:r>
    </w:p>
    <w:p>
      <w:pPr>
        <w:spacing w:after="0" w:line="141"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10.3.5</w:t>
      </w:r>
      <w:r>
        <w:rPr>
          <w:sz w:val="20"/>
          <w:szCs w:val="20"/>
          <w:color w:val="auto"/>
        </w:rPr>
        <w:tab/>
      </w:r>
      <w:r>
        <w:rPr>
          <w:rFonts w:ascii="Times New Roman" w:cs="Times New Roman" w:eastAsia="Times New Roman" w:hAnsi="Times New Roman"/>
          <w:sz w:val="14"/>
          <w:szCs w:val="14"/>
          <w:color w:val="auto"/>
        </w:rPr>
        <w:t>Licensee shall promptly provide XENCOR with written notice of the following events:</w:t>
      </w:r>
    </w:p>
    <w:p>
      <w:pPr>
        <w:spacing w:after="0" w:line="179" w:lineRule="exact"/>
        <w:rPr>
          <w:sz w:val="20"/>
          <w:szCs w:val="20"/>
          <w:color w:val="auto"/>
        </w:rPr>
      </w:pPr>
    </w:p>
    <w:p>
      <w:pPr>
        <w:ind w:left="1600" w:right="160" w:hanging="537"/>
        <w:spacing w:after="0" w:line="269" w:lineRule="auto"/>
        <w:tabs>
          <w:tab w:leader="none" w:pos="1600"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Upon becoming aware of any breach or violation by Licensee or any Licensee Representative of any representation, warranty or undertaking set forth in </w:t>
      </w:r>
      <w:r>
        <w:rPr>
          <w:rFonts w:ascii="Times New Roman" w:cs="Times New Roman" w:eastAsia="Times New Roman" w:hAnsi="Times New Roman"/>
          <w:sz w:val="15"/>
          <w:szCs w:val="15"/>
          <w:u w:val="single" w:color="auto"/>
          <w:color w:val="auto"/>
        </w:rPr>
        <w:t>Sections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10.3.1</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10.3.4</w:t>
      </w:r>
      <w:r>
        <w:rPr>
          <w:rFonts w:ascii="Times New Roman" w:cs="Times New Roman" w:eastAsia="Times New Roman" w:hAnsi="Times New Roman"/>
          <w:sz w:val="15"/>
          <w:szCs w:val="15"/>
          <w:color w:val="auto"/>
        </w:rPr>
        <w:t xml:space="preserve"> above; or</w:t>
      </w:r>
    </w:p>
    <w:p>
      <w:pPr>
        <w:spacing w:after="0" w:line="140" w:lineRule="exact"/>
        <w:rPr>
          <w:rFonts w:ascii="Times New Roman" w:cs="Times New Roman" w:eastAsia="Times New Roman" w:hAnsi="Times New Roman"/>
          <w:sz w:val="15"/>
          <w:szCs w:val="15"/>
          <w:color w:val="auto"/>
        </w:rPr>
      </w:pPr>
    </w:p>
    <w:p>
      <w:pPr>
        <w:ind w:left="1600" w:hanging="537"/>
        <w:spacing w:after="0" w:line="257" w:lineRule="auto"/>
        <w:tabs>
          <w:tab w:leader="none" w:pos="1600"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receiving a formal notification that it is the target of a formal investigation by a Government Authority for any violation of Anti-Corruption Laws or upon receipt of information from any of the Licensee Representatives that any of them is the target of a formal investigation by a Government Authority for any violation of Anti-Corruption Laws.</w:t>
      </w:r>
    </w:p>
    <w:p>
      <w:pPr>
        <w:spacing w:after="0" w:line="149" w:lineRule="exact"/>
        <w:rPr>
          <w:sz w:val="20"/>
          <w:szCs w:val="20"/>
          <w:color w:val="auto"/>
        </w:rPr>
      </w:pPr>
    </w:p>
    <w:p>
      <w:pPr>
        <w:ind w:left="1060" w:right="60" w:hanging="526"/>
        <w:spacing w:after="0" w:line="257" w:lineRule="auto"/>
        <w:tabs>
          <w:tab w:leader="none" w:pos="1040" w:val="left"/>
        </w:tabs>
        <w:rPr>
          <w:sz w:val="20"/>
          <w:szCs w:val="20"/>
          <w:color w:val="auto"/>
        </w:rPr>
      </w:pPr>
      <w:r>
        <w:rPr>
          <w:rFonts w:ascii="Times New Roman" w:cs="Times New Roman" w:eastAsia="Times New Roman" w:hAnsi="Times New Roman"/>
          <w:sz w:val="15"/>
          <w:szCs w:val="15"/>
          <w:color w:val="auto"/>
        </w:rPr>
        <w:t>10.3.6</w:t>
        <w:tab/>
        <w:t xml:space="preserve">XENCOR may disclose the terms of this Agreement or any action taken under this </w:t>
      </w:r>
      <w:r>
        <w:rPr>
          <w:rFonts w:ascii="Times New Roman" w:cs="Times New Roman" w:eastAsia="Times New Roman" w:hAnsi="Times New Roman"/>
          <w:sz w:val="15"/>
          <w:szCs w:val="15"/>
          <w:u w:val="single" w:color="auto"/>
          <w:color w:val="auto"/>
        </w:rPr>
        <w:t>Section 10.3.6</w:t>
      </w:r>
      <w:r>
        <w:rPr>
          <w:rFonts w:ascii="Times New Roman" w:cs="Times New Roman" w:eastAsia="Times New Roman" w:hAnsi="Times New Roman"/>
          <w:sz w:val="15"/>
          <w:szCs w:val="15"/>
          <w:color w:val="auto"/>
        </w:rPr>
        <w:t xml:space="preserve"> to prevent a potential violation or continuing violation of applicable Anti-Corruption Laws, including the identity of Licensee and the payment terms, to any Government Authority if XENCOR determines, upon advice of counsel, that such disclosure is necessary.</w:t>
      </w:r>
    </w:p>
    <w:p>
      <w:pPr>
        <w:spacing w:after="0" w:line="14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10.4</w:t>
      </w:r>
      <w:r>
        <w:rPr>
          <w:sz w:val="20"/>
          <w:szCs w:val="20"/>
          <w:color w:val="auto"/>
        </w:rPr>
        <w:tab/>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Agreement.</w:t>
      </w:r>
    </w:p>
    <w:p>
      <w:pPr>
        <w:spacing w:after="0" w:line="181" w:lineRule="exact"/>
        <w:rPr>
          <w:sz w:val="20"/>
          <w:szCs w:val="20"/>
          <w:color w:val="auto"/>
        </w:rPr>
      </w:pPr>
    </w:p>
    <w:p>
      <w:pPr>
        <w:ind w:left="1060" w:right="100" w:hanging="526"/>
        <w:spacing w:after="0" w:line="269" w:lineRule="auto"/>
        <w:tabs>
          <w:tab w:leader="none" w:pos="1040" w:val="left"/>
        </w:tabs>
        <w:rPr>
          <w:sz w:val="20"/>
          <w:szCs w:val="20"/>
          <w:color w:val="auto"/>
        </w:rPr>
      </w:pPr>
      <w:r>
        <w:rPr>
          <w:rFonts w:ascii="Times New Roman" w:cs="Times New Roman" w:eastAsia="Times New Roman" w:hAnsi="Times New Roman"/>
          <w:sz w:val="15"/>
          <w:szCs w:val="15"/>
          <w:color w:val="auto"/>
        </w:rPr>
        <w:t>10.4.1</w:t>
        <w:tab/>
        <w:t>Licensee agrees that it shall comply with the obligations of XENCOR with respect to the XmAb5871 Program (as such term is defined in the [***] Agreement) set forth in [***].</w:t>
      </w:r>
    </w:p>
    <w:p>
      <w:pPr>
        <w:spacing w:after="0" w:line="141" w:lineRule="exact"/>
        <w:rPr>
          <w:sz w:val="20"/>
          <w:szCs w:val="20"/>
          <w:color w:val="auto"/>
        </w:rPr>
      </w:pPr>
    </w:p>
    <w:p>
      <w:pPr>
        <w:ind w:left="1060" w:right="80" w:hanging="526"/>
        <w:spacing w:after="0" w:line="257" w:lineRule="auto"/>
        <w:tabs>
          <w:tab w:leader="none" w:pos="1040" w:val="left"/>
        </w:tabs>
        <w:rPr>
          <w:sz w:val="20"/>
          <w:szCs w:val="20"/>
          <w:color w:val="auto"/>
        </w:rPr>
      </w:pPr>
      <w:r>
        <w:rPr>
          <w:rFonts w:ascii="Times New Roman" w:cs="Times New Roman" w:eastAsia="Times New Roman" w:hAnsi="Times New Roman"/>
          <w:sz w:val="15"/>
          <w:szCs w:val="15"/>
          <w:color w:val="auto"/>
        </w:rPr>
        <w:t>10.4.2</w:t>
        <w:tab/>
        <w:t>Licensee hereby grants to XENCOR an irrevocable exclusive license under the Licensee Flow-Through Patent Rights only to the extent XENCOR is required to sublicense such Licensee Flow-Through Patent Rights on an exclusive basis to [***] to Develop, Manufacture, Commercialize, and otherwise use, sell, offer for sale, and import the Licensed Antibodies and/or Licensed Products (as such terms are defined in the [***] Agreement) in the Field in the Licensed Territory.</w:t>
      </w:r>
    </w:p>
    <w:p>
      <w:pPr>
        <w:spacing w:after="0" w:line="149" w:lineRule="exact"/>
        <w:rPr>
          <w:sz w:val="20"/>
          <w:szCs w:val="20"/>
          <w:color w:val="auto"/>
        </w:rPr>
      </w:pPr>
    </w:p>
    <w:p>
      <w:pPr>
        <w:ind w:left="1060" w:hanging="526"/>
        <w:spacing w:after="0" w:line="257" w:lineRule="auto"/>
        <w:tabs>
          <w:tab w:leader="none" w:pos="1040" w:val="left"/>
        </w:tabs>
        <w:rPr>
          <w:sz w:val="20"/>
          <w:szCs w:val="20"/>
          <w:color w:val="auto"/>
        </w:rPr>
      </w:pPr>
      <w:r>
        <w:rPr>
          <w:rFonts w:ascii="Times New Roman" w:cs="Times New Roman" w:eastAsia="Times New Roman" w:hAnsi="Times New Roman"/>
          <w:sz w:val="15"/>
          <w:szCs w:val="15"/>
          <w:color w:val="auto"/>
        </w:rPr>
        <w:t>10.4.3</w:t>
        <w:tab/>
        <w:t>Licensee hereby grants to XENCOR an irrevocable non-exclusive license under the Licensee Flow-Through Patent Rights only to the extent XENCOR is required to sublicense such Licensee Flow-Through Patent Rights on a non-exclusive basis to [***] to Develop, Manufacture, Commercialize, and otherwise use, sell, offer for sale, and import the Licensed Antibodies and/or Licensed Products (as such terms are defined in the [***] Agreement) in the Field in the Licensed Territory.</w:t>
      </w:r>
    </w:p>
    <w:p>
      <w:pPr>
        <w:spacing w:after="0" w:line="149"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10.4.4</w:t>
      </w:r>
      <w:r>
        <w:rPr>
          <w:sz w:val="20"/>
          <w:szCs w:val="20"/>
          <w:color w:val="auto"/>
        </w:rPr>
        <w:tab/>
      </w:r>
      <w:r>
        <w:rPr>
          <w:rFonts w:ascii="Times New Roman" w:cs="Times New Roman" w:eastAsia="Times New Roman" w:hAnsi="Times New Roman"/>
          <w:sz w:val="14"/>
          <w:szCs w:val="14"/>
          <w:color w:val="auto"/>
        </w:rPr>
        <w:t>Licensee shall promptly inform XENCOR of any Licensee Flow-Through Patent Rights that arise during the License Term.</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00"/>
          </w:cols>
          <w:pgMar w:left="300" w:top="762" w:right="399" w:bottom="1440" w:gutter="0" w:footer="0" w:header="0"/>
        </w:sectPr>
      </w:pPr>
    </w:p>
    <w:bookmarkStart w:id="373" w:name="page374"/>
    <w:bookmarkEnd w:id="373"/>
    <w:p>
      <w:pPr>
        <w:ind w:left="540" w:hanging="532"/>
        <w:spacing w:after="0"/>
        <w:tabs>
          <w:tab w:leader="none" w:pos="540" w:val="left"/>
        </w:tabs>
        <w:numPr>
          <w:ilvl w:val="0"/>
          <w:numId w:val="21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Representations and Warranties.</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11.1</w:t>
      </w:r>
      <w:r>
        <w:rPr>
          <w:sz w:val="20"/>
          <w:szCs w:val="20"/>
          <w:color w:val="auto"/>
        </w:rPr>
        <w:tab/>
      </w:r>
      <w:r>
        <w:rPr>
          <w:rFonts w:ascii="Times New Roman" w:cs="Times New Roman" w:eastAsia="Times New Roman" w:hAnsi="Times New Roman"/>
          <w:sz w:val="14"/>
          <w:szCs w:val="14"/>
          <w:b w:val="1"/>
          <w:bCs w:val="1"/>
          <w:color w:val="auto"/>
        </w:rPr>
        <w:t>Representations and Warranties of Each Party</w:t>
      </w:r>
      <w:r>
        <w:rPr>
          <w:rFonts w:ascii="Times New Roman" w:cs="Times New Roman" w:eastAsia="Times New Roman" w:hAnsi="Times New Roman"/>
          <w:sz w:val="14"/>
          <w:szCs w:val="14"/>
          <w:color w:val="auto"/>
        </w:rPr>
        <w:t>. As of the Execution Date, each of Licensee and XENCOR hereby represents and warrants to the other Party hereto as follows:</w:t>
      </w:r>
    </w:p>
    <w:p>
      <w:pPr>
        <w:spacing w:after="0" w:line="181" w:lineRule="exact"/>
        <w:rPr>
          <w:sz w:val="20"/>
          <w:szCs w:val="20"/>
          <w:color w:val="auto"/>
        </w:rPr>
      </w:pPr>
    </w:p>
    <w:p>
      <w:pPr>
        <w:ind w:left="1600" w:right="40" w:hanging="537"/>
        <w:spacing w:after="0" w:line="257" w:lineRule="auto"/>
        <w:tabs>
          <w:tab w:leader="none" w:pos="1600"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a corporation or entity duly organized, in good standing, and validly existing under the laws of the state or other jurisdiction of its incorporation or formation, and has full corporate power and authority and the legal right to own and operate its property and assets and to carry on its business as it is now being conducted and as contemplated in this Agreement;</w:t>
      </w:r>
    </w:p>
    <w:p>
      <w:pPr>
        <w:spacing w:after="0" w:line="149" w:lineRule="exact"/>
        <w:rPr>
          <w:rFonts w:ascii="Times New Roman" w:cs="Times New Roman" w:eastAsia="Times New Roman" w:hAnsi="Times New Roman"/>
          <w:sz w:val="15"/>
          <w:szCs w:val="15"/>
          <w:color w:val="auto"/>
        </w:rPr>
      </w:pPr>
    </w:p>
    <w:p>
      <w:pPr>
        <w:ind w:left="1600" w:right="80" w:hanging="537"/>
        <w:spacing w:after="0" w:line="252" w:lineRule="auto"/>
        <w:tabs>
          <w:tab w:leader="none" w:pos="1600"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has taken all necessary corporate action on its part required to authorize the execution and delivery of this Agreement and the performance of its obligations hereunder, and this Agreement has been duly executed and delivered on behalf of such Party, and constitutes a legal, valid, and binding obligation of such Party that is enforceable against it in accordance with its terms, except as enforcement may be affected by bankruptcy, insolvency or other similar laws and by general principles of equity;</w:t>
      </w:r>
    </w:p>
    <w:p>
      <w:pPr>
        <w:spacing w:after="0" w:line="154"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with respect to Regulatory Approvals for the Development, Manufacturing or Commercialization of the Products or as otherwise described in this Agreement,</w:t>
      </w:r>
    </w:p>
    <w:p>
      <w:pPr>
        <w:spacing w:after="0" w:line="29" w:lineRule="exact"/>
        <w:rPr>
          <w:rFonts w:ascii="Times New Roman" w:cs="Times New Roman" w:eastAsia="Times New Roman" w:hAnsi="Times New Roman"/>
          <w:sz w:val="14"/>
          <w:szCs w:val="14"/>
          <w:color w:val="auto"/>
        </w:rPr>
      </w:pPr>
    </w:p>
    <w:p>
      <w:pPr>
        <w:ind w:left="1600" w:right="60"/>
        <w:spacing w:after="0" w:line="24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(i) all necessary consents, approvals and authorizations of, and (ii) all notices to, and filings by such Party with, all governmental authorities and other Persons required to be obtained or provided by such Party as of the Execution Date in connection with the execution, delivery and performance of this Agreement have been obtained and provided, except for those approvals, if any, not required at the time of execution of this Agreement;</w:t>
      </w:r>
    </w:p>
    <w:p>
      <w:pPr>
        <w:spacing w:after="0" w:line="158" w:lineRule="exact"/>
        <w:rPr>
          <w:rFonts w:ascii="Times New Roman" w:cs="Times New Roman" w:eastAsia="Times New Roman" w:hAnsi="Times New Roman"/>
          <w:sz w:val="14"/>
          <w:szCs w:val="14"/>
          <w:color w:val="auto"/>
        </w:rPr>
      </w:pPr>
    </w:p>
    <w:p>
      <w:pPr>
        <w:ind w:left="1600" w:right="540" w:hanging="537"/>
        <w:spacing w:after="0" w:line="269" w:lineRule="auto"/>
        <w:tabs>
          <w:tab w:leader="none" w:pos="1600"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execution, delivery and performance of this Agreement by such Party has been duly authorized by all requisite corporate action and does not require any shareholder action or approval (in addition to any obtained as of the Execution Date), and shall not violate any Applicable Law;</w:t>
      </w:r>
    </w:p>
    <w:p>
      <w:pPr>
        <w:spacing w:after="0" w:line="140"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has the power and authority to execute and deliver this Agreement and to perform its obligations hereunder;</w:t>
      </w:r>
    </w:p>
    <w:p>
      <w:pPr>
        <w:spacing w:after="0" w:line="179" w:lineRule="exact"/>
        <w:rPr>
          <w:rFonts w:ascii="Times New Roman" w:cs="Times New Roman" w:eastAsia="Times New Roman" w:hAnsi="Times New Roman"/>
          <w:sz w:val="15"/>
          <w:szCs w:val="15"/>
          <w:color w:val="auto"/>
        </w:rPr>
      </w:pPr>
    </w:p>
    <w:p>
      <w:pPr>
        <w:ind w:left="1600" w:right="40" w:hanging="537"/>
        <w:spacing w:after="0" w:line="252" w:lineRule="auto"/>
        <w:tabs>
          <w:tab w:leader="none" w:pos="1600"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execution, delivery and performance by such Party of this Agreement and its compliance with the terms and provisions does not and shall not conflict with or result in a breach of any of the terms and provisions of or constitute a default or material breach under (i) any other agreements to which it is a party; (ii) the provisions of its charter or operative documents or bylaws; or (iii) any order, writ, injunction or decree of any court or Government Authority entered against it or by which any of its property is bound; and</w:t>
      </w:r>
    </w:p>
    <w:p>
      <w:pPr>
        <w:spacing w:after="0" w:line="154" w:lineRule="exact"/>
        <w:rPr>
          <w:rFonts w:ascii="Times New Roman" w:cs="Times New Roman" w:eastAsia="Times New Roman" w:hAnsi="Times New Roman"/>
          <w:sz w:val="15"/>
          <w:szCs w:val="15"/>
          <w:color w:val="auto"/>
        </w:rPr>
      </w:pPr>
    </w:p>
    <w:p>
      <w:pPr>
        <w:ind w:left="1600" w:hanging="537"/>
        <w:spacing w:after="0"/>
        <w:tabs>
          <w:tab w:leader="none" w:pos="1600"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has the full right, power and authority to grant all of the right, title and interest in the licenses granted to the other Party under this Agreement.</w:t>
      </w:r>
    </w:p>
    <w:p>
      <w:pPr>
        <w:spacing w:after="0" w:line="1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11.2</w:t>
      </w:r>
      <w:r>
        <w:rPr>
          <w:sz w:val="20"/>
          <w:szCs w:val="20"/>
          <w:color w:val="auto"/>
        </w:rPr>
        <w:tab/>
      </w:r>
      <w:r>
        <w:rPr>
          <w:rFonts w:ascii="Times New Roman" w:cs="Times New Roman" w:eastAsia="Times New Roman" w:hAnsi="Times New Roman"/>
          <w:sz w:val="14"/>
          <w:szCs w:val="14"/>
          <w:b w:val="1"/>
          <w:bCs w:val="1"/>
          <w:color w:val="auto"/>
        </w:rPr>
        <w:t>Additional Representations, Warranties and Covenants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11.2.1</w:t>
      </w:r>
      <w:r>
        <w:rPr>
          <w:sz w:val="20"/>
          <w:szCs w:val="20"/>
          <w:color w:val="auto"/>
        </w:rPr>
        <w:tab/>
      </w:r>
      <w:r>
        <w:rPr>
          <w:rFonts w:ascii="Times New Roman" w:cs="Times New Roman" w:eastAsia="Times New Roman" w:hAnsi="Times New Roman"/>
          <w:sz w:val="14"/>
          <w:szCs w:val="14"/>
          <w:b w:val="1"/>
          <w:bCs w:val="1"/>
          <w:color w:val="auto"/>
        </w:rPr>
        <w:t>Additional Representations and Warranties of XENCOR</w:t>
      </w:r>
      <w:r>
        <w:rPr>
          <w:rFonts w:ascii="Times New Roman" w:cs="Times New Roman" w:eastAsia="Times New Roman" w:hAnsi="Times New Roman"/>
          <w:sz w:val="14"/>
          <w:szCs w:val="14"/>
          <w:color w:val="auto"/>
        </w:rPr>
        <w:t>. XENCOR hereby represents and warrants to Licensee that, as of the Execution Date:</w:t>
      </w:r>
    </w:p>
    <w:p>
      <w:pPr>
        <w:spacing w:after="0" w:line="3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74" w:name="page375"/>
    <w:bookmarkEnd w:id="374"/>
    <w:p>
      <w:pPr>
        <w:ind w:left="537" w:hanging="537"/>
        <w:spacing w:after="0" w:line="252" w:lineRule="auto"/>
        <w:tabs>
          <w:tab w:leader="none" w:pos="537"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 Agreement, it is the sole and exclusive owner or licensee of the XENCOR Patent Rights, free and clear of all Liens, and has sufficient legal or beneficial title and ownership of or sufficient license rights under all XENCOR Intellectual Property to (i) grant to Licensee the licenses and rights granted under this Agreement, and (ii) enable Licensee to practice under the XENCOR Intellectual Property and exploit the Licensed Asset and Products existing as of the Execution Date as permitted in this Agreement;</w:t>
      </w:r>
    </w:p>
    <w:p>
      <w:pPr>
        <w:spacing w:after="0" w:line="154" w:lineRule="exact"/>
        <w:rPr>
          <w:rFonts w:ascii="Times New Roman" w:cs="Times New Roman" w:eastAsia="Times New Roman" w:hAnsi="Times New Roman"/>
          <w:sz w:val="15"/>
          <w:szCs w:val="15"/>
          <w:color w:val="auto"/>
        </w:rPr>
      </w:pPr>
    </w:p>
    <w:p>
      <w:pPr>
        <w:ind w:left="537" w:right="180" w:hanging="537"/>
        <w:spacing w:after="0" w:line="257" w:lineRule="auto"/>
        <w:tabs>
          <w:tab w:leader="none" w:pos="537"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XENCOR Patent Rights listed on </w:t>
      </w:r>
      <w:r>
        <w:rPr>
          <w:rFonts w:ascii="Times New Roman" w:cs="Times New Roman" w:eastAsia="Times New Roman" w:hAnsi="Times New Roman"/>
          <w:sz w:val="15"/>
          <w:szCs w:val="15"/>
          <w:u w:val="single" w:color="auto"/>
          <w:color w:val="auto"/>
        </w:rPr>
        <w:t>Schedule 1.82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Schedule 1.86</w:t>
      </w:r>
      <w:r>
        <w:rPr>
          <w:rFonts w:ascii="Times New Roman" w:cs="Times New Roman" w:eastAsia="Times New Roman" w:hAnsi="Times New Roman"/>
          <w:sz w:val="15"/>
          <w:szCs w:val="15"/>
          <w:color w:val="auto"/>
        </w:rPr>
        <w:t xml:space="preserve"> hereto constitute all of the XENCOR Patent Rights that Cover the Development, Manufacture or Commercialization of the Licensed Asset and Products existing as of the Execution Date in the Field in the Licensed Territory as contemplated by this Agreement;</w:t>
      </w:r>
    </w:p>
    <w:p>
      <w:pPr>
        <w:spacing w:after="0" w:line="149" w:lineRule="exact"/>
        <w:rPr>
          <w:rFonts w:ascii="Times New Roman" w:cs="Times New Roman" w:eastAsia="Times New Roman" w:hAnsi="Times New Roman"/>
          <w:sz w:val="15"/>
          <w:szCs w:val="15"/>
          <w:color w:val="auto"/>
        </w:rPr>
      </w:pPr>
    </w:p>
    <w:p>
      <w:pPr>
        <w:ind w:left="537" w:right="40" w:hanging="537"/>
        <w:spacing w:after="0" w:line="276" w:lineRule="auto"/>
        <w:tabs>
          <w:tab w:leader="none" w:pos="537"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XENCOR Patent Rights listed on </w:t>
      </w:r>
      <w:r>
        <w:rPr>
          <w:rFonts w:ascii="Times New Roman" w:cs="Times New Roman" w:eastAsia="Times New Roman" w:hAnsi="Times New Roman"/>
          <w:sz w:val="14"/>
          <w:szCs w:val="14"/>
          <w:u w:val="single" w:color="auto"/>
          <w:color w:val="auto"/>
        </w:rPr>
        <w:t>Schedule 1.86</w:t>
      </w:r>
      <w:r>
        <w:rPr>
          <w:rFonts w:ascii="Times New Roman" w:cs="Times New Roman" w:eastAsia="Times New Roman" w:hAnsi="Times New Roman"/>
          <w:sz w:val="14"/>
          <w:szCs w:val="14"/>
          <w:color w:val="auto"/>
        </w:rPr>
        <w:t xml:space="preserve"> hereto constitute all XENCOR Patent Rights existing as of the Execution Date that solely and specifically relate to the Licensed Asset or its corresponding Products existing as of the Execution Date, including (i) the composition of matter of the Licensed Asset or such corresponding Products, (ii) the formulation of the Licensed Asset or such corresponding Products, (iii) any use or a method of using (or a method of treatment with respect to) the Licensed Asset or such corresponding Products, or (iv) any method of Manufacturing the Licensed Asset or such corresponding Products;</w:t>
      </w:r>
    </w:p>
    <w:p>
      <w:pPr>
        <w:spacing w:after="0" w:line="138" w:lineRule="exact"/>
        <w:rPr>
          <w:rFonts w:ascii="Times New Roman" w:cs="Times New Roman" w:eastAsia="Times New Roman" w:hAnsi="Times New Roman"/>
          <w:sz w:val="14"/>
          <w:szCs w:val="14"/>
          <w:color w:val="auto"/>
        </w:rPr>
      </w:pPr>
    </w:p>
    <w:p>
      <w:pPr>
        <w:ind w:left="537" w:hanging="537"/>
        <w:spacing w:after="0"/>
        <w:tabs>
          <w:tab w:leader="none" w:pos="537"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Schedule 1.61</w:t>
      </w:r>
      <w:r>
        <w:rPr>
          <w:rFonts w:ascii="Times New Roman" w:cs="Times New Roman" w:eastAsia="Times New Roman" w:hAnsi="Times New Roman"/>
          <w:sz w:val="15"/>
          <w:szCs w:val="15"/>
          <w:color w:val="auto"/>
        </w:rPr>
        <w:t xml:space="preserve"> sets forth a complete and accurate list of all [***] Flow-Through Patent Rights existing as of the Execution Date;</w:t>
      </w:r>
    </w:p>
    <w:p>
      <w:pPr>
        <w:spacing w:after="0" w:line="179" w:lineRule="exact"/>
        <w:rPr>
          <w:rFonts w:ascii="Times New Roman" w:cs="Times New Roman" w:eastAsia="Times New Roman" w:hAnsi="Times New Roman"/>
          <w:sz w:val="15"/>
          <w:szCs w:val="15"/>
          <w:color w:val="auto"/>
        </w:rPr>
      </w:pPr>
    </w:p>
    <w:p>
      <w:pPr>
        <w:ind w:left="537" w:right="80" w:hanging="537"/>
        <w:spacing w:after="0" w:line="269" w:lineRule="auto"/>
        <w:tabs>
          <w:tab w:leader="none" w:pos="537"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XENCOR Intellectual Property includes all Intellectual Property Controlled by XENCOR and its Affiliates that are necessary for the Development, Manufacture or Commercialization of any Licensed Asset or Product existing as of the Execution Date in the Field in the Licensed Territory;</w:t>
      </w:r>
    </w:p>
    <w:p>
      <w:pPr>
        <w:spacing w:after="0" w:line="140" w:lineRule="exact"/>
        <w:rPr>
          <w:rFonts w:ascii="Times New Roman" w:cs="Times New Roman" w:eastAsia="Times New Roman" w:hAnsi="Times New Roman"/>
          <w:sz w:val="15"/>
          <w:szCs w:val="15"/>
          <w:color w:val="auto"/>
        </w:rPr>
      </w:pPr>
    </w:p>
    <w:p>
      <w:pPr>
        <w:ind w:left="537" w:right="20" w:hanging="537"/>
        <w:spacing w:after="0" w:line="250" w:lineRule="auto"/>
        <w:tabs>
          <w:tab w:leader="none" w:pos="537"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all XENCOR Patent Rights owned or purported to be owned by XENCOR, (i) XENCOR and its Affiliates have obtained from all employees and independent contractors who participated in the invention or authority thereof, assignment of all ownership rights of such employees or independent contractors in such XENCOR Patent Rights of all right, title and interest in and to such XENCOR Patent Rights; and (ii) all of XENCOR’s employees and independent contractors have executed agreements or have existing obligations under Applicable Law requiring assignment to XENCOR or its Affiliate, as applicable, of all right, title, and interest in and to any inventions made during the course of and as the result of this Agreement;</w:t>
      </w:r>
    </w:p>
    <w:p>
      <w:pPr>
        <w:spacing w:after="0" w:line="156" w:lineRule="exact"/>
        <w:rPr>
          <w:rFonts w:ascii="Times New Roman" w:cs="Times New Roman" w:eastAsia="Times New Roman" w:hAnsi="Times New Roman"/>
          <w:sz w:val="15"/>
          <w:szCs w:val="15"/>
          <w:color w:val="auto"/>
        </w:rPr>
      </w:pPr>
    </w:p>
    <w:p>
      <w:pPr>
        <w:ind w:left="537" w:right="100" w:hanging="537"/>
        <w:spacing w:after="0" w:line="257" w:lineRule="auto"/>
        <w:tabs>
          <w:tab w:leader="none" w:pos="537"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XENCOR nor any of its Affiliates is a party to any license or similar agreement under which it has granted or agreed to grant a license to any Third Party to the XENCOR Patent Rights and XENCOR Know-How that would conflict with or result in a restriction on the rights or licenses granted to Licensee under this Agreement;</w:t>
      </w:r>
    </w:p>
    <w:p>
      <w:pPr>
        <w:spacing w:after="0" w:line="325" w:lineRule="exact"/>
        <w:rPr>
          <w:sz w:val="20"/>
          <w:szCs w:val="20"/>
          <w:color w:val="auto"/>
        </w:rPr>
      </w:pPr>
    </w:p>
    <w:p>
      <w:pPr>
        <w:ind w:left="4497"/>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11430</wp:posOffset>
            </wp:positionV>
            <wp:extent cx="7157720" cy="698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197"/>
          </w:cols>
          <w:pgMar w:left="1363" w:top="762" w:right="339" w:bottom="1440" w:gutter="0" w:footer="0" w:header="0"/>
        </w:sectPr>
      </w:pPr>
    </w:p>
    <w:bookmarkStart w:id="375" w:name="page376"/>
    <w:bookmarkEnd w:id="375"/>
    <w:p>
      <w:pPr>
        <w:ind w:left="537" w:right="100" w:hanging="537"/>
        <w:spacing w:after="0" w:line="269" w:lineRule="auto"/>
        <w:tabs>
          <w:tab w:leader="none" w:pos="537"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XENCOR Patent Rights has been adjudged invalid or unenforceable in whole or in part, other than abandoned patents, nor is there any such proceeding pending;</w:t>
      </w:r>
    </w:p>
    <w:p>
      <w:pPr>
        <w:spacing w:after="0" w:line="140" w:lineRule="exact"/>
        <w:rPr>
          <w:rFonts w:ascii="Times New Roman" w:cs="Times New Roman" w:eastAsia="Times New Roman" w:hAnsi="Times New Roman"/>
          <w:sz w:val="15"/>
          <w:szCs w:val="15"/>
          <w:color w:val="auto"/>
        </w:rPr>
      </w:pPr>
    </w:p>
    <w:p>
      <w:pPr>
        <w:ind w:left="537" w:hanging="537"/>
        <w:spacing w:after="0"/>
        <w:tabs>
          <w:tab w:leader="none" w:pos="537"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disclosed in writing to Licensee, to its Knowledge, there is no infringement or misappropriation of any XENCOR Intellectual Property by any Third Party;</w:t>
      </w:r>
    </w:p>
    <w:p>
      <w:pPr>
        <w:spacing w:after="0" w:line="190" w:lineRule="exact"/>
        <w:rPr>
          <w:rFonts w:ascii="Times New Roman" w:cs="Times New Roman" w:eastAsia="Times New Roman" w:hAnsi="Times New Roman"/>
          <w:sz w:val="14"/>
          <w:szCs w:val="14"/>
          <w:color w:val="auto"/>
        </w:rPr>
      </w:pPr>
    </w:p>
    <w:p>
      <w:pPr>
        <w:ind w:left="537" w:right="40" w:hanging="537"/>
        <w:spacing w:after="0" w:line="269" w:lineRule="auto"/>
        <w:tabs>
          <w:tab w:leader="none" w:pos="537"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has not received any written notice of any suit, claim, action or proceeding challenging or seeking to deny its rights or any of its Affiliates’ rights in any XENCOR Intellectual Property, excluding prosecution of patent applications with the relevant administrative patent offices;</w:t>
      </w:r>
    </w:p>
    <w:p>
      <w:pPr>
        <w:spacing w:after="0" w:line="140" w:lineRule="exact"/>
        <w:rPr>
          <w:rFonts w:ascii="Times New Roman" w:cs="Times New Roman" w:eastAsia="Times New Roman" w:hAnsi="Times New Roman"/>
          <w:sz w:val="15"/>
          <w:szCs w:val="15"/>
          <w:color w:val="auto"/>
        </w:rPr>
      </w:pPr>
    </w:p>
    <w:p>
      <w:pPr>
        <w:ind w:left="537" w:right="140" w:hanging="537"/>
        <w:spacing w:after="0" w:line="276" w:lineRule="auto"/>
        <w:tabs>
          <w:tab w:leader="none" w:pos="537"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its Knowledge, it (and any Third Party acting under its authority) (i) has complied in all material respects with all Applicable Laws and applicable governmental regulations and industrial standards (including GLP, GCP, and GMP) in connection with the Development, Manufacture, storage and disposition of the Licensed Asset or Product (including information and data provided to Regulatory Authorities), and (ii) has not used any employee, consultant or contractor who has been debarred by any Regulatory Authority, or is the subject of a debarment proceeding by any Regulatory Authority in connection therewith;</w:t>
      </w:r>
    </w:p>
    <w:p>
      <w:pPr>
        <w:spacing w:after="0" w:line="138" w:lineRule="exact"/>
        <w:rPr>
          <w:rFonts w:ascii="Times New Roman" w:cs="Times New Roman" w:eastAsia="Times New Roman" w:hAnsi="Times New Roman"/>
          <w:sz w:val="14"/>
          <w:szCs w:val="14"/>
          <w:color w:val="auto"/>
        </w:rPr>
      </w:pPr>
    </w:p>
    <w:p>
      <w:pPr>
        <w:jc w:val="both"/>
        <w:ind w:left="537" w:right="580" w:hanging="537"/>
        <w:spacing w:after="0" w:line="257" w:lineRule="auto"/>
        <w:tabs>
          <w:tab w:leader="none" w:pos="537"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and its Affiliates have taken commercially reasonable precautions to preserve the confidentiality of XENCOR Know-How that XENCOR intends to keep confidential, including requiring all of its employees, consultants, sublicensees or subcontractors to execute agreements contain appropriate confidentiality obligations to maintain as confidential XENCOR Know-How and Confidential Information;</w:t>
      </w:r>
    </w:p>
    <w:p>
      <w:pPr>
        <w:spacing w:after="0" w:line="149" w:lineRule="exact"/>
        <w:rPr>
          <w:rFonts w:ascii="Times New Roman" w:cs="Times New Roman" w:eastAsia="Times New Roman" w:hAnsi="Times New Roman"/>
          <w:sz w:val="15"/>
          <w:szCs w:val="15"/>
          <w:color w:val="auto"/>
        </w:rPr>
      </w:pPr>
    </w:p>
    <w:p>
      <w:pPr>
        <w:ind w:left="537" w:hanging="537"/>
        <w:spacing w:after="0" w:line="252" w:lineRule="auto"/>
        <w:tabs>
          <w:tab w:leader="none" w:pos="537"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XENCOR nor its Affiliates have entered into a government funding relationship that would result in rights to any Licensed Asset or Product existing as of the Execution Date residing in the US Government, National Institutes of Health, National Institute for Drug Abuse or other agency, and the licenses granted hereunder are not subject to overriding obligations to the US Government as set forth in Public Law 96 517 (35 U.S.C. 200 204), as amended, or any similar obligations under the Laws of Canada or any other country;</w:t>
      </w:r>
    </w:p>
    <w:p>
      <w:pPr>
        <w:spacing w:after="0" w:line="154" w:lineRule="exact"/>
        <w:rPr>
          <w:rFonts w:ascii="Times New Roman" w:cs="Times New Roman" w:eastAsia="Times New Roman" w:hAnsi="Times New Roman"/>
          <w:sz w:val="15"/>
          <w:szCs w:val="15"/>
          <w:color w:val="auto"/>
        </w:rPr>
      </w:pPr>
    </w:p>
    <w:p>
      <w:pPr>
        <w:ind w:left="537" w:hanging="537"/>
        <w:spacing w:after="0" w:line="250" w:lineRule="auto"/>
        <w:tabs>
          <w:tab w:leader="none" w:pos="537"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its Knowledge, the Development, Manufacture, or Commercialization of the Licensed Asset and Products, as conducted by XENCOR, its Affiliates, or its or their sublicensees prior to the Execution Date did not infringe any Patent Right or misappropriate or otherwise violate or misappropriate any Know-How of any Person. No claim of infringement of the Patent Rights or misappropriation of the Know-How of any Person has been received by the XENCOR or its Affiliates, or to its Knowledge, threatened, against XENCOR, its Affiliates, or its or their sublicensees with respect to the Development, Manufacture or Commercialization of Licensed Asset and Products.</w:t>
      </w:r>
    </w:p>
    <w:p>
      <w:pPr>
        <w:spacing w:after="0" w:line="156" w:lineRule="exact"/>
        <w:rPr>
          <w:rFonts w:ascii="Times New Roman" w:cs="Times New Roman" w:eastAsia="Times New Roman" w:hAnsi="Times New Roman"/>
          <w:sz w:val="15"/>
          <w:szCs w:val="15"/>
          <w:color w:val="auto"/>
        </w:rPr>
      </w:pPr>
    </w:p>
    <w:p>
      <w:pPr>
        <w:ind w:left="537" w:right="40" w:hanging="537"/>
        <w:spacing w:after="0" w:line="257" w:lineRule="auto"/>
        <w:tabs>
          <w:tab w:leader="none" w:pos="537"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its Knowledge, the Development, Manufacture or Commercialization of the Licensed Asset or Products in the Field and in the Licensed Territory as permitted under this Agreement, if Developed, Manufactured or Commercialized as of the Execution Date, would not infringe any Patent Right or misappropriate or otherwise violate any Know-How of any Person.</w:t>
      </w:r>
    </w:p>
    <w:p>
      <w:pPr>
        <w:spacing w:after="0" w:line="325" w:lineRule="exact"/>
        <w:rPr>
          <w:sz w:val="20"/>
          <w:szCs w:val="20"/>
          <w:color w:val="auto"/>
        </w:rPr>
      </w:pPr>
    </w:p>
    <w:p>
      <w:pPr>
        <w:ind w:left="4497"/>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11430</wp:posOffset>
            </wp:positionV>
            <wp:extent cx="7157720" cy="69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217"/>
          </w:cols>
          <w:pgMar w:left="1363" w:top="762" w:right="319" w:bottom="1440" w:gutter="0" w:footer="0" w:header="0"/>
        </w:sectPr>
      </w:pPr>
    </w:p>
    <w:bookmarkStart w:id="376" w:name="page377"/>
    <w:bookmarkEnd w:id="376"/>
    <w:p>
      <w:pPr>
        <w:ind w:left="1520" w:hanging="537"/>
        <w:spacing w:after="0"/>
        <w:tabs>
          <w:tab w:leader="none" w:pos="1520"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XENCOR nor its Affiliates are conducting Development of any XmAb5871 Program Antibody other than XmAb5871.</w:t>
      </w:r>
    </w:p>
    <w:p>
      <w:pPr>
        <w:spacing w:after="0" w:line="179" w:lineRule="exact"/>
        <w:rPr>
          <w:rFonts w:ascii="Times New Roman" w:cs="Times New Roman" w:eastAsia="Times New Roman" w:hAnsi="Times New Roman"/>
          <w:sz w:val="15"/>
          <w:szCs w:val="15"/>
          <w:color w:val="auto"/>
        </w:rPr>
      </w:pPr>
    </w:p>
    <w:p>
      <w:pPr>
        <w:ind w:left="1520" w:right="80" w:hanging="537"/>
        <w:spacing w:after="0" w:line="269" w:lineRule="auto"/>
        <w:tabs>
          <w:tab w:leader="none" w:pos="1520"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for the Upstream Licenses, there is no agreement between XENCOR or its Affiliates with any Third Party pursuant to which XENCOR or its Affiliates has in-licensed any XENCOR Intellectual Property;</w:t>
      </w:r>
    </w:p>
    <w:p>
      <w:pPr>
        <w:spacing w:after="0" w:line="140" w:lineRule="exact"/>
        <w:rPr>
          <w:rFonts w:ascii="Times New Roman" w:cs="Times New Roman" w:eastAsia="Times New Roman" w:hAnsi="Times New Roman"/>
          <w:sz w:val="15"/>
          <w:szCs w:val="15"/>
          <w:color w:val="auto"/>
        </w:rPr>
      </w:pPr>
    </w:p>
    <w:p>
      <w:pPr>
        <w:ind w:left="1520" w:right="300" w:hanging="537"/>
        <w:spacing w:after="0" w:line="269" w:lineRule="auto"/>
        <w:tabs>
          <w:tab w:leader="none" w:pos="1520"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Schedule 1.77</w:t>
      </w:r>
      <w:r>
        <w:rPr>
          <w:rFonts w:ascii="Times New Roman" w:cs="Times New Roman" w:eastAsia="Times New Roman" w:hAnsi="Times New Roman"/>
          <w:sz w:val="15"/>
          <w:szCs w:val="15"/>
          <w:color w:val="auto"/>
        </w:rPr>
        <w:t xml:space="preserve"> sets forth a complete and accurate list of all Upstream Licenses in effect as of the Execution Date; XENCOR has provided Licensee with a true, complete and correct copy of each Upstream License, and each Upstream License is in full force and effect; and</w:t>
      </w:r>
    </w:p>
    <w:p>
      <w:pPr>
        <w:spacing w:after="0" w:line="140" w:lineRule="exact"/>
        <w:rPr>
          <w:rFonts w:ascii="Times New Roman" w:cs="Times New Roman" w:eastAsia="Times New Roman" w:hAnsi="Times New Roman"/>
          <w:sz w:val="15"/>
          <w:szCs w:val="15"/>
          <w:color w:val="auto"/>
        </w:rPr>
      </w:pPr>
    </w:p>
    <w:p>
      <w:pPr>
        <w:ind w:left="1520" w:right="60" w:hanging="537"/>
        <w:spacing w:after="0" w:line="269" w:lineRule="auto"/>
        <w:tabs>
          <w:tab w:leader="none" w:pos="1520"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written notice of default or termination has been received or given under any Upstream License, and to its Knowledge, there is no act or omission by XENCOR that would provide a right to terminate any Upstream License.</w:t>
      </w:r>
    </w:p>
    <w:p>
      <w:pPr>
        <w:spacing w:after="0" w:line="139" w:lineRule="exact"/>
        <w:rPr>
          <w:sz w:val="20"/>
          <w:szCs w:val="20"/>
          <w:color w:val="auto"/>
        </w:rPr>
      </w:pPr>
    </w:p>
    <w:p>
      <w:pPr>
        <w:ind w:left="460"/>
        <w:spacing w:after="0"/>
        <w:tabs>
          <w:tab w:leader="none" w:pos="960" w:val="left"/>
        </w:tabs>
        <w:rPr>
          <w:sz w:val="20"/>
          <w:szCs w:val="20"/>
          <w:color w:val="auto"/>
        </w:rPr>
      </w:pPr>
      <w:r>
        <w:rPr>
          <w:rFonts w:ascii="Times New Roman" w:cs="Times New Roman" w:eastAsia="Times New Roman" w:hAnsi="Times New Roman"/>
          <w:sz w:val="15"/>
          <w:szCs w:val="15"/>
          <w:color w:val="auto"/>
        </w:rPr>
        <w:t>11.2.2</w:t>
      </w:r>
      <w:r>
        <w:rPr>
          <w:sz w:val="20"/>
          <w:szCs w:val="20"/>
          <w:color w:val="auto"/>
        </w:rPr>
        <w:tab/>
      </w:r>
      <w:r>
        <w:rPr>
          <w:rFonts w:ascii="Times New Roman" w:cs="Times New Roman" w:eastAsia="Times New Roman" w:hAnsi="Times New Roman"/>
          <w:sz w:val="14"/>
          <w:szCs w:val="14"/>
          <w:b w:val="1"/>
          <w:bCs w:val="1"/>
          <w:color w:val="auto"/>
        </w:rPr>
        <w:t>Covenants of XENCOR</w:t>
      </w:r>
      <w:r>
        <w:rPr>
          <w:rFonts w:ascii="Times New Roman" w:cs="Times New Roman" w:eastAsia="Times New Roman" w:hAnsi="Times New Roman"/>
          <w:sz w:val="14"/>
          <w:szCs w:val="14"/>
          <w:color w:val="auto"/>
        </w:rPr>
        <w:t>. XENCOR hereby covenants to Licensee that, during the License Term:</w:t>
      </w:r>
    </w:p>
    <w:p>
      <w:pPr>
        <w:spacing w:after="0" w:line="181" w:lineRule="exact"/>
        <w:rPr>
          <w:sz w:val="20"/>
          <w:szCs w:val="20"/>
          <w:color w:val="auto"/>
        </w:rPr>
      </w:pPr>
    </w:p>
    <w:p>
      <w:pPr>
        <w:ind w:left="1520" w:right="20" w:hanging="537"/>
        <w:spacing w:after="0" w:line="252" w:lineRule="auto"/>
        <w:tabs>
          <w:tab w:leader="none" w:pos="1520" w:val="left"/>
        </w:tabs>
        <w:numPr>
          <w:ilvl w:val="0"/>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Licensee’s compliance with the first sentence of </w:t>
      </w:r>
      <w:r>
        <w:rPr>
          <w:rFonts w:ascii="Times New Roman" w:cs="Times New Roman" w:eastAsia="Times New Roman" w:hAnsi="Times New Roman"/>
          <w:sz w:val="15"/>
          <w:szCs w:val="15"/>
          <w:u w:val="single" w:color="auto"/>
          <w:color w:val="auto"/>
        </w:rPr>
        <w:t>Section 2.4.2</w:t>
      </w:r>
      <w:r>
        <w:rPr>
          <w:rFonts w:ascii="Times New Roman" w:cs="Times New Roman" w:eastAsia="Times New Roman" w:hAnsi="Times New Roman"/>
          <w:sz w:val="15"/>
          <w:szCs w:val="15"/>
          <w:color w:val="auto"/>
        </w:rPr>
        <w:t>, XENCOR shall remain in compliance in all material respects with each Upstream License and shall not terminate, amend, waive or otherwise modify (or consent to any of the foregoing) its rights under any Upstream License in any manner that would materially adversely affect the rights or licenses granted to Licensee hereunder or increases or generates any new payment or other obligation under any Upstream License that would apply to Licensee, without Licensee’s express written consent; and</w:t>
      </w:r>
    </w:p>
    <w:p>
      <w:pPr>
        <w:spacing w:after="0" w:line="154" w:lineRule="exact"/>
        <w:rPr>
          <w:rFonts w:ascii="Times New Roman" w:cs="Times New Roman" w:eastAsia="Times New Roman" w:hAnsi="Times New Roman"/>
          <w:sz w:val="15"/>
          <w:szCs w:val="15"/>
          <w:color w:val="auto"/>
        </w:rPr>
      </w:pPr>
    </w:p>
    <w:p>
      <w:pPr>
        <w:jc w:val="both"/>
        <w:ind w:left="1520" w:hanging="537"/>
        <w:spacing w:after="0" w:line="257" w:lineRule="auto"/>
        <w:tabs>
          <w:tab w:leader="none" w:pos="1520" w:val="left"/>
        </w:tabs>
        <w:numPr>
          <w:ilvl w:val="0"/>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other than the payment obligation of Licensee expressly stipulated under </w:t>
      </w:r>
      <w:r>
        <w:rPr>
          <w:rFonts w:ascii="Times New Roman" w:cs="Times New Roman" w:eastAsia="Times New Roman" w:hAnsi="Times New Roman"/>
          <w:sz w:val="15"/>
          <w:szCs w:val="15"/>
          <w:u w:val="single" w:color="auto"/>
          <w:color w:val="auto"/>
        </w:rPr>
        <w:t>Section 2.4.2</w:t>
      </w:r>
      <w:r>
        <w:rPr>
          <w:rFonts w:ascii="Times New Roman" w:cs="Times New Roman" w:eastAsia="Times New Roman" w:hAnsi="Times New Roman"/>
          <w:sz w:val="15"/>
          <w:szCs w:val="15"/>
          <w:color w:val="auto"/>
        </w:rPr>
        <w:t xml:space="preserve"> and Licensee’s obligation to indemnify, defend and hold harmless XENCOR Indemnified Parties pursuant to </w:t>
      </w:r>
      <w:r>
        <w:rPr>
          <w:rFonts w:ascii="Times New Roman" w:cs="Times New Roman" w:eastAsia="Times New Roman" w:hAnsi="Times New Roman"/>
          <w:sz w:val="15"/>
          <w:szCs w:val="15"/>
          <w:u w:val="single" w:color="auto"/>
          <w:color w:val="auto"/>
        </w:rPr>
        <w:t>Section 15.2(a)</w:t>
      </w:r>
      <w:r>
        <w:rPr>
          <w:rFonts w:ascii="Times New Roman" w:cs="Times New Roman" w:eastAsia="Times New Roman" w:hAnsi="Times New Roman"/>
          <w:sz w:val="15"/>
          <w:szCs w:val="15"/>
          <w:color w:val="auto"/>
        </w:rPr>
        <w:t>, XENCOR shall be solely responsible for any and all payments payable to the respective Upstream Licensors under each applicable Upstream License.</w:t>
      </w:r>
    </w:p>
    <w:p>
      <w:pPr>
        <w:spacing w:after="0" w:line="147" w:lineRule="exact"/>
        <w:rPr>
          <w:sz w:val="20"/>
          <w:szCs w:val="20"/>
          <w:color w:val="auto"/>
        </w:rPr>
      </w:pPr>
    </w:p>
    <w:p>
      <w:pPr>
        <w:ind w:left="980" w:right="100" w:hanging="526"/>
        <w:spacing w:after="0" w:line="277" w:lineRule="auto"/>
        <w:tabs>
          <w:tab w:leader="none" w:pos="960" w:val="left"/>
        </w:tabs>
        <w:rPr>
          <w:sz w:val="20"/>
          <w:szCs w:val="20"/>
          <w:color w:val="auto"/>
        </w:rPr>
      </w:pPr>
      <w:r>
        <w:rPr>
          <w:rFonts w:ascii="Times New Roman" w:cs="Times New Roman" w:eastAsia="Times New Roman" w:hAnsi="Times New Roman"/>
          <w:sz w:val="15"/>
          <w:szCs w:val="15"/>
          <w:color w:val="auto"/>
        </w:rPr>
        <w:t>11.2.3</w:t>
      </w:r>
      <w:r>
        <w:rPr>
          <w:sz w:val="20"/>
          <w:szCs w:val="20"/>
          <w:color w:val="auto"/>
        </w:rPr>
        <w:tab/>
      </w:r>
      <w:r>
        <w:rPr>
          <w:rFonts w:ascii="Times New Roman" w:cs="Times New Roman" w:eastAsia="Times New Roman" w:hAnsi="Times New Roman"/>
          <w:sz w:val="14"/>
          <w:szCs w:val="14"/>
          <w:b w:val="1"/>
          <w:bCs w:val="1"/>
          <w:color w:val="auto"/>
        </w:rPr>
        <w:t>Covenants of Licensee</w:t>
      </w:r>
      <w:r>
        <w:rPr>
          <w:rFonts w:ascii="Times New Roman" w:cs="Times New Roman" w:eastAsia="Times New Roman" w:hAnsi="Times New Roman"/>
          <w:sz w:val="14"/>
          <w:szCs w:val="14"/>
          <w:color w:val="auto"/>
        </w:rPr>
        <w:t>. Licensee hereby covenants to XENCOR that, during the License Term, the Licensed Asset or Products Commercialized or Manufactured by,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 authority of, Licensee shall be: (a) packaged, labeled, handled, stored and shipped in accordance with, and shall conform to, the applicable Product specifications (as reflected in the applicable MAA or IND, as applicable); (b) packaged, labeled, handled, stored and shipped in compliance with all Applicable Law including GMPs in all material respects; and (c) Manufactured free of any material that would cause the Products to be adulterated or misbranded within the meaning of Applicable Law.</w:t>
      </w:r>
    </w:p>
    <w:p>
      <w:pPr>
        <w:spacing w:after="0" w:line="136" w:lineRule="exact"/>
        <w:rPr>
          <w:sz w:val="20"/>
          <w:szCs w:val="20"/>
          <w:color w:val="auto"/>
        </w:rPr>
      </w:pPr>
    </w:p>
    <w:p>
      <w:pPr>
        <w:ind w:left="460" w:right="120" w:hanging="526"/>
        <w:spacing w:after="0" w:line="258" w:lineRule="auto"/>
        <w:tabs>
          <w:tab w:leader="none" w:pos="440" w:val="left"/>
        </w:tabs>
        <w:rPr>
          <w:sz w:val="20"/>
          <w:szCs w:val="20"/>
          <w:color w:val="auto"/>
        </w:rPr>
      </w:pPr>
      <w:r>
        <w:rPr>
          <w:rFonts w:ascii="Times New Roman" w:cs="Times New Roman" w:eastAsia="Times New Roman" w:hAnsi="Times New Roman"/>
          <w:sz w:val="15"/>
          <w:szCs w:val="15"/>
          <w:color w:val="auto"/>
        </w:rPr>
        <w:t>11.3</w:t>
      </w:r>
      <w:r>
        <w:rPr>
          <w:sz w:val="20"/>
          <w:szCs w:val="20"/>
          <w:color w:val="auto"/>
        </w:rPr>
        <w:tab/>
      </w:r>
      <w:r>
        <w:rPr>
          <w:rFonts w:ascii="Times New Roman" w:cs="Times New Roman" w:eastAsia="Times New Roman" w:hAnsi="Times New Roman"/>
          <w:sz w:val="15"/>
          <w:szCs w:val="15"/>
          <w:b w:val="1"/>
          <w:bCs w:val="1"/>
          <w:color w:val="auto"/>
        </w:rPr>
        <w:t>Representation by Legal Counsel</w:t>
      </w:r>
      <w:r>
        <w:rPr>
          <w:rFonts w:ascii="Times New Roman" w:cs="Times New Roman" w:eastAsia="Times New Roman" w:hAnsi="Times New Roman"/>
          <w:sz w:val="15"/>
          <w:szCs w:val="15"/>
          <w:color w:val="auto"/>
        </w:rPr>
        <w:t>. Each Party hereto represents that it has been represented by legal counsel in connection with this Agreement and acknowledges that it has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participated in the drafting. In interpreting and applying the terms and provisions of this Agreement, the Parties agree that no presumption shall exist or be implied against the Party which drafted such terms and provisions.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11430</wp:posOffset>
            </wp:positionV>
            <wp:extent cx="7157720" cy="69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100"/>
          </w:cols>
          <w:pgMar w:left="380" w:top="762" w:right="419" w:bottom="1440" w:gutter="0" w:footer="0" w:header="0"/>
        </w:sectPr>
      </w:pPr>
    </w:p>
    <w:bookmarkStart w:id="377" w:name="page378"/>
    <w:bookmarkEnd w:id="377"/>
    <w:p>
      <w:pPr>
        <w:ind w:left="540" w:right="32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11.4</w:t>
      </w:r>
      <w:r>
        <w:rPr>
          <w:sz w:val="20"/>
          <w:szCs w:val="20"/>
          <w:color w:val="auto"/>
        </w:rPr>
        <w:tab/>
      </w:r>
      <w:r>
        <w:rPr>
          <w:rFonts w:ascii="Times New Roman" w:cs="Times New Roman" w:eastAsia="Times New Roman" w:hAnsi="Times New Roman"/>
          <w:sz w:val="15"/>
          <w:szCs w:val="15"/>
          <w:b w:val="1"/>
          <w:bCs w:val="1"/>
          <w:color w:val="auto"/>
        </w:rPr>
        <w:t>No Inconsistent Agreements</w:t>
      </w:r>
      <w:r>
        <w:rPr>
          <w:rFonts w:ascii="Times New Roman" w:cs="Times New Roman" w:eastAsia="Times New Roman" w:hAnsi="Times New Roman"/>
          <w:sz w:val="15"/>
          <w:szCs w:val="15"/>
          <w:color w:val="auto"/>
        </w:rPr>
        <w:t>. Neither Party has in effect and, after the Execution Date, neither Party shall enter into, any oral or written agreement or arrangement that would be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inconsistent with its obligations under this Agreement or limit the ability of either Party to grant the licenses granted under this Agreement.</w:t>
      </w:r>
    </w:p>
    <w:p>
      <w:pPr>
        <w:spacing w:after="0" w:line="136" w:lineRule="exact"/>
        <w:rPr>
          <w:sz w:val="20"/>
          <w:szCs w:val="20"/>
          <w:color w:val="auto"/>
        </w:rPr>
      </w:pPr>
    </w:p>
    <w:p>
      <w:pPr>
        <w:ind w:left="540" w:right="60" w:hanging="526"/>
        <w:spacing w:after="0" w:line="250" w:lineRule="auto"/>
        <w:tabs>
          <w:tab w:leader="none" w:pos="520" w:val="left"/>
        </w:tabs>
        <w:rPr>
          <w:sz w:val="20"/>
          <w:szCs w:val="20"/>
          <w:color w:val="auto"/>
        </w:rPr>
      </w:pPr>
      <w:r>
        <w:rPr>
          <w:rFonts w:ascii="Times New Roman" w:cs="Times New Roman" w:eastAsia="Times New Roman" w:hAnsi="Times New Roman"/>
          <w:sz w:val="15"/>
          <w:szCs w:val="15"/>
          <w:color w:val="auto"/>
        </w:rPr>
        <w:t>11.5</w:t>
      </w:r>
      <w:r>
        <w:rPr>
          <w:sz w:val="20"/>
          <w:szCs w:val="20"/>
          <w:color w:val="auto"/>
        </w:rPr>
        <w:tab/>
      </w:r>
      <w:r>
        <w:rPr>
          <w:rFonts w:ascii="Times New Roman" w:cs="Times New Roman" w:eastAsia="Times New Roman" w:hAnsi="Times New Roman"/>
          <w:sz w:val="15"/>
          <w:szCs w:val="15"/>
          <w:b w:val="1"/>
          <w:bCs w:val="1"/>
          <w:color w:val="auto"/>
        </w:rPr>
        <w:t>Disclaimer</w:t>
      </w:r>
      <w:r>
        <w:rPr>
          <w:rFonts w:ascii="Times New Roman" w:cs="Times New Roman" w:eastAsia="Times New Roman" w:hAnsi="Times New Roman"/>
          <w:sz w:val="15"/>
          <w:szCs w:val="15"/>
          <w:color w:val="auto"/>
        </w:rPr>
        <w:t>. EXCEPT FOR THE REPRESENTATIONS AND WARRANTIES OF EACH PARTY EXPRESSLY SET FORTH IN THIS AGREEMENT, NEITHER PARTY MAKES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ANY OTHER REPRESENTATIONS OR WARRANTIES OF ANY KIND, INCLUDING ANY IMPLIED WARRANTIES OF NONINFRINGEMENT, ANY IMPLIED WARRANTIES OF MERCHANTABILITY OR ANY IMPLIED WARRANTIES OF FITNESS FOR A PARTICULAR PURPOSE ALL OF WHICH ARE HEREBY SPECIFICALLY EXCLUDED AND DISCLAIMED. EACH PARTY HEREBY DISCLAIMS ANY REPRESENTATION OR WARRANTY THAT THE DEVELOPMENT, MANUFACTURE OR COMMERCIALIZATION OF ANY LICENSED ASSET OR ANY PRODUCT UNDER THIS AGREEMENT WILL BE SAFE, USEFUL, OR SUCCESSFUL.</w:t>
      </w:r>
    </w:p>
    <w:p>
      <w:pPr>
        <w:spacing w:after="0" w:line="152" w:lineRule="exact"/>
        <w:rPr>
          <w:sz w:val="20"/>
          <w:szCs w:val="20"/>
          <w:color w:val="auto"/>
        </w:rPr>
      </w:pPr>
    </w:p>
    <w:p>
      <w:pPr>
        <w:ind w:right="9380" w:firstLine="8"/>
        <w:spacing w:after="0" w:line="489" w:lineRule="auto"/>
        <w:tabs>
          <w:tab w:leader="none" w:pos="527" w:val="left"/>
        </w:tabs>
        <w:numPr>
          <w:ilvl w:val="0"/>
          <w:numId w:val="2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Intellectual Property</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12.1 </w:t>
      </w:r>
      <w:r>
        <w:rPr>
          <w:rFonts w:ascii="Times New Roman" w:cs="Times New Roman" w:eastAsia="Times New Roman" w:hAnsi="Times New Roman"/>
          <w:sz w:val="15"/>
          <w:szCs w:val="15"/>
          <w:b w:val="1"/>
          <w:bCs w:val="1"/>
          <w:color w:val="auto"/>
        </w:rPr>
        <w:t>Disclosure</w:t>
      </w:r>
      <w:r>
        <w:rPr>
          <w:rFonts w:ascii="Times New Roman" w:cs="Times New Roman" w:eastAsia="Times New Roman" w:hAnsi="Times New Roman"/>
          <w:sz w:val="15"/>
          <w:szCs w:val="15"/>
          <w:color w:val="auto"/>
        </w:rPr>
        <w:t>.</w:t>
      </w: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12.1.1</w:t>
      </w:r>
      <w:r>
        <w:rPr>
          <w:sz w:val="20"/>
          <w:szCs w:val="20"/>
          <w:color w:val="auto"/>
        </w:rPr>
        <w:tab/>
      </w:r>
      <w:r>
        <w:rPr>
          <w:rFonts w:ascii="Times New Roman" w:cs="Times New Roman" w:eastAsia="Times New Roman" w:hAnsi="Times New Roman"/>
          <w:sz w:val="14"/>
          <w:szCs w:val="14"/>
          <w:b w:val="1"/>
          <w:bCs w:val="1"/>
          <w:color w:val="auto"/>
        </w:rPr>
        <w:t>Licensee Intellectual Property</w:t>
      </w:r>
      <w:r>
        <w:rPr>
          <w:rFonts w:ascii="Times New Roman" w:cs="Times New Roman" w:eastAsia="Times New Roman" w:hAnsi="Times New Roman"/>
          <w:sz w:val="14"/>
          <w:szCs w:val="14"/>
          <w:color w:val="auto"/>
        </w:rPr>
        <w:t>. Licensee shall disclose to XENCOR all new Licensee Inventions and Joint Intellectual Property in accordance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12.2.3</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60" w:hanging="526"/>
        <w:spacing w:after="0" w:line="253" w:lineRule="auto"/>
        <w:tabs>
          <w:tab w:leader="none" w:pos="1040" w:val="left"/>
        </w:tabs>
        <w:rPr>
          <w:sz w:val="20"/>
          <w:szCs w:val="20"/>
          <w:color w:val="auto"/>
        </w:rPr>
      </w:pPr>
      <w:r>
        <w:rPr>
          <w:rFonts w:ascii="Times New Roman" w:cs="Times New Roman" w:eastAsia="Times New Roman" w:hAnsi="Times New Roman"/>
          <w:sz w:val="15"/>
          <w:szCs w:val="15"/>
          <w:color w:val="auto"/>
        </w:rPr>
        <w:t>12.1.2</w:t>
      </w:r>
      <w:r>
        <w:rPr>
          <w:sz w:val="20"/>
          <w:szCs w:val="20"/>
          <w:color w:val="auto"/>
        </w:rPr>
        <w:tab/>
      </w:r>
      <w:r>
        <w:rPr>
          <w:rFonts w:ascii="Times New Roman" w:cs="Times New Roman" w:eastAsia="Times New Roman" w:hAnsi="Times New Roman"/>
          <w:sz w:val="15"/>
          <w:szCs w:val="15"/>
          <w:b w:val="1"/>
          <w:bCs w:val="1"/>
          <w:color w:val="auto"/>
        </w:rPr>
        <w:t>XENCOR Intellectual Property</w:t>
      </w:r>
      <w:r>
        <w:rPr>
          <w:rFonts w:ascii="Times New Roman" w:cs="Times New Roman" w:eastAsia="Times New Roman" w:hAnsi="Times New Roman"/>
          <w:sz w:val="15"/>
          <w:szCs w:val="15"/>
          <w:color w:val="auto"/>
        </w:rPr>
        <w:t>. XENCOR shall disclose to Licensee all new XENCOR Inventions and Joint Intellectual Property in accordance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12.2.3</w:t>
      </w:r>
      <w:r>
        <w:rPr>
          <w:rFonts w:ascii="Times New Roman" w:cs="Times New Roman" w:eastAsia="Times New Roman" w:hAnsi="Times New Roman"/>
          <w:sz w:val="15"/>
          <w:szCs w:val="15"/>
          <w:color w:val="auto"/>
        </w:rPr>
        <w:t>.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extent any new XENCOR Patent Right has been filed or acquired, XENCOR shall promptly provide Licensee with a written amendment to </w:t>
      </w:r>
      <w:r>
        <w:rPr>
          <w:rFonts w:ascii="Times New Roman" w:cs="Times New Roman" w:eastAsia="Times New Roman" w:hAnsi="Times New Roman"/>
          <w:sz w:val="15"/>
          <w:szCs w:val="15"/>
          <w:u w:val="single" w:color="auto"/>
          <w:color w:val="auto"/>
        </w:rPr>
        <w:t>Schedule 1.82</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Schedule 1.86</w:t>
      </w:r>
      <w:r>
        <w:rPr>
          <w:rFonts w:ascii="Times New Roman" w:cs="Times New Roman" w:eastAsia="Times New Roman" w:hAnsi="Times New Roman"/>
          <w:sz w:val="15"/>
          <w:szCs w:val="15"/>
          <w:color w:val="auto"/>
        </w:rPr>
        <w:t xml:space="preserve">, as applicable, describing such additional Patent Rights. Each amended </w:t>
      </w:r>
      <w:r>
        <w:rPr>
          <w:rFonts w:ascii="Times New Roman" w:cs="Times New Roman" w:eastAsia="Times New Roman" w:hAnsi="Times New Roman"/>
          <w:sz w:val="15"/>
          <w:szCs w:val="15"/>
          <w:u w:val="single" w:color="auto"/>
          <w:color w:val="auto"/>
        </w:rPr>
        <w:t>Schedule 1.82</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Schedule 1.86</w:t>
      </w:r>
      <w:r>
        <w:rPr>
          <w:rFonts w:ascii="Times New Roman" w:cs="Times New Roman" w:eastAsia="Times New Roman" w:hAnsi="Times New Roman"/>
          <w:sz w:val="15"/>
          <w:szCs w:val="15"/>
          <w:color w:val="auto"/>
        </w:rPr>
        <w:t xml:space="preserve">, as applicable, shall become effective and supersede the previous </w:t>
      </w:r>
      <w:r>
        <w:rPr>
          <w:rFonts w:ascii="Times New Roman" w:cs="Times New Roman" w:eastAsia="Times New Roman" w:hAnsi="Times New Roman"/>
          <w:sz w:val="15"/>
          <w:szCs w:val="15"/>
          <w:u w:val="single" w:color="auto"/>
          <w:color w:val="auto"/>
        </w:rPr>
        <w:t>Schedule 1.82</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Schedule 1.86</w:t>
      </w:r>
      <w:r>
        <w:rPr>
          <w:rFonts w:ascii="Times New Roman" w:cs="Times New Roman" w:eastAsia="Times New Roman" w:hAnsi="Times New Roman"/>
          <w:sz w:val="15"/>
          <w:szCs w:val="15"/>
          <w:color w:val="auto"/>
        </w:rPr>
        <w:t>, as applicable, on the date that Licensee receives such amendment.</w:t>
      </w:r>
    </w:p>
    <w:p>
      <w:pPr>
        <w:spacing w:after="0" w:line="1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12.2</w:t>
      </w:r>
      <w:r>
        <w:rPr>
          <w:sz w:val="20"/>
          <w:szCs w:val="20"/>
          <w:color w:val="auto"/>
        </w:rPr>
        <w:tab/>
      </w: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60" w:right="80" w:hanging="526"/>
        <w:spacing w:after="0" w:line="271" w:lineRule="auto"/>
        <w:tabs>
          <w:tab w:leader="none" w:pos="1040" w:val="left"/>
        </w:tabs>
        <w:rPr>
          <w:sz w:val="20"/>
          <w:szCs w:val="20"/>
          <w:color w:val="auto"/>
        </w:rPr>
      </w:pPr>
      <w:r>
        <w:rPr>
          <w:rFonts w:ascii="Times New Roman" w:cs="Times New Roman" w:eastAsia="Times New Roman" w:hAnsi="Times New Roman"/>
          <w:sz w:val="15"/>
          <w:szCs w:val="15"/>
          <w:color w:val="auto"/>
        </w:rPr>
        <w:t>12.2.1</w:t>
      </w:r>
      <w:r>
        <w:rPr>
          <w:sz w:val="20"/>
          <w:szCs w:val="20"/>
          <w:color w:val="auto"/>
        </w:rPr>
        <w:tab/>
      </w:r>
      <w:r>
        <w:rPr>
          <w:rFonts w:ascii="Times New Roman" w:cs="Times New Roman" w:eastAsia="Times New Roman" w:hAnsi="Times New Roman"/>
          <w:sz w:val="14"/>
          <w:szCs w:val="14"/>
          <w:b w:val="1"/>
          <w:bCs w:val="1"/>
          <w:color w:val="auto"/>
        </w:rPr>
        <w:t>Ownership of Technology</w:t>
      </w:r>
      <w:r>
        <w:rPr>
          <w:rFonts w:ascii="Times New Roman" w:cs="Times New Roman" w:eastAsia="Times New Roman" w:hAnsi="Times New Roman"/>
          <w:sz w:val="14"/>
          <w:szCs w:val="14"/>
          <w:color w:val="auto"/>
        </w:rPr>
        <w:t>. As between the Parties, (a) XENCOR shall own all interest in and to all Know-How or Patent Rights Invented, generated or conceived solely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on behalf of XENCOR, its Affiliates, or by Xencor or its Affiliates with a Third Party in relation to this Agreement (“</w:t>
      </w:r>
      <w:r>
        <w:rPr>
          <w:rFonts w:ascii="Times New Roman" w:cs="Times New Roman" w:eastAsia="Times New Roman" w:hAnsi="Times New Roman"/>
          <w:sz w:val="14"/>
          <w:szCs w:val="14"/>
          <w:u w:val="single" w:color="auto"/>
          <w:color w:val="auto"/>
        </w:rPr>
        <w:t>XENCOR Invention</w:t>
      </w:r>
      <w:r>
        <w:rPr>
          <w:rFonts w:ascii="Times New Roman" w:cs="Times New Roman" w:eastAsia="Times New Roman" w:hAnsi="Times New Roman"/>
          <w:sz w:val="14"/>
          <w:szCs w:val="14"/>
          <w:color w:val="auto"/>
        </w:rPr>
        <w:t>”); (b) Licensee shall own all interest in and to all Know-How or Patent Rights Invented, generated or conceived solely by or on behalf of Licensee or its Affiliates under this Agreement (“</w:t>
      </w:r>
      <w:r>
        <w:rPr>
          <w:rFonts w:ascii="Times New Roman" w:cs="Times New Roman" w:eastAsia="Times New Roman" w:hAnsi="Times New Roman"/>
          <w:sz w:val="14"/>
          <w:szCs w:val="14"/>
          <w:u w:val="single" w:color="auto"/>
          <w:color w:val="auto"/>
        </w:rPr>
        <w:t>Licensee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Invention</w:t>
      </w:r>
      <w:r>
        <w:rPr>
          <w:rFonts w:ascii="Times New Roman" w:cs="Times New Roman" w:eastAsia="Times New Roman" w:hAnsi="Times New Roman"/>
          <w:sz w:val="14"/>
          <w:szCs w:val="14"/>
          <w:color w:val="auto"/>
        </w:rPr>
        <w:t xml:space="preserve">”); and (c) the Parties shall jointly own all interest in and to all Joint Intellectual Property. Subject to the license grant to Licensee under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both Parties may practice the Joint Intellectual Property jointly owned by the Parties for all purposes on a worldwide basis and to license such Joint Intellectual Property without consent of the other Party (where consent is required by Applicable Law, such consent is deemed hereby granted) and without a duty of accounting to the other Party.</w:t>
      </w:r>
    </w:p>
    <w:p>
      <w:pPr>
        <w:spacing w:after="0" w:line="140" w:lineRule="exact"/>
        <w:rPr>
          <w:sz w:val="20"/>
          <w:szCs w:val="20"/>
          <w:color w:val="auto"/>
        </w:rPr>
      </w:pPr>
    </w:p>
    <w:p>
      <w:pPr>
        <w:ind w:left="1060" w:hanging="526"/>
        <w:spacing w:after="0" w:line="246" w:lineRule="auto"/>
        <w:tabs>
          <w:tab w:leader="none" w:pos="1040" w:val="left"/>
        </w:tabs>
        <w:rPr>
          <w:sz w:val="20"/>
          <w:szCs w:val="20"/>
          <w:color w:val="auto"/>
        </w:rPr>
      </w:pPr>
      <w:r>
        <w:rPr>
          <w:rFonts w:ascii="Times New Roman" w:cs="Times New Roman" w:eastAsia="Times New Roman" w:hAnsi="Times New Roman"/>
          <w:sz w:val="15"/>
          <w:szCs w:val="15"/>
          <w:color w:val="auto"/>
        </w:rPr>
        <w:t>12.2.2</w:t>
      </w:r>
      <w:r>
        <w:rPr>
          <w:sz w:val="20"/>
          <w:szCs w:val="20"/>
          <w:color w:val="auto"/>
        </w:rPr>
        <w:tab/>
      </w:r>
      <w:r>
        <w:rPr>
          <w:rFonts w:ascii="Times New Roman" w:cs="Times New Roman" w:eastAsia="Times New Roman" w:hAnsi="Times New Roman"/>
          <w:sz w:val="15"/>
          <w:szCs w:val="15"/>
          <w:b w:val="1"/>
          <w:bCs w:val="1"/>
          <w:color w:val="auto"/>
        </w:rPr>
        <w:t>Employee Assignment</w:t>
      </w:r>
      <w:r>
        <w:rPr>
          <w:rFonts w:ascii="Times New Roman" w:cs="Times New Roman" w:eastAsia="Times New Roman" w:hAnsi="Times New Roman"/>
          <w:sz w:val="15"/>
          <w:szCs w:val="15"/>
          <w:color w:val="auto"/>
        </w:rPr>
        <w:t>. To the extent permissible under Applicable Laws, each Party shall cause all of its and its Affiliates’ employees and contractors to, and shall use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Commercially Reasonable Efforts to procure that the employees and contractors of each of its sublicensees and subcontractors, conducting work on such Party’s behalf under this Agreement sign a contract that (a) compels prompt disclosure to such Party of all XENCOR Intellectual Property, Licensee Intellectual Property and Joint Intellectual Property (as applicable) discovered, developed, created, conceived, reduced to practice, or Invented by such employee or contractor during any performance under this Agreement free and clear of all Liens; (b) automatically assigns to such Party all right, title and interest in and to all such Intellectual Property (subject to customary exceptions for improvements to the pre-existing Intellectual Property or platform of the applicable sublicensee or subcontractor solely to the extent such improvements do not relate specifically to any Licensed Asset or Product), and requires the employee to execute all documents and take such other actions as may be necessary to effectuate such assignment; (c) obligates such Persons to similar obligations of confidentiality as those set forth in this Agreement; (d) sets out an invention and patent reward and remuneration policy that is legally sufficient under Applicable Laws; and (e) sets forth a waiver of pre-emption rights under any Applicable Law, including, but not limited to, </w:t>
      </w:r>
      <w:r>
        <w:rPr>
          <w:rFonts w:ascii="Times New Roman" w:cs="Times New Roman" w:eastAsia="Times New Roman" w:hAnsi="Times New Roman"/>
          <w:sz w:val="15"/>
          <w:szCs w:val="15"/>
          <w:u w:val="single" w:color="auto"/>
          <w:color w:val="auto"/>
        </w:rPr>
        <w:t>Article 847</w:t>
      </w:r>
      <w:r>
        <w:rPr>
          <w:rFonts w:ascii="Times New Roman" w:cs="Times New Roman" w:eastAsia="Times New Roman" w:hAnsi="Times New Roman"/>
          <w:sz w:val="15"/>
          <w:szCs w:val="15"/>
          <w:color w:val="auto"/>
        </w:rPr>
        <w:t xml:space="preserve"> of the Civil Code of the People’s Republic of China to the effect that the employee shall confirm that he/she shall not have any right or claim on any XENCOR Intellectual Property, Licensee Intellectual Property or Joint Intellectual Property (as applicable) derived from his/her work, except for the reward and remuneration he/she is entitled to under the invention and patent reward and remuneration policy. Each of XENCOR and Licensee shall, and shall require each employee and contractor conducting work on its behalf under this Agreement to maintain records in sufficient detail and in a good scientific manner appropriate for patent purposes to properly reflect all work done for the greater of [***] or the time period required by Applicable Law.</w:t>
      </w: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0" w:right="339" w:bottom="1440" w:gutter="0" w:footer="0" w:header="0"/>
        </w:sectPr>
      </w:pPr>
    </w:p>
    <w:bookmarkStart w:id="378" w:name="page379"/>
    <w:bookmarkEnd w:id="378"/>
    <w:p>
      <w:pPr>
        <w:ind w:left="1060" w:right="120" w:hanging="526"/>
        <w:spacing w:after="0" w:line="248" w:lineRule="auto"/>
        <w:tabs>
          <w:tab w:leader="none" w:pos="1040" w:val="left"/>
        </w:tabs>
        <w:rPr>
          <w:sz w:val="20"/>
          <w:szCs w:val="20"/>
          <w:color w:val="auto"/>
        </w:rPr>
      </w:pPr>
      <w:r>
        <w:rPr>
          <w:rFonts w:ascii="Times New Roman" w:cs="Times New Roman" w:eastAsia="Times New Roman" w:hAnsi="Times New Roman"/>
          <w:sz w:val="15"/>
          <w:szCs w:val="15"/>
          <w:color w:val="auto"/>
        </w:rPr>
        <w:t>12.2.3</w:t>
      </w:r>
      <w:r>
        <w:rPr>
          <w:sz w:val="20"/>
          <w:szCs w:val="20"/>
          <w:color w:val="auto"/>
        </w:rPr>
        <w:tab/>
      </w:r>
      <w:r>
        <w:rPr>
          <w:rFonts w:ascii="Times New Roman" w:cs="Times New Roman" w:eastAsia="Times New Roman" w:hAnsi="Times New Roman"/>
          <w:sz w:val="15"/>
          <w:szCs w:val="15"/>
          <w:b w:val="1"/>
          <w:bCs w:val="1"/>
          <w:color w:val="auto"/>
        </w:rPr>
        <w:t>Disclosures; Disputes Regarding Inventions</w:t>
      </w:r>
      <w:r>
        <w:rPr>
          <w:rFonts w:ascii="Times New Roman" w:cs="Times New Roman" w:eastAsia="Times New Roman" w:hAnsi="Times New Roman"/>
          <w:sz w:val="15"/>
          <w:szCs w:val="15"/>
          <w:color w:val="auto"/>
        </w:rPr>
        <w:t>. Each Party shall, before filing a new patent application (including provisionals and continuations-in-part) claiming 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invention Invented under this Agreement, promptly disclose such invention to the other Party and shall provide to the other Party with a copy of the proposed patent application at least [***] before filing such application or such shorter time as may be required to preserve Patent Rights, including the avoidance of a statutory bar or prior publication. If such other Party believes that the first Party’s proposed patent application discloses such other Party’s Confidential Information, such other Party shall so notify the first Party within such [***] after receipt thereof, and such first Party shall amend its proposed application to comply with the confidentiality provisions of this Agreement. If the Parties are in agreement as to the designation of the invention as a XENCOR Invention, Joint Intellectual Property or Licensee Invention, as applicable, they can continue with the prosecution and maintenance of such Patent Rights as set forth in </w:t>
      </w:r>
      <w:r>
        <w:rPr>
          <w:rFonts w:ascii="Times New Roman" w:cs="Times New Roman" w:eastAsia="Times New Roman" w:hAnsi="Times New Roman"/>
          <w:sz w:val="15"/>
          <w:szCs w:val="15"/>
          <w:u w:val="single" w:color="auto"/>
          <w:color w:val="auto"/>
        </w:rPr>
        <w:t>Section 12.3</w:t>
      </w:r>
      <w:r>
        <w:rPr>
          <w:rFonts w:ascii="Times New Roman" w:cs="Times New Roman" w:eastAsia="Times New Roman" w:hAnsi="Times New Roman"/>
          <w:sz w:val="15"/>
          <w:szCs w:val="15"/>
          <w:color w:val="auto"/>
        </w:rPr>
        <w:t xml:space="preserve">. If the Parties disagree as to whether an invention is a XENCOR Invention, Joint Intellectual Property or Licensee Invention, and are unable to reach agreement within [***] after commencing discussions, then the provisions of </w:t>
      </w:r>
      <w:r>
        <w:rPr>
          <w:rFonts w:ascii="Times New Roman" w:cs="Times New Roman" w:eastAsia="Times New Roman" w:hAnsi="Times New Roman"/>
          <w:sz w:val="15"/>
          <w:szCs w:val="15"/>
          <w:u w:val="single" w:color="auto"/>
          <w:color w:val="auto"/>
        </w:rPr>
        <w:t>Section 16.3</w:t>
      </w:r>
      <w:r>
        <w:rPr>
          <w:rFonts w:ascii="Times New Roman" w:cs="Times New Roman" w:eastAsia="Times New Roman" w:hAnsi="Times New Roman"/>
          <w:sz w:val="15"/>
          <w:szCs w:val="15"/>
          <w:color w:val="auto"/>
        </w:rPr>
        <w:t xml:space="preserve"> shall apply to such dispute without limiting either Party’s right to continue with filing such application.</w:t>
      </w:r>
    </w:p>
    <w:p>
      <w:pPr>
        <w:spacing w:after="0" w:line="15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12.3</w:t>
      </w:r>
      <w:r>
        <w:rPr>
          <w:sz w:val="20"/>
          <w:szCs w:val="20"/>
          <w:color w:val="auto"/>
        </w:rPr>
        <w:tab/>
      </w:r>
      <w:r>
        <w:rPr>
          <w:rFonts w:ascii="Times New Roman" w:cs="Times New Roman" w:eastAsia="Times New Roman" w:hAnsi="Times New Roman"/>
          <w:sz w:val="14"/>
          <w:szCs w:val="14"/>
          <w:b w:val="1"/>
          <w:bCs w:val="1"/>
          <w:color w:val="auto"/>
        </w:rPr>
        <w:t>Filing, Prosecution and Maintenance of Patent Rights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60" w:hanging="526"/>
        <w:spacing w:after="0" w:line="253" w:lineRule="auto"/>
        <w:tabs>
          <w:tab w:leader="none" w:pos="1040" w:val="left"/>
        </w:tabs>
        <w:rPr>
          <w:sz w:val="20"/>
          <w:szCs w:val="20"/>
          <w:color w:val="auto"/>
        </w:rPr>
      </w:pPr>
      <w:r>
        <w:rPr>
          <w:rFonts w:ascii="Times New Roman" w:cs="Times New Roman" w:eastAsia="Times New Roman" w:hAnsi="Times New Roman"/>
          <w:sz w:val="15"/>
          <w:szCs w:val="15"/>
          <w:color w:val="auto"/>
        </w:rPr>
        <w:t>12.3.1</w:t>
      </w:r>
      <w:r>
        <w:rPr>
          <w:sz w:val="20"/>
          <w:szCs w:val="20"/>
          <w:color w:val="auto"/>
        </w:rPr>
        <w:tab/>
      </w:r>
      <w:r>
        <w:rPr>
          <w:rFonts w:ascii="Times New Roman" w:cs="Times New Roman" w:eastAsia="Times New Roman" w:hAnsi="Times New Roman"/>
          <w:sz w:val="15"/>
          <w:szCs w:val="15"/>
          <w:b w:val="1"/>
          <w:bCs w:val="1"/>
          <w:color w:val="auto"/>
        </w:rPr>
        <w:t>XENCOR Intellectual Property</w:t>
      </w:r>
      <w:r>
        <w:rPr>
          <w:rFonts w:ascii="Times New Roman" w:cs="Times New Roman" w:eastAsia="Times New Roman" w:hAnsi="Times New Roman"/>
          <w:sz w:val="15"/>
          <w:szCs w:val="15"/>
          <w:color w:val="auto"/>
        </w:rPr>
        <w:t>. XENCOR shall have the sole right to, and shall be responsible for, the worldwide preparation, filing, prosecution and maintenance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XENCOR General Patent Rights [***], including by conducting reissues, reexaminations, interferences, and/or defending against post grant proceedings, such as </w:t>
      </w:r>
      <w:r>
        <w:rPr>
          <w:rFonts w:ascii="Times New Roman" w:cs="Times New Roman" w:eastAsia="Times New Roman" w:hAnsi="Times New Roman"/>
          <w:sz w:val="15"/>
          <w:szCs w:val="15"/>
          <w:i w:val="1"/>
          <w:iCs w:val="1"/>
          <w:color w:val="auto"/>
        </w:rPr>
        <w:t>inter partes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reviews </w:t>
      </w:r>
      <w:r>
        <w:rPr>
          <w:rFonts w:ascii="Times New Roman" w:cs="Times New Roman" w:eastAsia="Times New Roman" w:hAnsi="Times New Roman"/>
          <w:sz w:val="15"/>
          <w:szCs w:val="15"/>
          <w:color w:val="auto"/>
        </w:rPr>
        <w:t>and oppositions and other challenges to the validity or enforceability of such XENCOR General Patent Rights. XENCOR shall keep Licensee generally informed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the status of XENCOR General Patent Rights pursuant to </w:t>
      </w:r>
      <w:r>
        <w:rPr>
          <w:rFonts w:ascii="Times New Roman" w:cs="Times New Roman" w:eastAsia="Times New Roman" w:hAnsi="Times New Roman"/>
          <w:sz w:val="15"/>
          <w:szCs w:val="15"/>
          <w:u w:val="single" w:color="auto"/>
          <w:color w:val="auto"/>
        </w:rPr>
        <w:t>Section 12.1.2</w:t>
      </w:r>
      <w:r>
        <w:rPr>
          <w:rFonts w:ascii="Times New Roman" w:cs="Times New Roman" w:eastAsia="Times New Roman" w:hAnsi="Times New Roman"/>
          <w:sz w:val="15"/>
          <w:szCs w:val="15"/>
          <w:color w:val="auto"/>
        </w:rPr>
        <w:t>.</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40"/>
          </w:cols>
          <w:pgMar w:left="300" w:top="761" w:right="359" w:bottom="1440" w:gutter="0" w:footer="0" w:header="0"/>
        </w:sectPr>
      </w:pPr>
    </w:p>
    <w:bookmarkStart w:id="379" w:name="page380"/>
    <w:bookmarkEnd w:id="379"/>
    <w:p>
      <w:pPr>
        <w:ind w:hanging="526"/>
        <w:spacing w:after="0" w:line="264" w:lineRule="auto"/>
        <w:rPr>
          <w:sz w:val="20"/>
          <w:szCs w:val="20"/>
          <w:color w:val="auto"/>
        </w:rPr>
      </w:pPr>
      <w:r>
        <w:rPr>
          <w:rFonts w:ascii="Times New Roman" w:cs="Times New Roman" w:eastAsia="Times New Roman" w:hAnsi="Times New Roman"/>
          <w:sz w:val="15"/>
          <w:szCs w:val="15"/>
          <w:color w:val="auto"/>
        </w:rPr>
        <w:t>12.3.2</w:t>
      </w:r>
      <w:r>
        <w:rPr>
          <w:sz w:val="20"/>
          <w:szCs w:val="20"/>
          <w:color w:val="auto"/>
        </w:rPr>
        <w:t xml:space="preserve"> </w:t>
      </w:r>
      <w:r>
        <w:rPr>
          <w:rFonts w:ascii="Times New Roman" w:cs="Times New Roman" w:eastAsia="Times New Roman" w:hAnsi="Times New Roman"/>
          <w:sz w:val="14"/>
          <w:szCs w:val="14"/>
          <w:b w:val="1"/>
          <w:bCs w:val="1"/>
          <w:color w:val="auto"/>
        </w:rPr>
        <w:t>Licensee Intellectual Property, XENCOR Product Specific Patent Rights, and Joint Patent Rights</w:t>
      </w:r>
      <w:r>
        <w:rPr>
          <w:rFonts w:ascii="Times New Roman" w:cs="Times New Roman" w:eastAsia="Times New Roman" w:hAnsi="Times New Roman"/>
          <w:sz w:val="14"/>
          <w:szCs w:val="14"/>
          <w:color w:val="auto"/>
        </w:rPr>
        <w:t>. As between XENCOR and Licensee, and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12.3.3</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Licensee shall be responsible for the worldwide preparation, filing, prosecution and maintenance of any Licensee Patent Rights, XENCOR Product Specific Patent Rights, and Joint Patent Rights (collectively, “</w:t>
      </w:r>
      <w:r>
        <w:rPr>
          <w:rFonts w:ascii="Times New Roman" w:cs="Times New Roman" w:eastAsia="Times New Roman" w:hAnsi="Times New Roman"/>
          <w:sz w:val="14"/>
          <w:szCs w:val="14"/>
          <w:u w:val="single" w:color="auto"/>
          <w:color w:val="auto"/>
        </w:rPr>
        <w:t>Licensee Controlled Patent Rights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 respect to XENCOR Product Specific Patent Rights: (a) XENCOR shall continue to prosecute and maintain all XENCOR Product Specific Patent Rights in the Licensed Territory until the Effective Date at which point such prosecution and maintenance will be transferred to Licensee, [***], and (b) XENCOR shall provide, or shall instruct its patent counsel to provide, to Licensee or Licensee’s patent counsel all prosecution and maintenance files associated with the XENCOR Product Specific Patent Rights within [***] of the Effective Date. [***]. Licensee shall furnish XENCOR with copies of each material document relevant to such preparation, filing, prosecution and maintenance of all patent applications and issued patents included within the Licensee Controlled Patent Rights in the Licensed Territory at least [***] prior to filing such document or making any payment due thereunder to allow for review and comment by XENCOR and shall consider in good faith timely comments from XENCOR thereon and incorporate the same to the extent applicable;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comment provided by XENCOR within [***] of XENCOR’s receipt of the applicable document shall be considered “timely” for purposes of this sentence. Licensee shall furnish XENCOR with copies of all final filings and responses made to any patent authority in the Licensed Territory with respect to the Licensee Controlled Patent Rights in a timely manner following submission thereof. XENCOR shall, and shall cause all of its Affiliates, Sublicensees and subcontractors, conducting work on XENCOR’s behalf under this Agreement to, reasonably cooperate with Licensee in relation to Licensee’s preparation, filing and prosecution of the applicable Joint Patent Rights or XENCOR Product Specific Patent Rights, including by providing such information and data, and execute such documents, as reasonably requested by Licensee for such purposes. [***]. Licensee shall notify XENCOR of any decision to cease prosecution or maintenance of any Joint Patent Rights or XENCOR Product Specific Patent Rights for which it has such responsibility to prosecute or maintain in the Licensed Territory under this </w:t>
      </w:r>
      <w:r>
        <w:rPr>
          <w:rFonts w:ascii="Times New Roman" w:cs="Times New Roman" w:eastAsia="Times New Roman" w:hAnsi="Times New Roman"/>
          <w:sz w:val="14"/>
          <w:szCs w:val="14"/>
          <w:u w:val="single" w:color="auto"/>
          <w:color w:val="auto"/>
        </w:rPr>
        <w:t>Section 12.3.2</w:t>
      </w:r>
      <w:r>
        <w:rPr>
          <w:rFonts w:ascii="Times New Roman" w:cs="Times New Roman" w:eastAsia="Times New Roman" w:hAnsi="Times New Roman"/>
          <w:sz w:val="14"/>
          <w:szCs w:val="14"/>
          <w:color w:val="auto"/>
        </w:rPr>
        <w:t>. Licensee shall provide such notice at least [***] prior to any filing or payment due date, or any other due date that requires action to avoid abandonment, in connection with such Patent Rights in the Licensed Territory. In such event, XENCOR shall have the right, at its discretion and at its sole expense, to continue the prosecution or maintenance of such Patent Rights in the Licensed Territory, in the name of XENCOR and Licensee shall, and hereby does, assign to XENCOR Licensee’s entire right, title and interest in and to any such Patent Rights.</w:t>
      </w:r>
    </w:p>
    <w:p>
      <w:pPr>
        <w:spacing w:after="0" w:line="328" w:lineRule="exact"/>
        <w:rPr>
          <w:sz w:val="20"/>
          <w:szCs w:val="20"/>
          <w:color w:val="auto"/>
        </w:rPr>
      </w:pPr>
    </w:p>
    <w:p>
      <w:pPr>
        <w:ind w:right="140" w:hanging="526"/>
        <w:spacing w:after="0" w:line="249" w:lineRule="auto"/>
        <w:rPr>
          <w:sz w:val="20"/>
          <w:szCs w:val="20"/>
          <w:color w:val="auto"/>
        </w:rPr>
      </w:pPr>
      <w:r>
        <w:rPr>
          <w:rFonts w:ascii="Times New Roman" w:cs="Times New Roman" w:eastAsia="Times New Roman" w:hAnsi="Times New Roman"/>
          <w:sz w:val="15"/>
          <w:szCs w:val="15"/>
          <w:color w:val="auto"/>
        </w:rPr>
        <w:t>12.3.3</w:t>
      </w:r>
      <w:r>
        <w:rPr>
          <w:sz w:val="20"/>
          <w:szCs w:val="20"/>
          <w:color w:val="auto"/>
        </w:rPr>
        <w:t xml:space="preserve"> </w:t>
      </w:r>
      <w:r>
        <w:rPr>
          <w:rFonts w:ascii="Times New Roman" w:cs="Times New Roman" w:eastAsia="Times New Roman" w:hAnsi="Times New Roman"/>
          <w:sz w:val="15"/>
          <w:szCs w:val="15"/>
          <w:b w:val="1"/>
          <w:bCs w:val="1"/>
          <w:color w:val="auto"/>
        </w:rPr>
        <w:t>Conflict Resolution with Respect to Certain XENCOR Product Specific Patent Rights</w:t>
      </w:r>
      <w:r>
        <w:rPr>
          <w:rFonts w:ascii="Times New Roman" w:cs="Times New Roman" w:eastAsia="Times New Roman" w:hAnsi="Times New Roman"/>
          <w:sz w:val="15"/>
          <w:szCs w:val="15"/>
          <w:color w:val="auto"/>
        </w:rPr>
        <w:t>. If XENCOR provides a detailed written explanation, within [***] from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receipt of Licensee’s draft submission for a XENCOR Product Specific Patent Right that claims priority to XENCOR General Patent Rights, that XENCOR in good faith reasonably believes that certain prosecution statement made in such draft submission for such XENCOR Product Specific Patent Right would reasonably be expected to create prosecution estoppel with respect to any XENCOR General Patent Rights, then Parties shall discuss whether they can develop a mutually agreeable solution prior to Licensee’s submission of such statement. If the parties are unable to agree on such solution within [***] from the date that XENCOR informs Licensee of such concern, the issue will be escalated to [***], for resolution. [***] cannot reach a mutually agreeable solution, then XENCOR shall have the right to make the decision on whether and what documents should be filed after reasonably taking into account Licensee’s interest.</w:t>
      </w:r>
    </w:p>
    <w:p>
      <w:pPr>
        <w:spacing w:after="0" w:line="3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11430</wp:posOffset>
            </wp:positionV>
            <wp:extent cx="7157720" cy="698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220"/>
          </w:cols>
          <w:pgMar w:left="1360" w:top="761" w:right="319" w:bottom="1440" w:gutter="0" w:footer="0" w:header="0"/>
        </w:sectPr>
      </w:pPr>
    </w:p>
    <w:bookmarkStart w:id="380" w:name="page381"/>
    <w:bookmarkEnd w:id="380"/>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12.3.4</w:t>
      </w:r>
      <w:r>
        <w:rPr>
          <w:sz w:val="20"/>
          <w:szCs w:val="20"/>
          <w:color w:val="auto"/>
        </w:rPr>
        <w:tab/>
      </w:r>
      <w:r>
        <w:rPr>
          <w:rFonts w:ascii="Times New Roman" w:cs="Times New Roman" w:eastAsia="Times New Roman" w:hAnsi="Times New Roman"/>
          <w:sz w:val="14"/>
          <w:szCs w:val="14"/>
          <w:b w:val="1"/>
          <w:bCs w:val="1"/>
          <w:color w:val="auto"/>
        </w:rPr>
        <w:t>Expenses</w:t>
      </w:r>
      <w:r>
        <w:rPr>
          <w:rFonts w:ascii="Times New Roman" w:cs="Times New Roman" w:eastAsia="Times New Roman" w:hAnsi="Times New Roman"/>
          <w:sz w:val="14"/>
          <w:szCs w:val="14"/>
          <w:color w:val="auto"/>
        </w:rPr>
        <w:t>. [***]</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12.4</w:t>
      </w:r>
      <w:r>
        <w:rPr>
          <w:sz w:val="20"/>
          <w:szCs w:val="20"/>
          <w:color w:val="auto"/>
        </w:rPr>
        <w:tab/>
      </w:r>
      <w:r>
        <w:rPr>
          <w:rFonts w:ascii="Times New Roman" w:cs="Times New Roman" w:eastAsia="Times New Roman" w:hAnsi="Times New Roman"/>
          <w:sz w:val="14"/>
          <w:szCs w:val="14"/>
          <w:b w:val="1"/>
          <w:bCs w:val="1"/>
          <w:color w:val="auto"/>
        </w:rPr>
        <w:t>Product Trademarks and Related Copyrights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60" w:right="40" w:hanging="526"/>
        <w:spacing w:after="0" w:line="253" w:lineRule="auto"/>
        <w:tabs>
          <w:tab w:leader="none" w:pos="1040" w:val="left"/>
        </w:tabs>
        <w:rPr>
          <w:sz w:val="20"/>
          <w:szCs w:val="20"/>
          <w:color w:val="auto"/>
        </w:rPr>
      </w:pPr>
      <w:r>
        <w:rPr>
          <w:rFonts w:ascii="Times New Roman" w:cs="Times New Roman" w:eastAsia="Times New Roman" w:hAnsi="Times New Roman"/>
          <w:sz w:val="15"/>
          <w:szCs w:val="15"/>
          <w:color w:val="auto"/>
        </w:rPr>
        <w:t>12.4.1</w:t>
      </w:r>
      <w:r>
        <w:rPr>
          <w:sz w:val="20"/>
          <w:szCs w:val="20"/>
          <w:color w:val="auto"/>
        </w:rPr>
        <w:tab/>
      </w:r>
      <w:r>
        <w:rPr>
          <w:rFonts w:ascii="Times New Roman" w:cs="Times New Roman" w:eastAsia="Times New Roman" w:hAnsi="Times New Roman"/>
          <w:sz w:val="15"/>
          <w:szCs w:val="15"/>
          <w:b w:val="1"/>
          <w:bCs w:val="1"/>
          <w:color w:val="auto"/>
        </w:rPr>
        <w:t>Product Trademarks</w:t>
      </w:r>
      <w:r>
        <w:rPr>
          <w:rFonts w:ascii="Times New Roman" w:cs="Times New Roman" w:eastAsia="Times New Roman" w:hAnsi="Times New Roman"/>
          <w:sz w:val="15"/>
          <w:szCs w:val="15"/>
          <w:color w:val="auto"/>
        </w:rPr>
        <w:t>. Licensee shall select a Trademark for use with respect to each Product in the Field in the Licensed Territory (each, a “</w:t>
      </w:r>
      <w:r>
        <w:rPr>
          <w:rFonts w:ascii="Times New Roman" w:cs="Times New Roman" w:eastAsia="Times New Roman" w:hAnsi="Times New Roman"/>
          <w:sz w:val="15"/>
          <w:szCs w:val="15"/>
          <w:u w:val="single" w:color="auto"/>
          <w:color w:val="auto"/>
        </w:rPr>
        <w:t>Product Trademark</w:t>
      </w:r>
      <w:r>
        <w:rPr>
          <w:rFonts w:ascii="Times New Roman" w:cs="Times New Roman" w:eastAsia="Times New Roman" w:hAnsi="Times New Roman"/>
          <w:sz w:val="15"/>
          <w:szCs w:val="15"/>
          <w:color w:val="auto"/>
        </w:rPr>
        <w:t>”). Licensee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shall be solely responsible, at Licensee’s sole cost and expense, for applying for, maintaining and owning the registrations for all Product Trademarks for use with respect to each Product in the Field in the Licensed Territory (including payment of all costs associated therewith), and all goodwill associated therewith will inure to the benefit of Licensee.</w:t>
      </w:r>
    </w:p>
    <w:p>
      <w:pPr>
        <w:spacing w:after="0" w:line="152" w:lineRule="exact"/>
        <w:rPr>
          <w:sz w:val="20"/>
          <w:szCs w:val="20"/>
          <w:color w:val="auto"/>
        </w:rPr>
      </w:pPr>
    </w:p>
    <w:p>
      <w:pPr>
        <w:ind w:left="1060" w:right="40" w:hanging="526"/>
        <w:spacing w:after="0" w:line="250" w:lineRule="auto"/>
        <w:tabs>
          <w:tab w:leader="none" w:pos="1040" w:val="left"/>
        </w:tabs>
        <w:rPr>
          <w:sz w:val="20"/>
          <w:szCs w:val="20"/>
          <w:color w:val="auto"/>
        </w:rPr>
      </w:pPr>
      <w:r>
        <w:rPr>
          <w:rFonts w:ascii="Times New Roman" w:cs="Times New Roman" w:eastAsia="Times New Roman" w:hAnsi="Times New Roman"/>
          <w:sz w:val="15"/>
          <w:szCs w:val="15"/>
          <w:color w:val="auto"/>
        </w:rPr>
        <w:t>12.4.2</w:t>
      </w:r>
      <w:r>
        <w:rPr>
          <w:sz w:val="20"/>
          <w:szCs w:val="20"/>
          <w:color w:val="auto"/>
        </w:rPr>
        <w:tab/>
      </w:r>
      <w:r>
        <w:rPr>
          <w:rFonts w:ascii="Times New Roman" w:cs="Times New Roman" w:eastAsia="Times New Roman" w:hAnsi="Times New Roman"/>
          <w:sz w:val="15"/>
          <w:szCs w:val="15"/>
          <w:b w:val="1"/>
          <w:bCs w:val="1"/>
          <w:color w:val="auto"/>
        </w:rPr>
        <w:t>Trademark Usage</w:t>
      </w:r>
      <w:r>
        <w:rPr>
          <w:rFonts w:ascii="Times New Roman" w:cs="Times New Roman" w:eastAsia="Times New Roman" w:hAnsi="Times New Roman"/>
          <w:sz w:val="15"/>
          <w:szCs w:val="15"/>
          <w:color w:val="auto"/>
        </w:rPr>
        <w:t>. Unless otherwise agreed by the Parties, all packaging materials, labels and promotional materials relating to Products in the Field in the Licensed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Territory shall display the Product Trademark. Notwithstanding anything to the contrary herein, Licensee shall not use any XENCOR trademark, names, logos or housemark in connection with any promotional materials or the Products without XENCOR’s written consent. Without limiting the foregoing, Licensee will take no action that will interfere with or diminish XENCOR’s rights in its respective trademarks, names and logos, and if XENCOR reasonably believes that the use of any trademarks, names and logos by Licensee hereunder is interfering with or diminishing its rights, XENCOR shall notify Licensee thereof in writing and Licensee shall promptly cease use of such trademarks, names or logos in such manner.</w:t>
      </w:r>
    </w:p>
    <w:p>
      <w:pPr>
        <w:spacing w:after="0" w:line="1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12.5</w:t>
      </w:r>
      <w:r>
        <w:rPr>
          <w:sz w:val="20"/>
          <w:szCs w:val="20"/>
          <w:color w:val="auto"/>
        </w:rPr>
        <w:tab/>
      </w:r>
      <w:r>
        <w:rPr>
          <w:rFonts w:ascii="Times New Roman" w:cs="Times New Roman" w:eastAsia="Times New Roman" w:hAnsi="Times New Roman"/>
          <w:sz w:val="14"/>
          <w:szCs w:val="14"/>
          <w:b w:val="1"/>
          <w:bCs w:val="1"/>
          <w:color w:val="auto"/>
        </w:rPr>
        <w:t>Enforcement of Intellectual Property</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60" w:right="560" w:hanging="526"/>
        <w:spacing w:after="0" w:line="309" w:lineRule="auto"/>
        <w:tabs>
          <w:tab w:leader="none" w:pos="1040" w:val="left"/>
        </w:tabs>
        <w:rPr>
          <w:sz w:val="20"/>
          <w:szCs w:val="20"/>
          <w:color w:val="auto"/>
        </w:rPr>
      </w:pPr>
      <w:r>
        <w:rPr>
          <w:rFonts w:ascii="Times New Roman" w:cs="Times New Roman" w:eastAsia="Times New Roman" w:hAnsi="Times New Roman"/>
          <w:sz w:val="15"/>
          <w:szCs w:val="15"/>
          <w:color w:val="auto"/>
        </w:rPr>
        <w:t>12.5.1</w:t>
      </w:r>
      <w:r>
        <w:rPr>
          <w:sz w:val="20"/>
          <w:szCs w:val="20"/>
          <w:color w:val="auto"/>
        </w:rPr>
        <w:tab/>
      </w:r>
      <w:r>
        <w:rPr>
          <w:rFonts w:ascii="Times New Roman" w:cs="Times New Roman" w:eastAsia="Times New Roman" w:hAnsi="Times New Roman"/>
          <w:sz w:val="14"/>
          <w:szCs w:val="14"/>
          <w:b w:val="1"/>
          <w:bCs w:val="1"/>
          <w:color w:val="auto"/>
        </w:rPr>
        <w:t>Notice</w:t>
      </w:r>
      <w:r>
        <w:rPr>
          <w:rFonts w:ascii="Times New Roman" w:cs="Times New Roman" w:eastAsia="Times New Roman" w:hAnsi="Times New Roman"/>
          <w:sz w:val="14"/>
          <w:szCs w:val="14"/>
          <w:color w:val="auto"/>
        </w:rPr>
        <w:t>. Each Party shall promptly notify the other Party in the event of any actual, potential or suspected infringement or misappropriation of a Product Trademark,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XENCOR Product Specific Patent Rights, Licensee Patent Rights or Joint Patent Rights in the Licensed Territory by a Third Party (an “</w:t>
      </w:r>
      <w:r>
        <w:rPr>
          <w:rFonts w:ascii="Times New Roman" w:cs="Times New Roman" w:eastAsia="Times New Roman" w:hAnsi="Times New Roman"/>
          <w:sz w:val="14"/>
          <w:szCs w:val="14"/>
          <w:u w:val="single" w:color="auto"/>
          <w:color w:val="auto"/>
        </w:rPr>
        <w:t>Infringement</w:t>
      </w:r>
      <w:r>
        <w:rPr>
          <w:rFonts w:ascii="Times New Roman" w:cs="Times New Roman" w:eastAsia="Times New Roman" w:hAnsi="Times New Roman"/>
          <w:sz w:val="14"/>
          <w:szCs w:val="14"/>
          <w:color w:val="auto"/>
        </w:rPr>
        <w:t>”).</w:t>
      </w:r>
    </w:p>
    <w:p>
      <w:pPr>
        <w:spacing w:after="0" w:line="113"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12.5.2</w:t>
      </w:r>
      <w:r>
        <w:rPr>
          <w:sz w:val="20"/>
          <w:szCs w:val="20"/>
          <w:color w:val="auto"/>
        </w:rPr>
        <w:tab/>
      </w:r>
      <w:r>
        <w:rPr>
          <w:rFonts w:ascii="Times New Roman" w:cs="Times New Roman" w:eastAsia="Times New Roman" w:hAnsi="Times New Roman"/>
          <w:sz w:val="14"/>
          <w:szCs w:val="14"/>
          <w:b w:val="1"/>
          <w:bCs w:val="1"/>
          <w:color w:val="auto"/>
        </w:rPr>
        <w:t>Enforcement of XENCOR Product Specific Patent Rights, Licensee Patent Rights, and Joint Patent Rights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1600" w:hanging="537"/>
        <w:spacing w:after="0"/>
        <w:tabs>
          <w:tab w:leader="none" w:pos="1600"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between XENCOR and Licensee, [***].</w:t>
      </w:r>
    </w:p>
    <w:p>
      <w:pPr>
        <w:spacing w:after="0" w:line="179" w:lineRule="exact"/>
        <w:rPr>
          <w:rFonts w:ascii="Times New Roman" w:cs="Times New Roman" w:eastAsia="Times New Roman" w:hAnsi="Times New Roman"/>
          <w:sz w:val="15"/>
          <w:szCs w:val="15"/>
          <w:color w:val="auto"/>
        </w:rPr>
      </w:pPr>
    </w:p>
    <w:p>
      <w:pPr>
        <w:ind w:left="1600" w:hanging="537"/>
        <w:spacing w:after="0" w:line="269" w:lineRule="auto"/>
        <w:tabs>
          <w:tab w:leader="none" w:pos="1600"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recoveries resulting from an Infringement Remedy shall be allocated first to the costs and expenses of the Party taking such action, and second, to the costs and expenses (if any) of the other Party, with any remaining amounts (if any) to be allocated as follows: [***].</w:t>
      </w:r>
    </w:p>
    <w:p>
      <w:pPr>
        <w:spacing w:after="0" w:line="141" w:lineRule="exact"/>
        <w:rPr>
          <w:sz w:val="20"/>
          <w:szCs w:val="20"/>
          <w:color w:val="auto"/>
        </w:rPr>
      </w:pPr>
    </w:p>
    <w:p>
      <w:pPr>
        <w:ind w:left="1060" w:right="40"/>
        <w:spacing w:after="0" w:line="257" w:lineRule="auto"/>
        <w:rPr>
          <w:sz w:val="20"/>
          <w:szCs w:val="20"/>
          <w:color w:val="auto"/>
        </w:rPr>
      </w:pPr>
      <w:r>
        <w:rPr>
          <w:rFonts w:ascii="Times New Roman" w:cs="Times New Roman" w:eastAsia="Times New Roman" w:hAnsi="Times New Roman"/>
          <w:sz w:val="15"/>
          <w:szCs w:val="15"/>
          <w:color w:val="auto"/>
        </w:rPr>
        <w:t xml:space="preserve">Unless the prior written consent of the non-enforcing Party is obtained pursuant to </w:t>
      </w:r>
      <w:r>
        <w:rPr>
          <w:rFonts w:ascii="Times New Roman" w:cs="Times New Roman" w:eastAsia="Times New Roman" w:hAnsi="Times New Roman"/>
          <w:sz w:val="15"/>
          <w:szCs w:val="15"/>
          <w:u w:val="single" w:color="auto"/>
          <w:color w:val="auto"/>
        </w:rPr>
        <w:t>Section 12.5.2(a)</w:t>
      </w:r>
      <w:r>
        <w:rPr>
          <w:rFonts w:ascii="Times New Roman" w:cs="Times New Roman" w:eastAsia="Times New Roman" w:hAnsi="Times New Roman"/>
          <w:sz w:val="15"/>
          <w:szCs w:val="15"/>
          <w:color w:val="auto"/>
        </w:rPr>
        <w:t xml:space="preserve">, the enforcing Party shall incur no liability to the non-enforcing Party as a consequence of any Infringement Remedy initiated or pursued pursuant to this </w:t>
      </w:r>
      <w:r>
        <w:rPr>
          <w:rFonts w:ascii="Times New Roman" w:cs="Times New Roman" w:eastAsia="Times New Roman" w:hAnsi="Times New Roman"/>
          <w:sz w:val="15"/>
          <w:szCs w:val="15"/>
          <w:u w:val="single" w:color="auto"/>
          <w:color w:val="auto"/>
        </w:rPr>
        <w:t>Section 12.5.2</w:t>
      </w:r>
      <w:r>
        <w:rPr>
          <w:rFonts w:ascii="Times New Roman" w:cs="Times New Roman" w:eastAsia="Times New Roman" w:hAnsi="Times New Roman"/>
          <w:sz w:val="15"/>
          <w:szCs w:val="15"/>
          <w:color w:val="auto"/>
        </w:rPr>
        <w:t>, or any unfavorable decision resulting therefrom, including any decision holding any XENCOR Product Specific Patent Right, Licensee Patent Right, or Joint Patent Right invalid or unenforceable.</w:t>
      </w: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20"/>
          </w:cols>
          <w:pgMar w:left="300" w:top="760" w:right="379" w:bottom="1440" w:gutter="0" w:footer="0" w:header="0"/>
        </w:sectPr>
      </w:pPr>
    </w:p>
    <w:bookmarkStart w:id="381" w:name="page382"/>
    <w:bookmarkEnd w:id="381"/>
    <w:p>
      <w:pPr>
        <w:ind w:left="1060" w:hanging="526"/>
        <w:spacing w:after="0" w:line="253" w:lineRule="auto"/>
        <w:tabs>
          <w:tab w:leader="none" w:pos="1040" w:val="left"/>
        </w:tabs>
        <w:rPr>
          <w:sz w:val="20"/>
          <w:szCs w:val="20"/>
          <w:color w:val="auto"/>
        </w:rPr>
      </w:pPr>
      <w:r>
        <w:rPr>
          <w:rFonts w:ascii="Times New Roman" w:cs="Times New Roman" w:eastAsia="Times New Roman" w:hAnsi="Times New Roman"/>
          <w:sz w:val="15"/>
          <w:szCs w:val="15"/>
          <w:color w:val="auto"/>
        </w:rPr>
        <w:t>12.5.3</w:t>
      </w:r>
      <w:r>
        <w:rPr>
          <w:sz w:val="20"/>
          <w:szCs w:val="20"/>
          <w:color w:val="auto"/>
        </w:rPr>
        <w:tab/>
      </w:r>
      <w:r>
        <w:rPr>
          <w:rFonts w:ascii="Times New Roman" w:cs="Times New Roman" w:eastAsia="Times New Roman" w:hAnsi="Times New Roman"/>
          <w:sz w:val="15"/>
          <w:szCs w:val="15"/>
          <w:b w:val="1"/>
          <w:bCs w:val="1"/>
          <w:color w:val="auto"/>
        </w:rPr>
        <w:t>Enforcement of XENCOR General Patent Rights</w:t>
      </w:r>
      <w:r>
        <w:rPr>
          <w:rFonts w:ascii="Times New Roman" w:cs="Times New Roman" w:eastAsia="Times New Roman" w:hAnsi="Times New Roman"/>
          <w:sz w:val="15"/>
          <w:szCs w:val="15"/>
          <w:color w:val="auto"/>
        </w:rPr>
        <w:t>. For clarity, without limiting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12.5.2</w:t>
      </w:r>
      <w:r>
        <w:rPr>
          <w:rFonts w:ascii="Times New Roman" w:cs="Times New Roman" w:eastAsia="Times New Roman" w:hAnsi="Times New Roman"/>
          <w:sz w:val="15"/>
          <w:szCs w:val="15"/>
          <w:color w:val="auto"/>
        </w:rPr>
        <w:t>, as between XENCOR and Licensee, XENCOR will have the sole right (but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 the obligation) to take any appropriate steps to enforce any XENCOR General Patent Rights against infringement by a Third Party. XENCOR may take steps including the initiation, prosecution and control of any suit, proceeding or other legal action by counsel of its own choice [***], as applicable. XENCOR shall keep Licensee reasonably informed of the status of such suit.</w:t>
      </w:r>
    </w:p>
    <w:p>
      <w:pPr>
        <w:spacing w:after="0" w:line="1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12.6</w:t>
      </w:r>
      <w:r>
        <w:rPr>
          <w:sz w:val="20"/>
          <w:szCs w:val="20"/>
          <w:color w:val="auto"/>
        </w:rPr>
        <w:tab/>
      </w:r>
      <w:r>
        <w:rPr>
          <w:rFonts w:ascii="Times New Roman" w:cs="Times New Roman" w:eastAsia="Times New Roman" w:hAnsi="Times New Roman"/>
          <w:sz w:val="14"/>
          <w:szCs w:val="14"/>
          <w:b w:val="1"/>
          <w:bCs w:val="1"/>
          <w:color w:val="auto"/>
        </w:rPr>
        <w:t>Third Party Claims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060" w:right="220" w:hanging="526"/>
        <w:spacing w:after="0" w:line="253" w:lineRule="auto"/>
        <w:tabs>
          <w:tab w:leader="none" w:pos="1040" w:val="left"/>
        </w:tabs>
        <w:rPr>
          <w:sz w:val="20"/>
          <w:szCs w:val="20"/>
          <w:color w:val="auto"/>
        </w:rPr>
      </w:pPr>
      <w:r>
        <w:rPr>
          <w:rFonts w:ascii="Times New Roman" w:cs="Times New Roman" w:eastAsia="Times New Roman" w:hAnsi="Times New Roman"/>
          <w:sz w:val="15"/>
          <w:szCs w:val="15"/>
          <w:color w:val="auto"/>
        </w:rPr>
        <w:t>12.6.1</w:t>
      </w:r>
      <w:r>
        <w:rPr>
          <w:sz w:val="20"/>
          <w:szCs w:val="20"/>
          <w:color w:val="auto"/>
        </w:rPr>
        <w:tab/>
      </w:r>
      <w:r>
        <w:rPr>
          <w:rFonts w:ascii="Times New Roman" w:cs="Times New Roman" w:eastAsia="Times New Roman" w:hAnsi="Times New Roman"/>
          <w:sz w:val="15"/>
          <w:szCs w:val="15"/>
          <w:b w:val="1"/>
          <w:bCs w:val="1"/>
          <w:color w:val="auto"/>
        </w:rPr>
        <w:t>Third Party Claims - Course of Action</w:t>
      </w:r>
      <w:r>
        <w:rPr>
          <w:rFonts w:ascii="Times New Roman" w:cs="Times New Roman" w:eastAsia="Times New Roman" w:hAnsi="Times New Roman"/>
          <w:sz w:val="15"/>
          <w:szCs w:val="15"/>
          <w:color w:val="auto"/>
        </w:rPr>
        <w:t>. If the Development, Commercialization or Manufacture of the Licensed Asset or a Product under this Agreement is alleged by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Third Party to infringe a Third Party’s Patent Right(s) or misappropriate a Third Party’s trade secret, the Party becoming aware of such allegation shall promptly notify the other Party thereof, in writing, reasonably detailing the claim, and shall attempt to negotiate in good faith a resolution with respect thereto. If the Parties cannot settle such claim with such Third Parties within [***] after the receipt of the notice pursuant to this </w:t>
      </w:r>
      <w:r>
        <w:rPr>
          <w:rFonts w:ascii="Times New Roman" w:cs="Times New Roman" w:eastAsia="Times New Roman" w:hAnsi="Times New Roman"/>
          <w:sz w:val="15"/>
          <w:szCs w:val="15"/>
          <w:u w:val="single" w:color="auto"/>
          <w:color w:val="auto"/>
        </w:rPr>
        <w:t>Section 12.6.1</w:t>
      </w:r>
      <w:r>
        <w:rPr>
          <w:rFonts w:ascii="Times New Roman" w:cs="Times New Roman" w:eastAsia="Times New Roman" w:hAnsi="Times New Roman"/>
          <w:sz w:val="15"/>
          <w:szCs w:val="15"/>
          <w:color w:val="auto"/>
        </w:rPr>
        <w:t>, then the following shall apply.</w:t>
      </w:r>
    </w:p>
    <w:p>
      <w:pPr>
        <w:spacing w:after="0" w:line="152" w:lineRule="exact"/>
        <w:rPr>
          <w:sz w:val="20"/>
          <w:szCs w:val="20"/>
          <w:color w:val="auto"/>
        </w:rPr>
      </w:pPr>
    </w:p>
    <w:p>
      <w:pPr>
        <w:ind w:left="1060" w:right="100" w:hanging="526"/>
        <w:spacing w:after="0" w:line="272" w:lineRule="auto"/>
        <w:tabs>
          <w:tab w:leader="none" w:pos="1040" w:val="left"/>
        </w:tabs>
        <w:rPr>
          <w:sz w:val="20"/>
          <w:szCs w:val="20"/>
          <w:color w:val="auto"/>
        </w:rPr>
      </w:pPr>
      <w:r>
        <w:rPr>
          <w:rFonts w:ascii="Times New Roman" w:cs="Times New Roman" w:eastAsia="Times New Roman" w:hAnsi="Times New Roman"/>
          <w:sz w:val="15"/>
          <w:szCs w:val="15"/>
          <w:color w:val="auto"/>
        </w:rPr>
        <w:t>12.6.2</w:t>
      </w:r>
      <w:r>
        <w:rPr>
          <w:sz w:val="20"/>
          <w:szCs w:val="20"/>
          <w:color w:val="auto"/>
        </w:rPr>
        <w:tab/>
      </w:r>
      <w:r>
        <w:rPr>
          <w:rFonts w:ascii="Times New Roman" w:cs="Times New Roman" w:eastAsia="Times New Roman" w:hAnsi="Times New Roman"/>
          <w:sz w:val="15"/>
          <w:szCs w:val="15"/>
          <w:b w:val="1"/>
          <w:bCs w:val="1"/>
          <w:color w:val="auto"/>
        </w:rPr>
        <w:t>Third Party Suit</w:t>
      </w:r>
      <w:r>
        <w:rPr>
          <w:rFonts w:ascii="Times New Roman" w:cs="Times New Roman" w:eastAsia="Times New Roman" w:hAnsi="Times New Roman"/>
          <w:sz w:val="15"/>
          <w:szCs w:val="15"/>
          <w:color w:val="auto"/>
        </w:rPr>
        <w:t>. If a Third Party sues Licensee alleging that the Development, Manufacture or Commercialization of any Licensed Asset or any Product in the Field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Licensed Territory by Licensee or its Sublicensees infringes or misappropriates said Third Party’s Intellectual Property, then, as between the Parties, [***].</w:t>
      </w:r>
    </w:p>
    <w:p>
      <w:pPr>
        <w:spacing w:after="0" w:line="13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12.7</w:t>
      </w:r>
      <w:r>
        <w:rPr>
          <w:sz w:val="20"/>
          <w:szCs w:val="20"/>
          <w:color w:val="auto"/>
        </w:rPr>
        <w:tab/>
      </w:r>
      <w:r>
        <w:rPr>
          <w:rFonts w:ascii="Times New Roman" w:cs="Times New Roman" w:eastAsia="Times New Roman" w:hAnsi="Times New Roman"/>
          <w:sz w:val="14"/>
          <w:szCs w:val="14"/>
          <w:b w:val="1"/>
          <w:bCs w:val="1"/>
          <w:color w:val="auto"/>
        </w:rPr>
        <w:t>Third Party Patent Challenge</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60" w:hanging="526"/>
        <w:spacing w:after="0" w:line="258" w:lineRule="auto"/>
        <w:tabs>
          <w:tab w:leader="none" w:pos="1040" w:val="left"/>
        </w:tabs>
        <w:rPr>
          <w:sz w:val="20"/>
          <w:szCs w:val="20"/>
          <w:color w:val="auto"/>
        </w:rPr>
      </w:pPr>
      <w:r>
        <w:rPr>
          <w:rFonts w:ascii="Times New Roman" w:cs="Times New Roman" w:eastAsia="Times New Roman" w:hAnsi="Times New Roman"/>
          <w:sz w:val="15"/>
          <w:szCs w:val="15"/>
          <w:color w:val="auto"/>
        </w:rPr>
        <w:t>12.7.1</w:t>
      </w:r>
      <w:r>
        <w:rPr>
          <w:sz w:val="20"/>
          <w:szCs w:val="20"/>
          <w:color w:val="auto"/>
        </w:rPr>
        <w:tab/>
      </w:r>
      <w:r>
        <w:rPr>
          <w:rFonts w:ascii="Times New Roman" w:cs="Times New Roman" w:eastAsia="Times New Roman" w:hAnsi="Times New Roman"/>
          <w:sz w:val="15"/>
          <w:szCs w:val="15"/>
          <w:b w:val="1"/>
          <w:bCs w:val="1"/>
          <w:color w:val="auto"/>
        </w:rPr>
        <w:t>XENCOR General Patent Rights</w:t>
      </w:r>
      <w:r>
        <w:rPr>
          <w:rFonts w:ascii="Times New Roman" w:cs="Times New Roman" w:eastAsia="Times New Roman" w:hAnsi="Times New Roman"/>
          <w:sz w:val="15"/>
          <w:szCs w:val="15"/>
          <w:color w:val="auto"/>
        </w:rPr>
        <w:t>. XENCOR shall have the sole right (but not the obligation) to control the defense of (a) any challenge to the validity, scope,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enforceability of, or (b) a post-grant review proceeding by a Third Party against any XENCOR General Patent Rights, and to compromise, litigate, settle, or otherwise dispose of any such challenge.</w:t>
      </w:r>
    </w:p>
    <w:p>
      <w:pPr>
        <w:spacing w:after="0" w:line="147" w:lineRule="exact"/>
        <w:rPr>
          <w:sz w:val="20"/>
          <w:szCs w:val="20"/>
          <w:color w:val="auto"/>
        </w:rPr>
      </w:pPr>
    </w:p>
    <w:p>
      <w:pPr>
        <w:jc w:val="both"/>
        <w:ind w:left="1060" w:right="140" w:hanging="526"/>
        <w:spacing w:after="0" w:line="258" w:lineRule="auto"/>
        <w:tabs>
          <w:tab w:leader="none" w:pos="1040" w:val="left"/>
        </w:tabs>
        <w:rPr>
          <w:sz w:val="20"/>
          <w:szCs w:val="20"/>
          <w:color w:val="auto"/>
        </w:rPr>
      </w:pPr>
      <w:r>
        <w:rPr>
          <w:rFonts w:ascii="Times New Roman" w:cs="Times New Roman" w:eastAsia="Times New Roman" w:hAnsi="Times New Roman"/>
          <w:sz w:val="15"/>
          <w:szCs w:val="15"/>
          <w:color w:val="auto"/>
        </w:rPr>
        <w:t>12.7.2</w:t>
      </w:r>
      <w:r>
        <w:rPr>
          <w:sz w:val="20"/>
          <w:szCs w:val="20"/>
          <w:color w:val="auto"/>
        </w:rPr>
        <w:tab/>
      </w:r>
      <w:r>
        <w:rPr>
          <w:rFonts w:ascii="Times New Roman" w:cs="Times New Roman" w:eastAsia="Times New Roman" w:hAnsi="Times New Roman"/>
          <w:sz w:val="15"/>
          <w:szCs w:val="15"/>
          <w:b w:val="1"/>
          <w:bCs w:val="1"/>
          <w:color w:val="auto"/>
        </w:rPr>
        <w:t>XENCOR Product Specific Patent Rights, Licensee Patent Rights, and Joint Patent Rights</w:t>
      </w:r>
      <w:r>
        <w:rPr>
          <w:rFonts w:ascii="Times New Roman" w:cs="Times New Roman" w:eastAsia="Times New Roman" w:hAnsi="Times New Roman"/>
          <w:sz w:val="15"/>
          <w:szCs w:val="15"/>
          <w:color w:val="auto"/>
        </w:rPr>
        <w:t>. Each Party will promptly notify the other Party in writing of its becoming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aware of initiation by a Third Party of a challenge to the validity, scope, or enforceability of or a post-grant review proceeding against any Licensee Controlled Patent Right in the Licensed Territory (each, a “</w:t>
      </w:r>
      <w:r>
        <w:rPr>
          <w:rFonts w:ascii="Times New Roman" w:cs="Times New Roman" w:eastAsia="Times New Roman" w:hAnsi="Times New Roman"/>
          <w:sz w:val="15"/>
          <w:szCs w:val="15"/>
          <w:u w:val="single" w:color="auto"/>
          <w:color w:val="auto"/>
        </w:rPr>
        <w:t>Third Party Patent Challenge</w:t>
      </w:r>
      <w:r>
        <w:rPr>
          <w:rFonts w:ascii="Times New Roman" w:cs="Times New Roman" w:eastAsia="Times New Roman" w:hAnsi="Times New Roman"/>
          <w:sz w:val="15"/>
          <w:szCs w:val="15"/>
          <w:color w:val="auto"/>
        </w:rPr>
        <w:t>”). [***].</w:t>
      </w:r>
    </w:p>
    <w:p>
      <w:pPr>
        <w:spacing w:after="0" w:line="149" w:lineRule="exact"/>
        <w:rPr>
          <w:sz w:val="20"/>
          <w:szCs w:val="20"/>
          <w:color w:val="auto"/>
        </w:rPr>
      </w:pPr>
    </w:p>
    <w:p>
      <w:pPr>
        <w:ind w:left="1060" w:right="100" w:hanging="526"/>
        <w:spacing w:after="0" w:line="267" w:lineRule="auto"/>
        <w:tabs>
          <w:tab w:leader="none" w:pos="1040" w:val="left"/>
        </w:tabs>
        <w:rPr>
          <w:sz w:val="20"/>
          <w:szCs w:val="20"/>
          <w:color w:val="auto"/>
        </w:rPr>
      </w:pPr>
      <w:r>
        <w:rPr>
          <w:rFonts w:ascii="Times New Roman" w:cs="Times New Roman" w:eastAsia="Times New Roman" w:hAnsi="Times New Roman"/>
          <w:sz w:val="15"/>
          <w:szCs w:val="15"/>
          <w:color w:val="auto"/>
        </w:rPr>
        <w:t>12.7.3</w:t>
      </w:r>
      <w:r>
        <w:rPr>
          <w:sz w:val="20"/>
          <w:szCs w:val="20"/>
          <w:color w:val="auto"/>
        </w:rPr>
        <w:tab/>
      </w:r>
      <w:r>
        <w:rPr>
          <w:rFonts w:ascii="Times New Roman" w:cs="Times New Roman" w:eastAsia="Times New Roman" w:hAnsi="Times New Roman"/>
          <w:sz w:val="14"/>
          <w:szCs w:val="14"/>
          <w:color w:val="auto"/>
        </w:rPr>
        <w:t>The Party defending the Third Party Patent Challenge will keep the other Party timely informed of the proceedings and filings, and provide the other Party with copies of all material communications, pertaining to each Third Party Patent Challenge. The Party defending the Third Party Patent Challenge will not settle, stipulate to any facts, or make any admission with respect to any Third Party Patent Challenge without the other Party’s prior written consent (not to be unreasonably withheld) if such settlement, stipulation, or admission would (i) adversely affect the validity, enforceability or scope, or admit infringement, of any Joint Patent Rights or Patent Rights of the other Party;</w:t>
      </w:r>
    </w:p>
    <w:p>
      <w:pPr>
        <w:spacing w:after="0" w:line="1" w:lineRule="exact"/>
        <w:rPr>
          <w:sz w:val="20"/>
          <w:szCs w:val="20"/>
          <w:color w:val="auto"/>
        </w:rPr>
      </w:pPr>
    </w:p>
    <w:p>
      <w:pPr>
        <w:jc w:val="both"/>
        <w:ind w:left="1060" w:right="60" w:firstLine="3"/>
        <w:spacing w:after="0" w:line="269" w:lineRule="auto"/>
        <w:tabs>
          <w:tab w:leader="none" w:pos="1276"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 rise to liability of the other Party or its Affiliates; (iii) grant to a Third Party a license or covenant not to sue under, or with respect to, Joint Patent Rights or Patent Rights of the other Party; or (iv) otherwise impair the other Party’s or any of its Affiliates’ rights in any Joint Patent Rights, Patent Rights of such other Party, or such other Party’s rights under this Agreement. Upon the defending Party’s request, the other Party will reasonably cooperate with the defending Party, to the extent necessary to defend the Third Party Patent Challenge. The enforcing Party shall bear all costs and expenses incurred by itself during the course of defending any Third Party Patent Challenge.</w:t>
      </w:r>
    </w:p>
    <w:p>
      <w:pPr>
        <w:spacing w:after="0" w:line="3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82" w:name="page383"/>
    <w:bookmarkEnd w:id="382"/>
    <w:p>
      <w:pPr>
        <w:ind w:left="540" w:right="40" w:hanging="526"/>
        <w:spacing w:after="0" w:line="248" w:lineRule="auto"/>
        <w:tabs>
          <w:tab w:leader="none" w:pos="520" w:val="left"/>
        </w:tabs>
        <w:rPr>
          <w:sz w:val="20"/>
          <w:szCs w:val="20"/>
          <w:color w:val="auto"/>
        </w:rPr>
      </w:pPr>
      <w:r>
        <w:rPr>
          <w:rFonts w:ascii="Times New Roman" w:cs="Times New Roman" w:eastAsia="Times New Roman" w:hAnsi="Times New Roman"/>
          <w:sz w:val="15"/>
          <w:szCs w:val="15"/>
          <w:color w:val="auto"/>
        </w:rPr>
        <w:t>12.8</w:t>
      </w:r>
      <w:r>
        <w:rPr>
          <w:sz w:val="20"/>
          <w:szCs w:val="20"/>
          <w:color w:val="auto"/>
        </w:rPr>
        <w:tab/>
      </w:r>
      <w:r>
        <w:rPr>
          <w:rFonts w:ascii="Times New Roman" w:cs="Times New Roman" w:eastAsia="Times New Roman" w:hAnsi="Times New Roman"/>
          <w:sz w:val="15"/>
          <w:szCs w:val="15"/>
          <w:b w:val="1"/>
          <w:bCs w:val="1"/>
          <w:color w:val="auto"/>
        </w:rPr>
        <w:t>Patent Term Extensions</w:t>
      </w:r>
      <w:r>
        <w:rPr>
          <w:rFonts w:ascii="Times New Roman" w:cs="Times New Roman" w:eastAsia="Times New Roman" w:hAnsi="Times New Roman"/>
          <w:sz w:val="15"/>
          <w:szCs w:val="15"/>
          <w:color w:val="auto"/>
        </w:rPr>
        <w:t>. As between XENCOR and Licensee, (a) XENCOR shall have the exclusive right, but not the obligation, to seek, in Licensee’s name if so required, Patent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 Extensions (including any supplemental protection certificates and the like available under Applicable Law) in any country in relation to all XENCOR General Patent Rights; and (b) Licensee shall have the sole right, but not the obligation, to seek Patent Term Extensions (including any supplemental protection certificates and the like available under Applicable Law) in any country in relation to Licensee Controlled Patent Rights. Licensee and XENCOR shall cooperate in connection with all such activities relating to the Licensee Controlled Patent Rights, and if more than one of such Patent Rights is eligible for Patent Term Extension, the Parties shall discuss in good faith a strategy that shall maximize commercial value, and protection afforded under Patent Rights, for each Product. Licensee, its agents and attorneys will give due consideration to all suggestions and comments of XENCOR regarding any such activities, but in the event of a disagreement between the Parties with respect to which Licensee Controlled Patent Rights to extend, Licensee will have the final decision making authority.</w:t>
      </w:r>
    </w:p>
    <w:p>
      <w:pPr>
        <w:spacing w:after="0" w:line="156" w:lineRule="exact"/>
        <w:rPr>
          <w:sz w:val="20"/>
          <w:szCs w:val="20"/>
          <w:color w:val="auto"/>
        </w:rPr>
      </w:pPr>
    </w:p>
    <w:p>
      <w:pPr>
        <w:ind w:left="540" w:right="46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12.9</w:t>
      </w:r>
      <w:r>
        <w:rPr>
          <w:sz w:val="20"/>
          <w:szCs w:val="20"/>
          <w:color w:val="auto"/>
        </w:rPr>
        <w:tab/>
      </w:r>
      <w:r>
        <w:rPr>
          <w:rFonts w:ascii="Times New Roman" w:cs="Times New Roman" w:eastAsia="Times New Roman" w:hAnsi="Times New Roman"/>
          <w:sz w:val="15"/>
          <w:szCs w:val="15"/>
          <w:b w:val="1"/>
          <w:bCs w:val="1"/>
          <w:color w:val="auto"/>
        </w:rPr>
        <w:t>Patent Marking</w:t>
      </w:r>
      <w:r>
        <w:rPr>
          <w:rFonts w:ascii="Times New Roman" w:cs="Times New Roman" w:eastAsia="Times New Roman" w:hAnsi="Times New Roman"/>
          <w:sz w:val="15"/>
          <w:szCs w:val="15"/>
          <w:color w:val="auto"/>
        </w:rPr>
        <w:t>. Licensee agrees to mark, and to cause its Affiliates and Sublicensees to mark, all Products (or their containers or labels) in accordance with, and to the extent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required by, Applicable Laws in the Licensed Territory.</w:t>
      </w:r>
    </w:p>
    <w:p>
      <w:pPr>
        <w:spacing w:after="0" w:line="136" w:lineRule="exact"/>
        <w:rPr>
          <w:sz w:val="20"/>
          <w:szCs w:val="20"/>
          <w:color w:val="auto"/>
        </w:rPr>
      </w:pPr>
    </w:p>
    <w:p>
      <w:pPr>
        <w:ind w:left="540" w:hanging="526"/>
        <w:spacing w:after="0" w:line="248" w:lineRule="auto"/>
        <w:tabs>
          <w:tab w:leader="none" w:pos="520" w:val="left"/>
        </w:tabs>
        <w:rPr>
          <w:sz w:val="20"/>
          <w:szCs w:val="20"/>
          <w:color w:val="auto"/>
        </w:rPr>
      </w:pPr>
      <w:r>
        <w:rPr>
          <w:rFonts w:ascii="Times New Roman" w:cs="Times New Roman" w:eastAsia="Times New Roman" w:hAnsi="Times New Roman"/>
          <w:sz w:val="15"/>
          <w:szCs w:val="15"/>
          <w:color w:val="auto"/>
        </w:rPr>
        <w:t>12.10</w:t>
      </w:r>
      <w:r>
        <w:rPr>
          <w:sz w:val="20"/>
          <w:szCs w:val="20"/>
          <w:color w:val="auto"/>
        </w:rPr>
        <w:tab/>
      </w:r>
      <w:r>
        <w:rPr>
          <w:rFonts w:ascii="Times New Roman" w:cs="Times New Roman" w:eastAsia="Times New Roman" w:hAnsi="Times New Roman"/>
          <w:sz w:val="15"/>
          <w:szCs w:val="15"/>
          <w:b w:val="1"/>
          <w:bCs w:val="1"/>
          <w:color w:val="auto"/>
        </w:rPr>
        <w:t>Publication Strategy</w:t>
      </w:r>
      <w:r>
        <w:rPr>
          <w:rFonts w:ascii="Times New Roman" w:cs="Times New Roman" w:eastAsia="Times New Roman" w:hAnsi="Times New Roman"/>
          <w:sz w:val="15"/>
          <w:szCs w:val="15"/>
          <w:color w:val="auto"/>
        </w:rPr>
        <w:t>. If either Party, or any of their respective Affiliates or sublicensees (each, a “</w:t>
      </w:r>
      <w:r>
        <w:rPr>
          <w:rFonts w:ascii="Times New Roman" w:cs="Times New Roman" w:eastAsia="Times New Roman" w:hAnsi="Times New Roman"/>
          <w:sz w:val="15"/>
          <w:szCs w:val="15"/>
          <w:u w:val="single" w:color="auto"/>
          <w:color w:val="auto"/>
        </w:rPr>
        <w:t>Proposing Party</w:t>
      </w:r>
      <w:r>
        <w:rPr>
          <w:rFonts w:ascii="Times New Roman" w:cs="Times New Roman" w:eastAsia="Times New Roman" w:hAnsi="Times New Roman"/>
          <w:sz w:val="15"/>
          <w:szCs w:val="15"/>
          <w:color w:val="auto"/>
        </w:rPr>
        <w:t>”), proposes the publication, presentation or distribution of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scientific paper or presentation (i) with respect to any Product, or (ii) which otherwise may reasonably contain Know-How or other Intellectual Property of the other Party, then the Licensee (if the Proposing Party is XENCOR or its Affiliate or sublicensee) or XENCOR (if the Proposing Party is Licensee or its Affiliate or Sublicensee) shall be afforded the opportunity to review and approve such scientific paper or presentation and shall have no less than [***] to complete such review and approval (or such shorter period as may reasonably be required by applicable publication deadlines promptly communicated to the reviewing Party). The Proposing Party shall (a) not unreasonably reject comments furnished by the reviewing Party; (b) comply with the reviewing Party’s request to delete references to its Confidential Information in any such publication or presentation; and (c) delay publication for such reasonable period requested by the reviewing Party to permit the filing of patent applications concerning any XENCOR Intellectual Property, Licensee Intellectual Property or Joint Intellectual Property disclosed in material proposed for such publication or presentation. For the avoidance of doubt, in no event will Confidential Information of a Party be published without the written consent of such Party.</w:t>
      </w:r>
    </w:p>
    <w:p>
      <w:pPr>
        <w:spacing w:after="0" w:line="154" w:lineRule="exact"/>
        <w:rPr>
          <w:sz w:val="20"/>
          <w:szCs w:val="20"/>
          <w:color w:val="auto"/>
        </w:rPr>
      </w:pPr>
    </w:p>
    <w:p>
      <w:pPr>
        <w:ind w:left="540" w:right="180" w:hanging="526"/>
        <w:spacing w:after="0" w:line="251" w:lineRule="auto"/>
        <w:tabs>
          <w:tab w:leader="none" w:pos="520" w:val="left"/>
        </w:tabs>
        <w:rPr>
          <w:sz w:val="20"/>
          <w:szCs w:val="20"/>
          <w:color w:val="auto"/>
        </w:rPr>
      </w:pPr>
      <w:r>
        <w:rPr>
          <w:rFonts w:ascii="Times New Roman" w:cs="Times New Roman" w:eastAsia="Times New Roman" w:hAnsi="Times New Roman"/>
          <w:sz w:val="15"/>
          <w:szCs w:val="15"/>
          <w:color w:val="auto"/>
        </w:rPr>
        <w:t>12.11</w:t>
      </w:r>
      <w:r>
        <w:rPr>
          <w:sz w:val="20"/>
          <w:szCs w:val="20"/>
          <w:color w:val="auto"/>
        </w:rPr>
        <w:tab/>
      </w:r>
      <w:r>
        <w:rPr>
          <w:rFonts w:ascii="Times New Roman" w:cs="Times New Roman" w:eastAsia="Times New Roman" w:hAnsi="Times New Roman"/>
          <w:sz w:val="15"/>
          <w:szCs w:val="15"/>
          <w:b w:val="1"/>
          <w:bCs w:val="1"/>
          <w:color w:val="auto"/>
        </w:rPr>
        <w:t>Privileged Communications</w:t>
      </w:r>
      <w:r>
        <w:rPr>
          <w:rFonts w:ascii="Times New Roman" w:cs="Times New Roman" w:eastAsia="Times New Roman" w:hAnsi="Times New Roman"/>
          <w:sz w:val="15"/>
          <w:szCs w:val="15"/>
          <w:color w:val="auto"/>
        </w:rPr>
        <w:t>. In furtherance of this Agreement, it is expected that the Parties shall, from time to time, disclose to one another privileged communications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counsel, including patent prosecution matters, opinions, memoranda, letters and other written, electronic and verbal communications. Such disclosures are made with the understanding that they shall remain confidential, they will not be deemed to waive any applicable attorney-client privilege and that they are made in connection with the shared community of legal interests existing between the Parties, including the community of legal interests in avoiding infringement of any valid, enforceable patents of Third Parties and maintaining the validity of the XENCOR Patent Rights, the Licensee Patent Rights and the Joint Patent Rights.</w:t>
      </w: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0" w:right="339" w:bottom="1440" w:gutter="0" w:footer="0" w:header="0"/>
        </w:sectPr>
      </w:pPr>
    </w:p>
    <w:bookmarkStart w:id="383" w:name="page384"/>
    <w:bookmarkEnd w:id="383"/>
    <w:p>
      <w:pPr>
        <w:ind w:left="540" w:hanging="526"/>
        <w:spacing w:after="0" w:line="247" w:lineRule="auto"/>
        <w:tabs>
          <w:tab w:leader="none" w:pos="520" w:val="left"/>
        </w:tabs>
        <w:rPr>
          <w:sz w:val="20"/>
          <w:szCs w:val="20"/>
          <w:color w:val="auto"/>
        </w:rPr>
      </w:pPr>
      <w:r>
        <w:rPr>
          <w:rFonts w:ascii="Times New Roman" w:cs="Times New Roman" w:eastAsia="Times New Roman" w:hAnsi="Times New Roman"/>
          <w:sz w:val="15"/>
          <w:szCs w:val="15"/>
          <w:color w:val="auto"/>
        </w:rPr>
        <w:t>12.12</w:t>
      </w:r>
      <w:r>
        <w:rPr>
          <w:sz w:val="20"/>
          <w:szCs w:val="20"/>
          <w:color w:val="auto"/>
        </w:rPr>
        <w:tab/>
      </w:r>
      <w:r>
        <w:rPr>
          <w:rFonts w:ascii="Times New Roman" w:cs="Times New Roman" w:eastAsia="Times New Roman" w:hAnsi="Times New Roman"/>
          <w:sz w:val="15"/>
          <w:szCs w:val="15"/>
          <w:b w:val="1"/>
          <w:bCs w:val="1"/>
          <w:color w:val="auto"/>
        </w:rPr>
        <w:t>Registration and Submission of Agreement</w:t>
      </w:r>
      <w:r>
        <w:rPr>
          <w:rFonts w:ascii="Times New Roman" w:cs="Times New Roman" w:eastAsia="Times New Roman" w:hAnsi="Times New Roman"/>
          <w:sz w:val="15"/>
          <w:szCs w:val="15"/>
          <w:color w:val="auto"/>
        </w:rPr>
        <w:t>. Subject to the provisions herein and notwithstanding any provision to the contrary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10.1.3</w:t>
      </w:r>
      <w:r>
        <w:rPr>
          <w:rFonts w:ascii="Times New Roman" w:cs="Times New Roman" w:eastAsia="Times New Roman" w:hAnsi="Times New Roman"/>
          <w:sz w:val="15"/>
          <w:szCs w:val="15"/>
          <w:color w:val="auto"/>
        </w:rPr>
        <w:t>, to the extent legally permissible,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Licensee hereby agrees and covenants that Licensee shall not disclose, and will direct its Affiliates and representatives to not disclose, to any Government Authority in the Licensed Territory, including the Ministry of Science and Technology, the Ministry of Commerce (“</w:t>
      </w:r>
      <w:r>
        <w:rPr>
          <w:rFonts w:ascii="Times New Roman" w:cs="Times New Roman" w:eastAsia="Times New Roman" w:hAnsi="Times New Roman"/>
          <w:sz w:val="15"/>
          <w:szCs w:val="15"/>
          <w:u w:val="single" w:color="auto"/>
          <w:color w:val="auto"/>
        </w:rPr>
        <w:t>MOFCOM</w:t>
      </w:r>
      <w:r>
        <w:rPr>
          <w:rFonts w:ascii="Times New Roman" w:cs="Times New Roman" w:eastAsia="Times New Roman" w:hAnsi="Times New Roman"/>
          <w:sz w:val="15"/>
          <w:szCs w:val="15"/>
          <w:color w:val="auto"/>
        </w:rPr>
        <w:t>”), or the China National Intellectual Property Administration (“</w:t>
      </w:r>
      <w:r>
        <w:rPr>
          <w:rFonts w:ascii="Times New Roman" w:cs="Times New Roman" w:eastAsia="Times New Roman" w:hAnsi="Times New Roman"/>
          <w:sz w:val="15"/>
          <w:szCs w:val="15"/>
          <w:u w:val="single" w:color="auto"/>
          <w:color w:val="auto"/>
        </w:rPr>
        <w:t>CNIPA</w:t>
      </w:r>
      <w:r>
        <w:rPr>
          <w:rFonts w:ascii="Times New Roman" w:cs="Times New Roman" w:eastAsia="Times New Roman" w:hAnsi="Times New Roman"/>
          <w:sz w:val="15"/>
          <w:szCs w:val="15"/>
          <w:color w:val="auto"/>
        </w:rPr>
        <w:t>”) (or any agency or bureau thereof), (a) this Agreement or any portion of this Agreement or (b) any of the terms, conditions or other facts contained in this Agreement, in each instance without the prior written approval of XENCOR (such approval not to be unreasonably withheld). In the event that Licensee or Sublicensee is required, upon advice of counsel, to disclose this Agreement (or any portion of this Agreement) to MOFCOM or CNIPA under the Measures on the Administration of the Registration of Technology Import and Export Contracts adopted on February 1, 2009 by MOFCOM (or any other Applicable Law that requires disclosure to or recordation with a Government Authority in the Licensed Territory), Licensee shall, and shall cause its Sublicensees to, provide prior written notice to XENCOR of such disclosure requirement and cooperate in good faith to prepare and execute an abbreviated license agreement in form and substance reasonably acceptable to XENCOR, solely for purposes of such disclosure, with the understanding that the terms and conditions of this Agreement shall control in the event of any dispute regarding the interpretation, applicability or enforcement of the abbreviated license agreement, and submit such abbreviated license agreement.</w:t>
      </w:r>
    </w:p>
    <w:p>
      <w:pPr>
        <w:spacing w:after="0" w:line="157" w:lineRule="exact"/>
        <w:rPr>
          <w:sz w:val="20"/>
          <w:szCs w:val="20"/>
          <w:color w:val="auto"/>
        </w:rPr>
      </w:pPr>
    </w:p>
    <w:p>
      <w:pPr>
        <w:ind w:left="540" w:right="40" w:hanging="526"/>
        <w:spacing w:after="0" w:line="267" w:lineRule="auto"/>
        <w:tabs>
          <w:tab w:leader="none" w:pos="520" w:val="left"/>
        </w:tabs>
        <w:rPr>
          <w:sz w:val="20"/>
          <w:szCs w:val="20"/>
          <w:color w:val="auto"/>
        </w:rPr>
      </w:pPr>
      <w:r>
        <w:rPr>
          <w:rFonts w:ascii="Times New Roman" w:cs="Times New Roman" w:eastAsia="Times New Roman" w:hAnsi="Times New Roman"/>
          <w:sz w:val="15"/>
          <w:szCs w:val="15"/>
          <w:color w:val="auto"/>
        </w:rPr>
        <w:t>12.13</w:t>
      </w:r>
      <w:r>
        <w:rPr>
          <w:sz w:val="20"/>
          <w:szCs w:val="20"/>
          <w:color w:val="auto"/>
        </w:rPr>
        <w:tab/>
      </w:r>
      <w:r>
        <w:rPr>
          <w:rFonts w:ascii="Times New Roman" w:cs="Times New Roman" w:eastAsia="Times New Roman" w:hAnsi="Times New Roman"/>
          <w:sz w:val="14"/>
          <w:szCs w:val="14"/>
          <w:b w:val="1"/>
          <w:bCs w:val="1"/>
          <w:color w:val="auto"/>
        </w:rPr>
        <w:t>Patent Challenge</w:t>
      </w:r>
      <w:r>
        <w:rPr>
          <w:rFonts w:ascii="Times New Roman" w:cs="Times New Roman" w:eastAsia="Times New Roman" w:hAnsi="Times New Roman"/>
          <w:sz w:val="14"/>
          <w:szCs w:val="14"/>
          <w:color w:val="auto"/>
        </w:rPr>
        <w:t>. Unless prohibited by Applicable Law, upon [***] prior written notice to Licensee, XENCOR may terminate this Agreement if Licensee or any of its Affiliates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Sublicensees, directly or indirectly, challenges the validity, patentability, enforceability of, files an invalidation action, reissue, reexamination, inter partes reexamination, post-grant review or opposition proceeding, or revocation proceeding or any similar action, or opposes any extension of, or the grant of a supplementary protection certificate with respect to any XENCOR Patent Rights (collectively, “</w:t>
      </w:r>
      <w:r>
        <w:rPr>
          <w:rFonts w:ascii="Times New Roman" w:cs="Times New Roman" w:eastAsia="Times New Roman" w:hAnsi="Times New Roman"/>
          <w:sz w:val="14"/>
          <w:szCs w:val="14"/>
          <w:u w:val="single" w:color="auto"/>
          <w:color w:val="auto"/>
        </w:rPr>
        <w:t>Patent Challenge</w:t>
      </w:r>
      <w:r>
        <w:rPr>
          <w:rFonts w:ascii="Times New Roman" w:cs="Times New Roman" w:eastAsia="Times New Roman" w:hAnsi="Times New Roman"/>
          <w:sz w:val="14"/>
          <w:szCs w:val="14"/>
          <w:color w:val="auto"/>
        </w:rPr>
        <w:t xml:space="preserve">”), and such act shall be deemed a material breach by Licensee for purposes of </w:t>
      </w:r>
      <w:r>
        <w:rPr>
          <w:rFonts w:ascii="Times New Roman" w:cs="Times New Roman" w:eastAsia="Times New Roman" w:hAnsi="Times New Roman"/>
          <w:sz w:val="14"/>
          <w:szCs w:val="14"/>
          <w:u w:val="single" w:color="auto"/>
          <w:color w:val="auto"/>
        </w:rPr>
        <w:t>Section 14.2.1</w:t>
      </w:r>
      <w:r>
        <w:rPr>
          <w:rFonts w:ascii="Times New Roman" w:cs="Times New Roman" w:eastAsia="Times New Roman" w:hAnsi="Times New Roman"/>
          <w:sz w:val="14"/>
          <w:szCs w:val="14"/>
          <w:color w:val="auto"/>
        </w:rPr>
        <w:t xml:space="preserve">. Notwithstanding the foregoing, XENCOR shall not have the right to terminate this Agreement in accordance with this </w:t>
      </w:r>
      <w:r>
        <w:rPr>
          <w:rFonts w:ascii="Times New Roman" w:cs="Times New Roman" w:eastAsia="Times New Roman" w:hAnsi="Times New Roman"/>
          <w:sz w:val="14"/>
          <w:szCs w:val="14"/>
          <w:u w:val="single" w:color="auto"/>
          <w:color w:val="auto"/>
        </w:rPr>
        <w:t>Section 12.13</w:t>
      </w:r>
      <w:r>
        <w:rPr>
          <w:rFonts w:ascii="Times New Roman" w:cs="Times New Roman" w:eastAsia="Times New Roman" w:hAnsi="Times New Roman"/>
          <w:sz w:val="14"/>
          <w:szCs w:val="14"/>
          <w:color w:val="auto"/>
        </w:rPr>
        <w:t xml:space="preserve"> if (a) Licensee or its Affiliate or Sublicensee is required by legal process to be joined as a party in any Patent Challenge by a Third Party; (b) the Patent Challenge was brought by Licensee or its Affiliates or Sublicensees in response to any claim or action brought in the first instance by, or on behalf of, XENCOR against Licensee or its Affiliates or Sublicensees; or (c) any Patent Challenge that is commenced by a Sublicensee of Licensee,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Licensee demands that such Sublicensee withdraw such Patent Challenge promptly after Licensee becomes aware of such Patent Challenge and terminates the sublicense agreement with the applicable Sublicensee if such Sublicensee does not withdraw such Patent Challenge within [***] after receipt of notice from Licensee.</w:t>
      </w:r>
    </w:p>
    <w:p>
      <w:pPr>
        <w:spacing w:after="0" w:line="146" w:lineRule="exact"/>
        <w:rPr>
          <w:sz w:val="20"/>
          <w:szCs w:val="20"/>
          <w:color w:val="auto"/>
        </w:rPr>
      </w:pPr>
    </w:p>
    <w:p>
      <w:pPr>
        <w:ind w:left="540" w:hanging="526"/>
        <w:spacing w:after="0" w:line="249" w:lineRule="auto"/>
        <w:tabs>
          <w:tab w:leader="none" w:pos="520" w:val="left"/>
        </w:tabs>
        <w:rPr>
          <w:sz w:val="20"/>
          <w:szCs w:val="20"/>
          <w:color w:val="auto"/>
        </w:rPr>
      </w:pPr>
      <w:r>
        <w:rPr>
          <w:rFonts w:ascii="Times New Roman" w:cs="Times New Roman" w:eastAsia="Times New Roman" w:hAnsi="Times New Roman"/>
          <w:sz w:val="15"/>
          <w:szCs w:val="15"/>
          <w:color w:val="auto"/>
        </w:rPr>
        <w:t>12.14</w:t>
      </w:r>
      <w:r>
        <w:rPr>
          <w:sz w:val="20"/>
          <w:szCs w:val="20"/>
          <w:color w:val="auto"/>
        </w:rPr>
        <w:tab/>
      </w:r>
      <w:r>
        <w:rPr>
          <w:rFonts w:ascii="Times New Roman" w:cs="Times New Roman" w:eastAsia="Times New Roman" w:hAnsi="Times New Roman"/>
          <w:sz w:val="15"/>
          <w:szCs w:val="15"/>
          <w:b w:val="1"/>
          <w:bCs w:val="1"/>
          <w:color w:val="auto"/>
        </w:rPr>
        <w:t>Terminal Disclaimer Filing</w:t>
      </w:r>
      <w:r>
        <w:rPr>
          <w:rFonts w:ascii="Times New Roman" w:cs="Times New Roman" w:eastAsia="Times New Roman" w:hAnsi="Times New Roman"/>
          <w:sz w:val="15"/>
          <w:szCs w:val="15"/>
          <w:color w:val="auto"/>
        </w:rPr>
        <w:t>. The Parties understand and agree that the value of the patent term lost by the filing of a terminal disclaimer in the U.S. shall be determined on or after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date that is three (3) years prior to the date of expiry of the relevant Patent. Prior to filing any terminal disclaimer in a Xencor Product Specific Patent Right with the United States Patent and Trademark Office over a Xencor Patent Right, Licensee will obtain written permission to do so from XENCOR. Conversely, prior to filing any terminal disclaimer in a Xencor Patent Right with the United States Patent and Trademark Office over a Xencor Product Specific Patent Right, XENCOR will obtain written permission to do so from Licensee. If such permission is not given and one Party files such terminal disclaimer, then the other Party shall have the right to require the Parties to submit the matter to dispute resolution in accordance with Section 16.3 at the beginning of the disclaimed term to determine the damages suffered by the other Party with a right to such remedy, if any, as a result of such loss of patent term and the appropriate compensation due in connection with such damages.</w:t>
      </w: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84" w:name="page385"/>
    <w:bookmarkEnd w:id="384"/>
    <w:p>
      <w:pPr>
        <w:ind w:left="540" w:hanging="532"/>
        <w:spacing w:after="0"/>
        <w:tabs>
          <w:tab w:leader="none" w:pos="540" w:val="left"/>
        </w:tabs>
        <w:numPr>
          <w:ilvl w:val="0"/>
          <w:numId w:val="22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Government Approvals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540" w:right="140" w:hanging="526"/>
        <w:spacing w:after="0" w:line="253" w:lineRule="auto"/>
        <w:tabs>
          <w:tab w:leader="none" w:pos="520" w:val="left"/>
        </w:tabs>
        <w:rPr>
          <w:sz w:val="20"/>
          <w:szCs w:val="20"/>
          <w:color w:val="auto"/>
        </w:rPr>
      </w:pPr>
      <w:r>
        <w:rPr>
          <w:rFonts w:ascii="Times New Roman" w:cs="Times New Roman" w:eastAsia="Times New Roman" w:hAnsi="Times New Roman"/>
          <w:sz w:val="15"/>
          <w:szCs w:val="15"/>
          <w:color w:val="auto"/>
        </w:rPr>
        <w:t>13.1</w:t>
      </w:r>
      <w:r>
        <w:rPr>
          <w:sz w:val="20"/>
          <w:szCs w:val="20"/>
          <w:color w:val="auto"/>
        </w:rPr>
        <w:tab/>
      </w:r>
      <w:r>
        <w:rPr>
          <w:rFonts w:ascii="Times New Roman" w:cs="Times New Roman" w:eastAsia="Times New Roman" w:hAnsi="Times New Roman"/>
          <w:sz w:val="15"/>
          <w:szCs w:val="15"/>
          <w:b w:val="1"/>
          <w:bCs w:val="1"/>
          <w:color w:val="auto"/>
        </w:rPr>
        <w:t>XENCOR’s and Licensee’s Obligations</w:t>
      </w:r>
      <w:r>
        <w:rPr>
          <w:rFonts w:ascii="Times New Roman" w:cs="Times New Roman" w:eastAsia="Times New Roman" w:hAnsi="Times New Roman"/>
          <w:sz w:val="15"/>
          <w:szCs w:val="15"/>
          <w:color w:val="auto"/>
        </w:rPr>
        <w:t>. Each of XENCOR and Licensee shall use its good faith efforts to eliminate any concern on the part of any court or Government Authority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regarding the legality of the proposed transaction, including, if required by federal or state antitrust authorities, promptly taking all steps to secure government antitrust clearance, including cooperating in good faith with any government investigation including the prompt production of documents and information demanded by a second request for documents and of witnesses if requested.</w:t>
      </w:r>
    </w:p>
    <w:p>
      <w:pPr>
        <w:spacing w:after="0" w:line="152" w:lineRule="exact"/>
        <w:rPr>
          <w:sz w:val="20"/>
          <w:szCs w:val="20"/>
          <w:color w:val="auto"/>
        </w:rPr>
      </w:pPr>
    </w:p>
    <w:p>
      <w:pPr>
        <w:ind w:left="540" w:right="18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13.2</w:t>
      </w:r>
      <w:r>
        <w:rPr>
          <w:sz w:val="20"/>
          <w:szCs w:val="20"/>
          <w:color w:val="auto"/>
        </w:rPr>
        <w:tab/>
      </w:r>
      <w:r>
        <w:rPr>
          <w:rFonts w:ascii="Times New Roman" w:cs="Times New Roman" w:eastAsia="Times New Roman" w:hAnsi="Times New Roman"/>
          <w:sz w:val="15"/>
          <w:szCs w:val="15"/>
          <w:b w:val="1"/>
          <w:bCs w:val="1"/>
          <w:color w:val="auto"/>
        </w:rPr>
        <w:t>Additional Approvals</w:t>
      </w:r>
      <w:r>
        <w:rPr>
          <w:rFonts w:ascii="Times New Roman" w:cs="Times New Roman" w:eastAsia="Times New Roman" w:hAnsi="Times New Roman"/>
          <w:sz w:val="15"/>
          <w:szCs w:val="15"/>
          <w:color w:val="auto"/>
        </w:rPr>
        <w:t>. Licensee and XENCOR shall cooperate and shall use Commercially Reasonable Efforts to make all other registrations, filings and applications, to give 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notices, to obtain as soon as practicable all governmental or other consents, transfers, approvals, orders, qualifications authorizations, permits and waivers, if any, and to do all other things necessary or desirable for the consummation of the transactions as contemplated hereby.</w:t>
      </w:r>
    </w:p>
    <w:p>
      <w:pPr>
        <w:spacing w:after="0" w:line="147" w:lineRule="exact"/>
        <w:rPr>
          <w:sz w:val="20"/>
          <w:szCs w:val="20"/>
          <w:color w:val="auto"/>
        </w:rPr>
      </w:pPr>
    </w:p>
    <w:p>
      <w:pPr>
        <w:ind w:left="540" w:hanging="532"/>
        <w:spacing w:after="0"/>
        <w:tabs>
          <w:tab w:leader="none" w:pos="540" w:val="left"/>
        </w:tabs>
        <w:numPr>
          <w:ilvl w:val="0"/>
          <w:numId w:val="22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Term and Termination</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14.1</w:t>
      </w:r>
      <w:r>
        <w:rPr>
          <w:sz w:val="20"/>
          <w:szCs w:val="20"/>
          <w:color w:val="auto"/>
        </w:rPr>
        <w:tab/>
      </w:r>
      <w:r>
        <w:rPr>
          <w:rFonts w:ascii="Times New Roman" w:cs="Times New Roman" w:eastAsia="Times New Roman" w:hAnsi="Times New Roman"/>
          <w:sz w:val="14"/>
          <w:szCs w:val="14"/>
          <w:b w:val="1"/>
          <w:bCs w:val="1"/>
          <w:color w:val="auto"/>
        </w:rPr>
        <w:t>License Term and Effectiveness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60" w:hanging="526"/>
        <w:spacing w:after="0" w:line="250" w:lineRule="auto"/>
        <w:tabs>
          <w:tab w:leader="none" w:pos="1040" w:val="left"/>
        </w:tabs>
        <w:rPr>
          <w:sz w:val="20"/>
          <w:szCs w:val="20"/>
          <w:color w:val="auto"/>
        </w:rPr>
      </w:pPr>
      <w:r>
        <w:rPr>
          <w:rFonts w:ascii="Times New Roman" w:cs="Times New Roman" w:eastAsia="Times New Roman" w:hAnsi="Times New Roman"/>
          <w:sz w:val="15"/>
          <w:szCs w:val="15"/>
          <w:color w:val="auto"/>
        </w:rPr>
        <w:t>14.1.1</w:t>
      </w:r>
      <w:r>
        <w:rPr>
          <w:sz w:val="20"/>
          <w:szCs w:val="20"/>
          <w:color w:val="auto"/>
        </w:rPr>
        <w:tab/>
      </w:r>
      <w:r>
        <w:rPr>
          <w:rFonts w:ascii="Times New Roman" w:cs="Times New Roman" w:eastAsia="Times New Roman" w:hAnsi="Times New Roman"/>
          <w:sz w:val="15"/>
          <w:szCs w:val="15"/>
          <w:b w:val="1"/>
          <w:bCs w:val="1"/>
          <w:color w:val="auto"/>
        </w:rPr>
        <w:t>License Term</w:t>
      </w:r>
      <w:r>
        <w:rPr>
          <w:rFonts w:ascii="Times New Roman" w:cs="Times New Roman" w:eastAsia="Times New Roman" w:hAnsi="Times New Roman"/>
          <w:sz w:val="15"/>
          <w:szCs w:val="15"/>
          <w:color w:val="auto"/>
        </w:rPr>
        <w:t>. This Agreement shall be effective as provided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14.1.2</w:t>
      </w:r>
      <w:r>
        <w:rPr>
          <w:rFonts w:ascii="Times New Roman" w:cs="Times New Roman" w:eastAsia="Times New Roman" w:hAnsi="Times New Roman"/>
          <w:sz w:val="15"/>
          <w:szCs w:val="15"/>
          <w:color w:val="auto"/>
        </w:rPr>
        <w:t>, and shall continue until the expiration of all Royalty Terms for all Products relating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Licensed Asset in all Regions in the Licensed Territory, or unless terminated earlier pursuant to this </w:t>
      </w:r>
      <w:r>
        <w:rPr>
          <w:rFonts w:ascii="Times New Roman" w:cs="Times New Roman" w:eastAsia="Times New Roman" w:hAnsi="Times New Roman"/>
          <w:sz w:val="15"/>
          <w:szCs w:val="15"/>
          <w:u w:val="single" w:color="auto"/>
          <w:color w:val="auto"/>
        </w:rPr>
        <w:t>Article 14</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License Term</w:t>
      </w:r>
      <w:r>
        <w:rPr>
          <w:rFonts w:ascii="Times New Roman" w:cs="Times New Roman" w:eastAsia="Times New Roman" w:hAnsi="Times New Roman"/>
          <w:sz w:val="15"/>
          <w:szCs w:val="15"/>
          <w:color w:val="auto"/>
        </w:rPr>
        <w:t>”). On a Product-by-Product and Region-by-Region basis, upon the natural expiration (i.e., not pursuant to any termination) of the Royalty Term for such Product in such Region, the licenses granted to Licensee under this Agreement with respect to such Product in such Region shall become fully paid-up, perpetual, irrevocable, non-exclusive, and fully sublicenseable in multiple tiers. For clarify, any Product manufactured in a Region where the Royalty Term has expired but sold in a Region where the Royalty Term still persists will still be subject to royalty payment in such latter Region for the remainder of the Royalty Term in such latter Region.</w:t>
      </w:r>
    </w:p>
    <w:p>
      <w:pPr>
        <w:spacing w:after="0" w:line="152" w:lineRule="exact"/>
        <w:rPr>
          <w:sz w:val="20"/>
          <w:szCs w:val="20"/>
          <w:color w:val="auto"/>
        </w:rPr>
      </w:pPr>
    </w:p>
    <w:p>
      <w:pPr>
        <w:jc w:val="both"/>
        <w:ind w:left="1060" w:right="60" w:hanging="526"/>
        <w:spacing w:after="0" w:line="258" w:lineRule="auto"/>
        <w:tabs>
          <w:tab w:leader="none" w:pos="1040" w:val="left"/>
        </w:tabs>
        <w:rPr>
          <w:sz w:val="20"/>
          <w:szCs w:val="20"/>
          <w:color w:val="auto"/>
        </w:rPr>
      </w:pPr>
      <w:r>
        <w:rPr>
          <w:rFonts w:ascii="Times New Roman" w:cs="Times New Roman" w:eastAsia="Times New Roman" w:hAnsi="Times New Roman"/>
          <w:sz w:val="15"/>
          <w:szCs w:val="15"/>
          <w:color w:val="auto"/>
        </w:rPr>
        <w:t>14.1.2</w:t>
      </w:r>
      <w:r>
        <w:rPr>
          <w:sz w:val="20"/>
          <w:szCs w:val="20"/>
          <w:color w:val="auto"/>
        </w:rPr>
        <w:tab/>
      </w:r>
      <w:r>
        <w:rPr>
          <w:rFonts w:ascii="Times New Roman" w:cs="Times New Roman" w:eastAsia="Times New Roman" w:hAnsi="Times New Roman"/>
          <w:sz w:val="15"/>
          <w:szCs w:val="15"/>
          <w:b w:val="1"/>
          <w:bCs w:val="1"/>
          <w:color w:val="auto"/>
        </w:rPr>
        <w:t>Effectiveness</w:t>
      </w:r>
      <w:r>
        <w:rPr>
          <w:rFonts w:ascii="Times New Roman" w:cs="Times New Roman" w:eastAsia="Times New Roman" w:hAnsi="Times New Roman"/>
          <w:sz w:val="15"/>
          <w:szCs w:val="15"/>
          <w:color w:val="auto"/>
        </w:rPr>
        <w:t>. This Agreement shall be automatically deemed effective on the date when the following conditions are satisfied or waived in writing by XENCOR (such date,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w:t>
      </w:r>
      <w:r>
        <w:rPr>
          <w:rFonts w:ascii="Times New Roman" w:cs="Times New Roman" w:eastAsia="Times New Roman" w:hAnsi="Times New Roman"/>
          <w:sz w:val="15"/>
          <w:szCs w:val="15"/>
          <w:u w:val="single" w:color="auto"/>
          <w:color w:val="auto"/>
        </w:rPr>
        <w:t>Effective Date</w:t>
      </w:r>
      <w:r>
        <w:rPr>
          <w:rFonts w:ascii="Times New Roman" w:cs="Times New Roman" w:eastAsia="Times New Roman" w:hAnsi="Times New Roman"/>
          <w:sz w:val="15"/>
          <w:szCs w:val="15"/>
          <w:color w:val="auto"/>
        </w:rPr>
        <w:t xml:space="preserve">”), with the exception that </w:t>
      </w:r>
      <w:r>
        <w:rPr>
          <w:rFonts w:ascii="Times New Roman" w:cs="Times New Roman" w:eastAsia="Times New Roman" w:hAnsi="Times New Roman"/>
          <w:sz w:val="15"/>
          <w:szCs w:val="15"/>
          <w:u w:val="single" w:color="auto"/>
          <w:color w:val="auto"/>
        </w:rPr>
        <w:t>Article 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10.1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Article 13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12.3.3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12.3.4</w:t>
      </w:r>
      <w:r>
        <w:rPr>
          <w:rFonts w:ascii="Times New Roman" w:cs="Times New Roman" w:eastAsia="Times New Roman" w:hAnsi="Times New Roman"/>
          <w:sz w:val="15"/>
          <w:szCs w:val="15"/>
          <w:color w:val="auto"/>
        </w:rPr>
        <w:t xml:space="preserve">, this </w:t>
      </w:r>
      <w:r>
        <w:rPr>
          <w:rFonts w:ascii="Times New Roman" w:cs="Times New Roman" w:eastAsia="Times New Roman" w:hAnsi="Times New Roman"/>
          <w:sz w:val="15"/>
          <w:szCs w:val="15"/>
          <w:u w:val="single" w:color="auto"/>
          <w:color w:val="auto"/>
        </w:rPr>
        <w:t>Section 14.1.2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14.1.3</w:t>
      </w:r>
      <w:r>
        <w:rPr>
          <w:rFonts w:ascii="Times New Roman" w:cs="Times New Roman" w:eastAsia="Times New Roman" w:hAnsi="Times New Roman"/>
          <w:sz w:val="15"/>
          <w:szCs w:val="15"/>
          <w:color w:val="auto"/>
        </w:rPr>
        <w:t xml:space="preserve"> will be effective as of the Execution Date:</w:t>
      </w:r>
    </w:p>
    <w:p>
      <w:pPr>
        <w:spacing w:after="0" w:line="149" w:lineRule="exact"/>
        <w:rPr>
          <w:sz w:val="20"/>
          <w:szCs w:val="20"/>
          <w:color w:val="auto"/>
        </w:rPr>
      </w:pPr>
    </w:p>
    <w:p>
      <w:pPr>
        <w:ind w:left="1600" w:right="240" w:hanging="537"/>
        <w:spacing w:after="0" w:line="257" w:lineRule="auto"/>
        <w:tabs>
          <w:tab w:leader="none" w:pos="1600"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consummation (the “</w:t>
      </w:r>
      <w:r>
        <w:rPr>
          <w:rFonts w:ascii="Times New Roman" w:cs="Times New Roman" w:eastAsia="Times New Roman" w:hAnsi="Times New Roman"/>
          <w:sz w:val="15"/>
          <w:szCs w:val="15"/>
          <w:u w:val="single" w:color="auto"/>
          <w:color w:val="auto"/>
        </w:rPr>
        <w:t>Subsequent Financing Closing</w:t>
      </w:r>
      <w:r>
        <w:rPr>
          <w:rFonts w:ascii="Times New Roman" w:cs="Times New Roman" w:eastAsia="Times New Roman" w:hAnsi="Times New Roman"/>
          <w:sz w:val="15"/>
          <w:szCs w:val="15"/>
          <w:color w:val="auto"/>
        </w:rPr>
        <w:t>”) by Licensee of an equity financing transaction consummated following the Execution Date pursuant to which Licensee has raised equity financing from one or more investors (the “</w:t>
      </w:r>
      <w:r>
        <w:rPr>
          <w:rFonts w:ascii="Times New Roman" w:cs="Times New Roman" w:eastAsia="Times New Roman" w:hAnsi="Times New Roman"/>
          <w:sz w:val="15"/>
          <w:szCs w:val="15"/>
          <w:u w:val="single" w:color="auto"/>
          <w:color w:val="auto"/>
        </w:rPr>
        <w:t>Investors</w:t>
      </w:r>
      <w:r>
        <w:rPr>
          <w:rFonts w:ascii="Times New Roman" w:cs="Times New Roman" w:eastAsia="Times New Roman" w:hAnsi="Times New Roman"/>
          <w:sz w:val="15"/>
          <w:szCs w:val="15"/>
          <w:color w:val="auto"/>
        </w:rPr>
        <w:t>”) equaling an aggregate gross amount of [***] or more (the “</w:t>
      </w:r>
      <w:r>
        <w:rPr>
          <w:rFonts w:ascii="Times New Roman" w:cs="Times New Roman" w:eastAsia="Times New Roman" w:hAnsi="Times New Roman"/>
          <w:sz w:val="15"/>
          <w:szCs w:val="15"/>
          <w:u w:val="single" w:color="auto"/>
          <w:color w:val="auto"/>
        </w:rPr>
        <w:t>Subsequent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Financing</w:t>
      </w:r>
      <w:r>
        <w:rPr>
          <w:rFonts w:ascii="Times New Roman" w:cs="Times New Roman" w:eastAsia="Times New Roman" w:hAnsi="Times New Roman"/>
          <w:sz w:val="15"/>
          <w:szCs w:val="15"/>
          <w:color w:val="auto"/>
        </w:rPr>
        <w:t>”); and</w:t>
      </w:r>
    </w:p>
    <w:p>
      <w:pPr>
        <w:spacing w:after="0" w:line="149" w:lineRule="exact"/>
        <w:rPr>
          <w:rFonts w:ascii="Times New Roman" w:cs="Times New Roman" w:eastAsia="Times New Roman" w:hAnsi="Times New Roman"/>
          <w:sz w:val="15"/>
          <w:szCs w:val="15"/>
          <w:color w:val="auto"/>
        </w:rPr>
      </w:pPr>
    </w:p>
    <w:p>
      <w:pPr>
        <w:ind w:left="1600" w:hanging="537"/>
        <w:spacing w:after="0" w:line="248" w:lineRule="auto"/>
        <w:tabs>
          <w:tab w:leader="none" w:pos="1600"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by Licensee to XENCOR of such number of fully paid and non-assessable shares of the same class and series of equity securities issued or issuable to the Investors in connection with the Subsequent Financing (the “</w:t>
      </w:r>
      <w:r>
        <w:rPr>
          <w:rFonts w:ascii="Times New Roman" w:cs="Times New Roman" w:eastAsia="Times New Roman" w:hAnsi="Times New Roman"/>
          <w:sz w:val="15"/>
          <w:szCs w:val="15"/>
          <w:u w:val="single" w:color="auto"/>
          <w:color w:val="auto"/>
        </w:rPr>
        <w:t>Subsequent Financing Securities</w:t>
      </w:r>
      <w:r>
        <w:rPr>
          <w:rFonts w:ascii="Times New Roman" w:cs="Times New Roman" w:eastAsia="Times New Roman" w:hAnsi="Times New Roman"/>
          <w:sz w:val="15"/>
          <w:szCs w:val="15"/>
          <w:color w:val="auto"/>
        </w:rPr>
        <w:t>”) that, immediately following the Subsequent Financing Closing, XENCOR shall own (together with Licensee equity interests that Xencor acquired prior to the Execution Date) fifteen percent (15%) of the Fully Diluted Capitalization (as defined below) of Licensee (calculated on an as-converted basis) (the “</w:t>
      </w:r>
      <w:r>
        <w:rPr>
          <w:rFonts w:ascii="Times New Roman" w:cs="Times New Roman" w:eastAsia="Times New Roman" w:hAnsi="Times New Roman"/>
          <w:sz w:val="15"/>
          <w:szCs w:val="15"/>
          <w:u w:val="single" w:color="auto"/>
          <w:color w:val="auto"/>
        </w:rPr>
        <w:t>Equity Consideration</w:t>
      </w:r>
      <w:r>
        <w:rPr>
          <w:rFonts w:ascii="Times New Roman" w:cs="Times New Roman" w:eastAsia="Times New Roman" w:hAnsi="Times New Roman"/>
          <w:sz w:val="15"/>
          <w:szCs w:val="15"/>
          <w:color w:val="auto"/>
        </w:rPr>
        <w:t>”). For purposes hereof, “</w:t>
      </w:r>
      <w:r>
        <w:rPr>
          <w:rFonts w:ascii="Times New Roman" w:cs="Times New Roman" w:eastAsia="Times New Roman" w:hAnsi="Times New Roman"/>
          <w:sz w:val="15"/>
          <w:szCs w:val="15"/>
          <w:u w:val="single" w:color="auto"/>
          <w:color w:val="auto"/>
        </w:rPr>
        <w:t>Fully Diluted Capitalization</w:t>
      </w:r>
      <w:r>
        <w:rPr>
          <w:rFonts w:ascii="Times New Roman" w:cs="Times New Roman" w:eastAsia="Times New Roman" w:hAnsi="Times New Roman"/>
          <w:sz w:val="15"/>
          <w:szCs w:val="15"/>
          <w:color w:val="auto"/>
        </w:rPr>
        <w:t>” means all shares of common stock of Licensee that are (i) issued and outstanding, (ii) issuable upon the exercise and/or conversion of any outstanding options, warrants or other derivative securities and shares reserved for issuance and available for grant or to be reserved for issuance and available for grant at or prior to the final closing of the Subsequent Financing under any equity incentive plan or similar plan of Licensee, and (iii) assuming the issuance of all Subsequent Financing Securities to the Investors in connection with the Subsequent Financing.</w:t>
      </w: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85" w:name="page386"/>
    <w:bookmarkEnd w:id="385"/>
    <w:p>
      <w:pPr>
        <w:jc w:val="both"/>
        <w:ind w:left="1060" w:right="80" w:hanging="526"/>
        <w:spacing w:after="0" w:line="258" w:lineRule="auto"/>
        <w:tabs>
          <w:tab w:leader="none" w:pos="1040" w:val="left"/>
        </w:tabs>
        <w:rPr>
          <w:sz w:val="20"/>
          <w:szCs w:val="20"/>
          <w:color w:val="auto"/>
        </w:rPr>
      </w:pPr>
      <w:r>
        <w:rPr>
          <w:rFonts w:ascii="Times New Roman" w:cs="Times New Roman" w:eastAsia="Times New Roman" w:hAnsi="Times New Roman"/>
          <w:sz w:val="15"/>
          <w:szCs w:val="15"/>
          <w:color w:val="auto"/>
        </w:rPr>
        <w:t>14.1.3</w:t>
      </w:r>
      <w:r>
        <w:rPr>
          <w:sz w:val="20"/>
          <w:szCs w:val="20"/>
          <w:color w:val="auto"/>
        </w:rPr>
        <w:tab/>
      </w:r>
      <w:r>
        <w:rPr>
          <w:rFonts w:ascii="Times New Roman" w:cs="Times New Roman" w:eastAsia="Times New Roman" w:hAnsi="Times New Roman"/>
          <w:sz w:val="15"/>
          <w:szCs w:val="15"/>
          <w:b w:val="1"/>
          <w:bCs w:val="1"/>
          <w:color w:val="auto"/>
        </w:rPr>
        <w:t>Record of Effectiveness</w:t>
      </w:r>
      <w:r>
        <w:rPr>
          <w:rFonts w:ascii="Times New Roman" w:cs="Times New Roman" w:eastAsia="Times New Roman" w:hAnsi="Times New Roman"/>
          <w:sz w:val="15"/>
          <w:szCs w:val="15"/>
          <w:color w:val="auto"/>
        </w:rPr>
        <w:t>. To record the occurrence of the Effective Date, upon satisfaction or waiver of the conditions above, the Parties shall date (with the Effective Date)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and execute the “Conditions for Effectiveness” form as set forth in </w:t>
      </w:r>
      <w:r>
        <w:rPr>
          <w:rFonts w:ascii="Times New Roman" w:cs="Times New Roman" w:eastAsia="Times New Roman" w:hAnsi="Times New Roman"/>
          <w:sz w:val="15"/>
          <w:szCs w:val="15"/>
          <w:u w:val="single" w:color="auto"/>
          <w:color w:val="auto"/>
        </w:rPr>
        <w:t>Schedule 14.1.3</w:t>
      </w:r>
      <w:r>
        <w:rPr>
          <w:rFonts w:ascii="Times New Roman" w:cs="Times New Roman" w:eastAsia="Times New Roman" w:hAnsi="Times New Roman"/>
          <w:sz w:val="15"/>
          <w:szCs w:val="15"/>
          <w:color w:val="auto"/>
        </w:rPr>
        <w:t xml:space="preserve"> and amend this Agreement in writing to amend the current </w:t>
      </w:r>
      <w:r>
        <w:rPr>
          <w:rFonts w:ascii="Times New Roman" w:cs="Times New Roman" w:eastAsia="Times New Roman" w:hAnsi="Times New Roman"/>
          <w:sz w:val="15"/>
          <w:szCs w:val="15"/>
          <w:u w:val="single" w:color="auto"/>
          <w:color w:val="auto"/>
        </w:rPr>
        <w:t>Schedule 14.1.3</w:t>
      </w:r>
      <w:r>
        <w:rPr>
          <w:rFonts w:ascii="Times New Roman" w:cs="Times New Roman" w:eastAsia="Times New Roman" w:hAnsi="Times New Roman"/>
          <w:sz w:val="15"/>
          <w:szCs w:val="15"/>
          <w:color w:val="auto"/>
        </w:rPr>
        <w:t xml:space="preserve"> with a dated and executed version of </w:t>
      </w:r>
      <w:r>
        <w:rPr>
          <w:rFonts w:ascii="Times New Roman" w:cs="Times New Roman" w:eastAsia="Times New Roman" w:hAnsi="Times New Roman"/>
          <w:sz w:val="15"/>
          <w:szCs w:val="15"/>
          <w:u w:val="single" w:color="auto"/>
          <w:color w:val="auto"/>
        </w:rPr>
        <w:t>Schedule 14.1.3</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left="1060" w:hanging="526"/>
        <w:spacing w:after="0" w:line="250" w:lineRule="auto"/>
        <w:tabs>
          <w:tab w:leader="none" w:pos="1040" w:val="left"/>
        </w:tabs>
        <w:rPr>
          <w:sz w:val="20"/>
          <w:szCs w:val="20"/>
          <w:color w:val="auto"/>
        </w:rPr>
      </w:pPr>
      <w:r>
        <w:rPr>
          <w:rFonts w:ascii="Times New Roman" w:cs="Times New Roman" w:eastAsia="Times New Roman" w:hAnsi="Times New Roman"/>
          <w:sz w:val="15"/>
          <w:szCs w:val="15"/>
          <w:color w:val="auto"/>
        </w:rPr>
        <w:t>14.1.4</w:t>
      </w:r>
      <w:r>
        <w:rPr>
          <w:sz w:val="20"/>
          <w:szCs w:val="20"/>
          <w:color w:val="auto"/>
        </w:rPr>
        <w:tab/>
      </w:r>
      <w:r>
        <w:rPr>
          <w:rFonts w:ascii="Times New Roman" w:cs="Times New Roman" w:eastAsia="Times New Roman" w:hAnsi="Times New Roman"/>
          <w:sz w:val="15"/>
          <w:szCs w:val="15"/>
          <w:b w:val="1"/>
          <w:bCs w:val="1"/>
          <w:color w:val="auto"/>
        </w:rPr>
        <w:t>True-Up at Final Closing of the Subsequent Financing</w:t>
      </w:r>
      <w:r>
        <w:rPr>
          <w:rFonts w:ascii="Times New Roman" w:cs="Times New Roman" w:eastAsia="Times New Roman" w:hAnsi="Times New Roman"/>
          <w:sz w:val="15"/>
          <w:szCs w:val="15"/>
          <w:color w:val="auto"/>
        </w:rPr>
        <w:t>. Without limiting the foregoing, Licensee covenants and agrees that if, at the final closing of the Subsequent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Financing (the “</w:t>
      </w:r>
      <w:r>
        <w:rPr>
          <w:rFonts w:ascii="Times New Roman" w:cs="Times New Roman" w:eastAsia="Times New Roman" w:hAnsi="Times New Roman"/>
          <w:sz w:val="15"/>
          <w:szCs w:val="15"/>
          <w:u w:val="single" w:color="auto"/>
          <w:color w:val="auto"/>
        </w:rPr>
        <w:t>Final Subsequent Closing</w:t>
      </w:r>
      <w:r>
        <w:rPr>
          <w:rFonts w:ascii="Times New Roman" w:cs="Times New Roman" w:eastAsia="Times New Roman" w:hAnsi="Times New Roman"/>
          <w:sz w:val="15"/>
          <w:szCs w:val="15"/>
          <w:color w:val="auto"/>
        </w:rPr>
        <w:t>”) the number of shares of Subsequent Financing Securities that were issued to XENCOR at the Effective Date were not sufficient to provide XENCOR fifteen percent (15%) of the Fully Diluted Capitalization of Licensee as of the Final Subsequent Closing, then at the Final Subsequent Closing, Licensee shall issue to XENCOR additional shares of Subsequent Financing Securities (the “</w:t>
      </w:r>
      <w:r>
        <w:rPr>
          <w:rFonts w:ascii="Times New Roman" w:cs="Times New Roman" w:eastAsia="Times New Roman" w:hAnsi="Times New Roman"/>
          <w:sz w:val="15"/>
          <w:szCs w:val="15"/>
          <w:u w:val="single" w:color="auto"/>
          <w:color w:val="auto"/>
        </w:rPr>
        <w:t>True-Up Shares</w:t>
      </w:r>
      <w:r>
        <w:rPr>
          <w:rFonts w:ascii="Times New Roman" w:cs="Times New Roman" w:eastAsia="Times New Roman" w:hAnsi="Times New Roman"/>
          <w:sz w:val="15"/>
          <w:szCs w:val="15"/>
          <w:color w:val="auto"/>
        </w:rPr>
        <w:t>”) such that the sum of the number of Subsequent Financing Securities issued at the Effective Date plus the True-Up Shares shall be sufficient to provide XENCOR fifteen percent (15%) of the Fully Diluted Capitalization of Licensee as of the Final Subsequent Closing.</w:t>
      </w:r>
    </w:p>
    <w:p>
      <w:pPr>
        <w:spacing w:after="0" w:line="1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14.2</w:t>
      </w:r>
      <w:r>
        <w:rPr>
          <w:sz w:val="20"/>
          <w:szCs w:val="20"/>
          <w:color w:val="auto"/>
        </w:rPr>
        <w:tab/>
      </w:r>
      <w:r>
        <w:rPr>
          <w:rFonts w:ascii="Times New Roman" w:cs="Times New Roman" w:eastAsia="Times New Roman" w:hAnsi="Times New Roman"/>
          <w:sz w:val="14"/>
          <w:szCs w:val="14"/>
          <w:b w:val="1"/>
          <w:bCs w:val="1"/>
          <w:color w:val="auto"/>
        </w:rPr>
        <w:t>General Termination Rights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1060" w:right="100" w:hanging="526"/>
        <w:spacing w:after="0" w:line="268" w:lineRule="auto"/>
        <w:tabs>
          <w:tab w:leader="none" w:pos="1040" w:val="left"/>
        </w:tabs>
        <w:rPr>
          <w:sz w:val="20"/>
          <w:szCs w:val="20"/>
          <w:color w:val="auto"/>
        </w:rPr>
      </w:pPr>
      <w:r>
        <w:rPr>
          <w:rFonts w:ascii="Times New Roman" w:cs="Times New Roman" w:eastAsia="Times New Roman" w:hAnsi="Times New Roman"/>
          <w:sz w:val="15"/>
          <w:szCs w:val="15"/>
          <w:color w:val="auto"/>
        </w:rPr>
        <w:t>14.2.1</w:t>
      </w:r>
      <w:r>
        <w:rPr>
          <w:sz w:val="20"/>
          <w:szCs w:val="20"/>
          <w:color w:val="auto"/>
        </w:rPr>
        <w:tab/>
      </w:r>
      <w:r>
        <w:rPr>
          <w:rFonts w:ascii="Times New Roman" w:cs="Times New Roman" w:eastAsia="Times New Roman" w:hAnsi="Times New Roman"/>
          <w:sz w:val="14"/>
          <w:szCs w:val="14"/>
          <w:b w:val="1"/>
          <w:bCs w:val="1"/>
          <w:color w:val="auto"/>
        </w:rPr>
        <w:t>Termination for Material Breach</w:t>
      </w:r>
      <w:r>
        <w:rPr>
          <w:rFonts w:ascii="Times New Roman" w:cs="Times New Roman" w:eastAsia="Times New Roman" w:hAnsi="Times New Roman"/>
          <w:sz w:val="14"/>
          <w:szCs w:val="14"/>
          <w:color w:val="auto"/>
        </w:rPr>
        <w:t>. This Agreement may be terminated effective immediately by either Party at any time during the License Term if the other Party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employee of such other Party) materially breaches this Agreement and such other Party fails to cure, if curable, such material breach to the satisfaction of the non-breaching Party within [***] in the event of non-payment) after receiving written notice of such material breach from the non-breaching Party, which notice shall specify the nature of the breach and demand its cure, if curable. In the event that such material breach is curable but the breaching Party demonstrates that it cannot be reasonably cured within</w:t>
      </w:r>
    </w:p>
    <w:p>
      <w:pPr>
        <w:spacing w:after="0" w:line="1" w:lineRule="exact"/>
        <w:rPr>
          <w:sz w:val="20"/>
          <w:szCs w:val="20"/>
          <w:color w:val="auto"/>
        </w:rPr>
      </w:pPr>
    </w:p>
    <w:p>
      <w:pPr>
        <w:ind w:left="1060" w:right="160" w:firstLine="3"/>
        <w:spacing w:after="0" w:line="262" w:lineRule="auto"/>
        <w:tabs>
          <w:tab w:leader="none" w:pos="1414"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despite Licensee’s diligent efforts to cure within the such period, Licensee shall be allowed an additional [***] to cure such material breach. If the alleged breaching Party disputes in good faith the existence or materiality of a breach specified in a notice provided by the other Party in accordance with </w:t>
      </w:r>
      <w:r>
        <w:rPr>
          <w:rFonts w:ascii="Times New Roman" w:cs="Times New Roman" w:eastAsia="Times New Roman" w:hAnsi="Times New Roman"/>
          <w:sz w:val="14"/>
          <w:szCs w:val="14"/>
          <w:u w:val="single" w:color="auto"/>
          <w:color w:val="auto"/>
        </w:rPr>
        <w:t>Section 14.2.1</w:t>
      </w:r>
      <w:r>
        <w:rPr>
          <w:rFonts w:ascii="Times New Roman" w:cs="Times New Roman" w:eastAsia="Times New Roman" w:hAnsi="Times New Roman"/>
          <w:sz w:val="14"/>
          <w:szCs w:val="14"/>
          <w:color w:val="auto"/>
        </w:rPr>
        <w:t xml:space="preserve"> and such alleged breaching Party provides the other Party notice of such Dispute within such [***] in the event of non-payment) period, then the such cure period set forth in this </w:t>
      </w:r>
      <w:r>
        <w:rPr>
          <w:rFonts w:ascii="Times New Roman" w:cs="Times New Roman" w:eastAsia="Times New Roman" w:hAnsi="Times New Roman"/>
          <w:sz w:val="14"/>
          <w:szCs w:val="14"/>
          <w:u w:val="single" w:color="auto"/>
          <w:color w:val="auto"/>
        </w:rPr>
        <w:t>Section 14.2.1</w:t>
      </w:r>
      <w:r>
        <w:rPr>
          <w:rFonts w:ascii="Times New Roman" w:cs="Times New Roman" w:eastAsia="Times New Roman" w:hAnsi="Times New Roman"/>
          <w:sz w:val="14"/>
          <w:szCs w:val="14"/>
          <w:color w:val="auto"/>
        </w:rPr>
        <w:t xml:space="preserve"> will be tolled during the pendency of the dispute resolution process set forth in </w:t>
      </w:r>
      <w:r>
        <w:rPr>
          <w:rFonts w:ascii="Times New Roman" w:cs="Times New Roman" w:eastAsia="Times New Roman" w:hAnsi="Times New Roman"/>
          <w:sz w:val="14"/>
          <w:szCs w:val="14"/>
          <w:u w:val="single" w:color="auto"/>
          <w:color w:val="auto"/>
        </w:rPr>
        <w:t>Section 16.3</w:t>
      </w:r>
      <w:r>
        <w:rPr>
          <w:rFonts w:ascii="Times New Roman" w:cs="Times New Roman" w:eastAsia="Times New Roman" w:hAnsi="Times New Roman"/>
          <w:sz w:val="14"/>
          <w:szCs w:val="14"/>
          <w:color w:val="auto"/>
        </w:rPr>
        <w:t xml:space="preserve"> and the non-breaching Party will not have the right to terminate</w:t>
      </w:r>
    </w:p>
    <w:p>
      <w:pPr>
        <w:ind w:left="1060"/>
        <w:spacing w:after="0" w:line="26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under this </w:t>
      </w:r>
      <w:r>
        <w:rPr>
          <w:rFonts w:ascii="Times New Roman" w:cs="Times New Roman" w:eastAsia="Times New Roman" w:hAnsi="Times New Roman"/>
          <w:sz w:val="14"/>
          <w:szCs w:val="14"/>
          <w:u w:val="single" w:color="auto"/>
          <w:color w:val="auto"/>
        </w:rPr>
        <w:t>Section 14.2.1</w:t>
      </w:r>
      <w:r>
        <w:rPr>
          <w:rFonts w:ascii="Times New Roman" w:cs="Times New Roman" w:eastAsia="Times New Roman" w:hAnsi="Times New Roman"/>
          <w:sz w:val="14"/>
          <w:szCs w:val="14"/>
          <w:color w:val="auto"/>
        </w:rPr>
        <w:t xml:space="preserve"> unless and until such dispute resolution process has been completed and it has been determined that the alleged breaching Party has materially breached this Agreement and such Party has failed to cure such breach as of the date of such determination. Notwithstanding the foregoing, in the event that Licensee as the breaching Party has materially breached or defaulted in the performance of any of its payment obligations under this Agreement a [***], then XENCOR shall have the right to terminate this Agreement immediately by providing written notice Licensee, without Licensee having opportunity to cure such breach or default.</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40"/>
          </w:cols>
          <w:pgMar w:left="300" w:top="760" w:right="359" w:bottom="1440" w:gutter="0" w:footer="0" w:header="0"/>
        </w:sectPr>
      </w:pPr>
    </w:p>
    <w:bookmarkStart w:id="386" w:name="page387"/>
    <w:bookmarkEnd w:id="386"/>
    <w:p>
      <w:pPr>
        <w:ind w:left="1060" w:right="60" w:hanging="526"/>
        <w:spacing w:after="0" w:line="268" w:lineRule="auto"/>
        <w:tabs>
          <w:tab w:leader="none" w:pos="1040" w:val="left"/>
        </w:tabs>
        <w:rPr>
          <w:sz w:val="20"/>
          <w:szCs w:val="20"/>
          <w:color w:val="auto"/>
        </w:rPr>
      </w:pPr>
      <w:r>
        <w:rPr>
          <w:rFonts w:ascii="Times New Roman" w:cs="Times New Roman" w:eastAsia="Times New Roman" w:hAnsi="Times New Roman"/>
          <w:sz w:val="15"/>
          <w:szCs w:val="15"/>
          <w:color w:val="auto"/>
        </w:rPr>
        <w:t>14.2.2</w:t>
      </w:r>
      <w:r>
        <w:rPr>
          <w:sz w:val="20"/>
          <w:szCs w:val="20"/>
          <w:color w:val="auto"/>
        </w:rPr>
        <w:tab/>
      </w:r>
      <w:r>
        <w:rPr>
          <w:rFonts w:ascii="Times New Roman" w:cs="Times New Roman" w:eastAsia="Times New Roman" w:hAnsi="Times New Roman"/>
          <w:sz w:val="14"/>
          <w:szCs w:val="14"/>
          <w:b w:val="1"/>
          <w:bCs w:val="1"/>
          <w:color w:val="auto"/>
        </w:rPr>
        <w:t>Termination for Bankruptcy</w:t>
      </w:r>
      <w:r>
        <w:rPr>
          <w:rFonts w:ascii="Times New Roman" w:cs="Times New Roman" w:eastAsia="Times New Roman" w:hAnsi="Times New Roman"/>
          <w:sz w:val="14"/>
          <w:szCs w:val="14"/>
          <w:color w:val="auto"/>
        </w:rPr>
        <w:t>. This Agreement may be terminated by written notice by either Party at any time during the License Term if (a) the other Party files in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court or agency, pursuant to any statute or regulation of any state or country or jurisdiction, a petition in bankruptcy or insolvency or for reorganization or for an arrangement or for the appointment of a receiver or trustee of such other Party or of its assets, or (b) such other Party is served with an involuntary petition against it, filed in any insolvency proceeding, and such petition is not dismissed within [***] after the filing thereof, (c) such other Party becomes a party to any dissolution or liquidation, or</w:t>
      </w:r>
    </w:p>
    <w:p>
      <w:pPr>
        <w:spacing w:after="0" w:line="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(d) such other Party makes an assignment for the benefit of its creditors.</w:t>
      </w:r>
    </w:p>
    <w:p>
      <w:pPr>
        <w:spacing w:after="0" w:line="162"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14.2.3</w:t>
      </w:r>
      <w:r>
        <w:rPr>
          <w:sz w:val="20"/>
          <w:szCs w:val="20"/>
          <w:color w:val="auto"/>
        </w:rPr>
        <w:tab/>
      </w:r>
      <w:r>
        <w:rPr>
          <w:rFonts w:ascii="Times New Roman" w:cs="Times New Roman" w:eastAsia="Times New Roman" w:hAnsi="Times New Roman"/>
          <w:sz w:val="14"/>
          <w:szCs w:val="14"/>
          <w:b w:val="1"/>
          <w:bCs w:val="1"/>
          <w:color w:val="auto"/>
        </w:rPr>
        <w:t>Rights in Bankruptcy</w:t>
      </w:r>
      <w:r>
        <w:rPr>
          <w:rFonts w:ascii="Times New Roman" w:cs="Times New Roman" w:eastAsia="Times New Roman" w:hAnsi="Times New Roman"/>
          <w:sz w:val="14"/>
          <w:szCs w:val="14"/>
          <w:color w:val="auto"/>
        </w:rPr>
        <w:t>. All rights and licenses granted under or pursuant to this Agreement by Licensee and XENCOR are and shall otherwise be deemed to be, for purposes</w:t>
      </w:r>
    </w:p>
    <w:tbl>
      <w:tblPr>
        <w:tblLayout w:type="fixed"/>
        <w:tblInd w:w="0" w:type="dxa"/>
        <w:tblCellMar>
          <w:top w:w="0" w:type="dxa"/>
          <w:left w:w="0" w:type="dxa"/>
          <w:bottom w:w="0" w:type="dxa"/>
          <w:right w:w="0" w:type="dxa"/>
        </w:tblCellMar>
      </w:tblPr>
      <w:tr>
        <w:trPr>
          <w:trHeight w:val="163"/>
        </w:trPr>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20" w:type="dxa"/>
            <w:vAlign w:val="bottom"/>
            <w:gridSpan w:val="8"/>
          </w:tcPr>
          <w:p>
            <w:pPr>
              <w:spacing w:after="0" w:line="163" w:lineRule="exact"/>
              <w:rPr>
                <w:sz w:val="20"/>
                <w:szCs w:val="20"/>
                <w:color w:val="auto"/>
              </w:rPr>
            </w:pPr>
            <w:r>
              <w:rPr>
                <w:rFonts w:ascii="Times New Roman" w:cs="Times New Roman" w:eastAsia="Times New Roman" w:hAnsi="Times New Roman"/>
                <w:sz w:val="15"/>
                <w:szCs w:val="15"/>
                <w:color w:val="auto"/>
                <w:w w:val="99"/>
              </w:rPr>
              <w:t>of Section 365(n) of the U.S. Bankruptcy Code or any analogous provisions in any other country or jurisdiction, licenses of right to “intellectual property” as defined under</w:t>
            </w:r>
          </w:p>
        </w:tc>
      </w:tr>
      <w:tr>
        <w:trPr>
          <w:trHeight w:val="20"/>
        </w:trPr>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56"/>
        </w:trPr>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20" w:type="dxa"/>
            <w:vAlign w:val="bottom"/>
            <w:gridSpan w:val="8"/>
          </w:tcPr>
          <w:p>
            <w:pPr>
              <w:spacing w:after="0" w:line="156" w:lineRule="exact"/>
              <w:rPr>
                <w:sz w:val="20"/>
                <w:szCs w:val="20"/>
                <w:color w:val="auto"/>
              </w:rPr>
            </w:pPr>
            <w:r>
              <w:rPr>
                <w:rFonts w:ascii="Times New Roman" w:cs="Times New Roman" w:eastAsia="Times New Roman" w:hAnsi="Times New Roman"/>
                <w:sz w:val="15"/>
                <w:szCs w:val="15"/>
                <w:color w:val="auto"/>
                <w:w w:val="98"/>
              </w:rPr>
              <w:t>Section 101 of the U.S. Bankruptcy Code. The Parties agree that the Parties, as licensees of such rights under this Agreement, shall retain and may fully exercise all of their</w:t>
            </w:r>
          </w:p>
        </w:tc>
      </w:tr>
      <w:tr>
        <w:trPr>
          <w:trHeight w:val="20"/>
        </w:trPr>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74"/>
        </w:trPr>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2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rights and elections under the U.S. Bankruptcy Code or any analogous provisions in any other country or jurisdiction. The Parties further agree that, in the event of the</w:t>
            </w:r>
          </w:p>
        </w:tc>
      </w:tr>
      <w:tr>
        <w:trPr>
          <w:trHeight w:val="176"/>
        </w:trPr>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20" w:type="dxa"/>
            <w:vAlign w:val="bottom"/>
            <w:gridSpan w:val="8"/>
          </w:tcPr>
          <w:p>
            <w:pPr>
              <w:spacing w:after="0"/>
              <w:rPr>
                <w:sz w:val="20"/>
                <w:szCs w:val="20"/>
                <w:color w:val="auto"/>
              </w:rPr>
            </w:pPr>
            <w:r>
              <w:rPr>
                <w:rFonts w:ascii="Times New Roman" w:cs="Times New Roman" w:eastAsia="Times New Roman" w:hAnsi="Times New Roman"/>
                <w:sz w:val="15"/>
                <w:szCs w:val="15"/>
                <w:color w:val="auto"/>
                <w:w w:val="99"/>
              </w:rPr>
              <w:t>commencement of a bankruptcy proceeding by or against either Party under the U.S. Bankruptcy Code or any analogous provisions in any other country or jurisdiction, the</w:t>
            </w:r>
          </w:p>
        </w:tc>
      </w:tr>
      <w:tr>
        <w:trPr>
          <w:trHeight w:val="176"/>
        </w:trPr>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2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Party hereto that is not a Party to such proceeding shall be entitled to a complete duplicate of (or complete access to, as appropriate) any such intellectual property and all</w:t>
            </w:r>
          </w:p>
        </w:tc>
      </w:tr>
      <w:tr>
        <w:trPr>
          <w:trHeight w:val="176"/>
        </w:trPr>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20" w:type="dxa"/>
            <w:vAlign w:val="bottom"/>
            <w:gridSpan w:val="8"/>
          </w:tcPr>
          <w:p>
            <w:pPr>
              <w:spacing w:after="0"/>
              <w:rPr>
                <w:sz w:val="20"/>
                <w:szCs w:val="20"/>
                <w:color w:val="auto"/>
              </w:rPr>
            </w:pPr>
            <w:r>
              <w:rPr>
                <w:rFonts w:ascii="Times New Roman" w:cs="Times New Roman" w:eastAsia="Times New Roman" w:hAnsi="Times New Roman"/>
                <w:sz w:val="15"/>
                <w:szCs w:val="15"/>
                <w:color w:val="auto"/>
                <w:w w:val="97"/>
              </w:rPr>
              <w:t>embodiments of such intellectual property, which, if not already in the non-subject Party’s possession, shall be promptly delivered to it (i) upon any such commencement of a</w:t>
            </w:r>
          </w:p>
        </w:tc>
      </w:tr>
      <w:tr>
        <w:trPr>
          <w:trHeight w:val="176"/>
        </w:trPr>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20" w:type="dxa"/>
            <w:vAlign w:val="bottom"/>
            <w:gridSpan w:val="8"/>
          </w:tcPr>
          <w:p>
            <w:pPr>
              <w:spacing w:after="0"/>
              <w:rPr>
                <w:sz w:val="20"/>
                <w:szCs w:val="20"/>
                <w:color w:val="auto"/>
              </w:rPr>
            </w:pPr>
            <w:r>
              <w:rPr>
                <w:rFonts w:ascii="Times New Roman" w:cs="Times New Roman" w:eastAsia="Times New Roman" w:hAnsi="Times New Roman"/>
                <w:sz w:val="15"/>
                <w:szCs w:val="15"/>
                <w:color w:val="auto"/>
                <w:w w:val="99"/>
              </w:rPr>
              <w:t>bankruptcy proceeding upon the non-subject Party’s written request therefor, unless the Party subject to such proceeding elects to continue to perform all of its obligations</w:t>
            </w:r>
          </w:p>
        </w:tc>
      </w:tr>
      <w:tr>
        <w:trPr>
          <w:trHeight w:val="176"/>
        </w:trPr>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20" w:type="dxa"/>
            <w:vAlign w:val="bottom"/>
            <w:gridSpan w:val="8"/>
          </w:tcPr>
          <w:p>
            <w:pPr>
              <w:spacing w:after="0"/>
              <w:rPr>
                <w:sz w:val="20"/>
                <w:szCs w:val="20"/>
                <w:color w:val="auto"/>
              </w:rPr>
            </w:pPr>
            <w:r>
              <w:rPr>
                <w:rFonts w:ascii="Times New Roman" w:cs="Times New Roman" w:eastAsia="Times New Roman" w:hAnsi="Times New Roman"/>
                <w:sz w:val="15"/>
                <w:szCs w:val="15"/>
                <w:color w:val="auto"/>
                <w:w w:val="99"/>
              </w:rPr>
              <w:t>under this Agreement or (ii) if not delivered under clause (i) above, following the rejection of this Agreement by or on behalf of the Party subject to such proceeding upon</w:t>
            </w:r>
          </w:p>
        </w:tc>
      </w:tr>
      <w:tr>
        <w:trPr>
          <w:trHeight w:val="190"/>
        </w:trPr>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2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written request therefor by the non-subject Party.</w:t>
            </w:r>
          </w:p>
        </w:tc>
      </w:tr>
      <w:tr>
        <w:trPr>
          <w:trHeight w:val="337"/>
        </w:trPr>
        <w:tc>
          <w:tcPr>
            <w:tcW w:w="4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91"/>
              </w:rPr>
              <w:t>14.3</w:t>
            </w:r>
          </w:p>
        </w:tc>
        <w:tc>
          <w:tcPr>
            <w:tcW w:w="10880" w:type="dxa"/>
            <w:vAlign w:val="bottom"/>
            <w:gridSpan w:val="9"/>
          </w:tcPr>
          <w:p>
            <w:pPr>
              <w:ind w:left="140"/>
              <w:spacing w:after="0"/>
              <w:rPr>
                <w:sz w:val="20"/>
                <w:szCs w:val="20"/>
                <w:color w:val="auto"/>
              </w:rPr>
            </w:pPr>
            <w:r>
              <w:rPr>
                <w:rFonts w:ascii="Times New Roman" w:cs="Times New Roman" w:eastAsia="Times New Roman" w:hAnsi="Times New Roman"/>
                <w:sz w:val="15"/>
                <w:szCs w:val="15"/>
                <w:b w:val="1"/>
                <w:bCs w:val="1"/>
                <w:color w:val="auto"/>
              </w:rPr>
              <w:t>Termination by Licensee</w:t>
            </w:r>
            <w:r>
              <w:rPr>
                <w:rFonts w:ascii="Times New Roman" w:cs="Times New Roman" w:eastAsia="Times New Roman" w:hAnsi="Times New Roman"/>
                <w:sz w:val="15"/>
                <w:szCs w:val="15"/>
                <w:color w:val="auto"/>
              </w:rPr>
              <w:t>. Licensee shall have the right to terminate this Agreement in its entirety (a) prior to [***] of any such Product, at any time upon [***] advance written</w:t>
            </w:r>
          </w:p>
        </w:tc>
      </w:tr>
      <w:tr>
        <w:trPr>
          <w:trHeight w:val="190"/>
        </w:trPr>
        <w:tc>
          <w:tcPr>
            <w:tcW w:w="400" w:type="dxa"/>
            <w:vAlign w:val="bottom"/>
          </w:tcPr>
          <w:p>
            <w:pPr>
              <w:spacing w:after="0"/>
              <w:rPr>
                <w:sz w:val="16"/>
                <w:szCs w:val="16"/>
                <w:color w:val="auto"/>
              </w:rPr>
            </w:pPr>
          </w:p>
        </w:tc>
        <w:tc>
          <w:tcPr>
            <w:tcW w:w="10880" w:type="dxa"/>
            <w:vAlign w:val="bottom"/>
            <w:gridSpan w:val="9"/>
          </w:tcPr>
          <w:p>
            <w:pPr>
              <w:ind w:left="140"/>
              <w:spacing w:after="0"/>
              <w:rPr>
                <w:sz w:val="20"/>
                <w:szCs w:val="20"/>
                <w:color w:val="auto"/>
              </w:rPr>
            </w:pPr>
            <w:r>
              <w:rPr>
                <w:rFonts w:ascii="Times New Roman" w:cs="Times New Roman" w:eastAsia="Times New Roman" w:hAnsi="Times New Roman"/>
                <w:sz w:val="15"/>
                <w:szCs w:val="15"/>
                <w:color w:val="auto"/>
              </w:rPr>
              <w:t>notice to XENCOR, and (b) after [***] of any such Product, at any time upon [***] advance written notice to XENCOR.</w:t>
            </w:r>
          </w:p>
        </w:tc>
      </w:tr>
      <w:tr>
        <w:trPr>
          <w:trHeight w:val="370"/>
        </w:trPr>
        <w:tc>
          <w:tcPr>
            <w:tcW w:w="4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91"/>
              </w:rPr>
              <w:t>14.4</w:t>
            </w:r>
          </w:p>
        </w:tc>
        <w:tc>
          <w:tcPr>
            <w:tcW w:w="10880" w:type="dxa"/>
            <w:vAlign w:val="bottom"/>
            <w:gridSpan w:val="9"/>
          </w:tcPr>
          <w:p>
            <w:pPr>
              <w:ind w:left="140"/>
              <w:spacing w:after="0"/>
              <w:rPr>
                <w:sz w:val="20"/>
                <w:szCs w:val="20"/>
                <w:color w:val="auto"/>
              </w:rPr>
            </w:pPr>
            <w:r>
              <w:rPr>
                <w:rFonts w:ascii="Times New Roman" w:cs="Times New Roman" w:eastAsia="Times New Roman" w:hAnsi="Times New Roman"/>
                <w:sz w:val="15"/>
                <w:szCs w:val="15"/>
                <w:b w:val="1"/>
                <w:bCs w:val="1"/>
                <w:color w:val="auto"/>
                <w:w w:val="97"/>
              </w:rPr>
              <w:t>Termination by XENCOR</w:t>
            </w:r>
            <w:r>
              <w:rPr>
                <w:rFonts w:ascii="Times New Roman" w:cs="Times New Roman" w:eastAsia="Times New Roman" w:hAnsi="Times New Roman"/>
                <w:sz w:val="15"/>
                <w:szCs w:val="15"/>
                <w:color w:val="auto"/>
                <w:w w:val="97"/>
              </w:rPr>
              <w:t>. XENCOR shall have the right to terminate this Agreement in its entirety if the Effective Date has not occurred on or prior to the first (1</w:t>
            </w:r>
            <w:r>
              <w:rPr>
                <w:rFonts w:ascii="Times New Roman" w:cs="Times New Roman" w:eastAsia="Times New Roman" w:hAnsi="Times New Roman"/>
                <w:sz w:val="24"/>
                <w:szCs w:val="24"/>
                <w:color w:val="auto"/>
                <w:w w:val="97"/>
                <w:vertAlign w:val="superscript"/>
              </w:rPr>
              <w:t>st</w:t>
            </w:r>
            <w:r>
              <w:rPr>
                <w:rFonts w:ascii="Times New Roman" w:cs="Times New Roman" w:eastAsia="Times New Roman" w:hAnsi="Times New Roman"/>
                <w:sz w:val="15"/>
                <w:szCs w:val="15"/>
                <w:color w:val="auto"/>
                <w:w w:val="97"/>
              </w:rPr>
              <w:t>) anniversary of</w:t>
            </w:r>
          </w:p>
        </w:tc>
      </w:tr>
      <w:tr>
        <w:trPr>
          <w:trHeight w:val="157"/>
        </w:trPr>
        <w:tc>
          <w:tcPr>
            <w:tcW w:w="400" w:type="dxa"/>
            <w:vAlign w:val="bottom"/>
          </w:tcPr>
          <w:p>
            <w:pPr>
              <w:spacing w:after="0"/>
              <w:rPr>
                <w:sz w:val="13"/>
                <w:szCs w:val="13"/>
                <w:color w:val="auto"/>
              </w:rPr>
            </w:pPr>
          </w:p>
        </w:tc>
        <w:tc>
          <w:tcPr>
            <w:tcW w:w="10880" w:type="dxa"/>
            <w:vAlign w:val="bottom"/>
            <w:gridSpan w:val="9"/>
          </w:tcPr>
          <w:p>
            <w:pPr>
              <w:ind w:left="140"/>
              <w:spacing w:after="0" w:line="158" w:lineRule="exact"/>
              <w:rPr>
                <w:sz w:val="20"/>
                <w:szCs w:val="20"/>
                <w:color w:val="auto"/>
              </w:rPr>
            </w:pPr>
            <w:r>
              <w:rPr>
                <w:rFonts w:ascii="Times New Roman" w:cs="Times New Roman" w:eastAsia="Times New Roman" w:hAnsi="Times New Roman"/>
                <w:sz w:val="15"/>
                <w:szCs w:val="15"/>
                <w:color w:val="auto"/>
              </w:rPr>
              <w:t>the Execution Date. XENCOR may also terminate this Agreement in its entirety pursuant to the provisions of Section 12.13.</w:t>
            </w:r>
          </w:p>
        </w:tc>
      </w:tr>
      <w:tr>
        <w:trPr>
          <w:trHeight w:val="20"/>
        </w:trPr>
        <w:tc>
          <w:tcPr>
            <w:tcW w:w="400" w:type="dxa"/>
            <w:vAlign w:val="bottom"/>
          </w:tcPr>
          <w:p>
            <w:pPr>
              <w:spacing w:after="0" w:line="20" w:lineRule="exact"/>
              <w:rPr>
                <w:sz w:val="1"/>
                <w:szCs w:val="1"/>
                <w:color w:val="auto"/>
              </w:rPr>
            </w:pPr>
          </w:p>
        </w:tc>
        <w:tc>
          <w:tcPr>
            <w:tcW w:w="59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32"/>
        </w:trPr>
        <w:tc>
          <w:tcPr>
            <w:tcW w:w="40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91"/>
              </w:rPr>
              <w:t>14.5</w:t>
            </w:r>
          </w:p>
        </w:tc>
        <w:tc>
          <w:tcPr>
            <w:tcW w:w="10880" w:type="dxa"/>
            <w:vAlign w:val="bottom"/>
            <w:gridSpan w:val="9"/>
          </w:tcPr>
          <w:p>
            <w:pPr>
              <w:ind w:left="140"/>
              <w:spacing w:after="0"/>
              <w:rPr>
                <w:sz w:val="20"/>
                <w:szCs w:val="20"/>
                <w:color w:val="auto"/>
              </w:rPr>
            </w:pPr>
            <w:r>
              <w:rPr>
                <w:rFonts w:ascii="Times New Roman" w:cs="Times New Roman" w:eastAsia="Times New Roman" w:hAnsi="Times New Roman"/>
                <w:sz w:val="15"/>
                <w:szCs w:val="15"/>
                <w:b w:val="1"/>
                <w:bCs w:val="1"/>
                <w:color w:val="auto"/>
              </w:rPr>
              <w:t>Effects of Termination</w:t>
            </w:r>
            <w:r>
              <w:rPr>
                <w:rFonts w:ascii="Times New Roman" w:cs="Times New Roman" w:eastAsia="Times New Roman" w:hAnsi="Times New Roman"/>
                <w:sz w:val="15"/>
                <w:szCs w:val="15"/>
                <w:color w:val="auto"/>
              </w:rPr>
              <w:t>. If this Agreement is terminated by either Party, then the provisions of this Section 14.5 shall apply upon the effective date of such termination:</w:t>
            </w:r>
          </w:p>
        </w:tc>
      </w:tr>
      <w:tr>
        <w:trPr>
          <w:trHeight w:val="540"/>
        </w:trPr>
        <w:tc>
          <w:tcPr>
            <w:tcW w:w="4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5"/>
          </w:tcPr>
          <w:p>
            <w:pPr>
              <w:ind w:left="5160"/>
              <w:spacing w:after="0"/>
              <w:rPr>
                <w:sz w:val="20"/>
                <w:szCs w:val="20"/>
                <w:color w:val="auto"/>
              </w:rPr>
            </w:pPr>
            <w:r>
              <w:rPr>
                <w:rFonts w:ascii="Times New Roman" w:cs="Times New Roman" w:eastAsia="Times New Roman" w:hAnsi="Times New Roman"/>
                <w:sz w:val="15"/>
                <w:szCs w:val="15"/>
                <w:color w:val="auto"/>
              </w:rPr>
              <w:t>46</w:t>
            </w:r>
          </w:p>
        </w:tc>
        <w:tc>
          <w:tcPr>
            <w:tcW w:w="6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60" w:right="319" w:bottom="1440" w:gutter="0" w:footer="0" w:header="0"/>
        </w:sectPr>
      </w:pPr>
    </w:p>
    <w:bookmarkStart w:id="387" w:name="page388"/>
    <w:bookmarkEnd w:id="387"/>
    <w:p>
      <w:pPr>
        <w:ind w:left="520" w:hanging="526"/>
        <w:spacing w:after="0" w:line="253" w:lineRule="auto"/>
        <w:tabs>
          <w:tab w:leader="none" w:pos="500" w:val="left"/>
        </w:tabs>
        <w:rPr>
          <w:sz w:val="20"/>
          <w:szCs w:val="20"/>
          <w:color w:val="auto"/>
        </w:rPr>
      </w:pPr>
      <w:r>
        <w:rPr>
          <w:rFonts w:ascii="Times New Roman" w:cs="Times New Roman" w:eastAsia="Times New Roman" w:hAnsi="Times New Roman"/>
          <w:sz w:val="15"/>
          <w:szCs w:val="15"/>
          <w:color w:val="auto"/>
        </w:rPr>
        <w:t>14.5.1</w:t>
      </w:r>
      <w:r>
        <w:rPr>
          <w:sz w:val="20"/>
          <w:szCs w:val="20"/>
          <w:color w:val="auto"/>
        </w:rPr>
        <w:tab/>
      </w:r>
      <w:r>
        <w:rPr>
          <w:rFonts w:ascii="Times New Roman" w:cs="Times New Roman" w:eastAsia="Times New Roman" w:hAnsi="Times New Roman"/>
          <w:sz w:val="15"/>
          <w:szCs w:val="15"/>
          <w:b w:val="1"/>
          <w:bCs w:val="1"/>
          <w:color w:val="auto"/>
        </w:rPr>
        <w:t>Termination of Certain Licenses</w:t>
      </w:r>
      <w:r>
        <w:rPr>
          <w:rFonts w:ascii="Times New Roman" w:cs="Times New Roman" w:eastAsia="Times New Roman" w:hAnsi="Times New Roman"/>
          <w:sz w:val="15"/>
          <w:szCs w:val="15"/>
          <w:color w:val="auto"/>
        </w:rPr>
        <w:t>. All licenses granted by XENCOR to Licensee in accordance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2.1.1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shall automatically terminate upon termination of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Agreement for any reason, and Licensee shall cease Developing, Manufacturing, and Commercializing the Licensed Asset and Products in and for all countries, except for termination by Licensee pursuant to </w:t>
      </w:r>
      <w:r>
        <w:rPr>
          <w:rFonts w:ascii="Times New Roman" w:cs="Times New Roman" w:eastAsia="Times New Roman" w:hAnsi="Times New Roman"/>
          <w:sz w:val="15"/>
          <w:szCs w:val="15"/>
          <w:u w:val="single" w:color="auto"/>
          <w:color w:val="auto"/>
        </w:rPr>
        <w:t>Section 14.2.2</w:t>
      </w:r>
      <w:r>
        <w:rPr>
          <w:rFonts w:ascii="Times New Roman" w:cs="Times New Roman" w:eastAsia="Times New Roman" w:hAnsi="Times New Roman"/>
          <w:sz w:val="15"/>
          <w:szCs w:val="15"/>
          <w:color w:val="auto"/>
        </w:rPr>
        <w:t>, in which case Licensee may retain and fully exercise all of its rights and elections under the U.S. Bankruptcy Code or any analogous provisions in any other country or jurisdiction.</w:t>
      </w:r>
    </w:p>
    <w:p>
      <w:pPr>
        <w:spacing w:after="0" w:line="15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5"/>
          <w:szCs w:val="15"/>
          <w:color w:val="auto"/>
        </w:rPr>
        <w:t>14.5.2</w:t>
      </w:r>
      <w:r>
        <w:rPr>
          <w:sz w:val="20"/>
          <w:szCs w:val="20"/>
          <w:color w:val="auto"/>
        </w:rPr>
        <w:tab/>
      </w:r>
      <w:r>
        <w:rPr>
          <w:rFonts w:ascii="Times New Roman" w:cs="Times New Roman" w:eastAsia="Times New Roman" w:hAnsi="Times New Roman"/>
          <w:sz w:val="14"/>
          <w:szCs w:val="14"/>
          <w:b w:val="1"/>
          <w:bCs w:val="1"/>
          <w:color w:val="auto"/>
        </w:rPr>
        <w:t>Transfer of Regulatory Approvals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60" w:hanging="537"/>
        <w:spacing w:after="0" w:line="265" w:lineRule="auto"/>
        <w:tabs>
          <w:tab w:leader="none" w:pos="106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Transfer</w:t>
      </w:r>
      <w:r>
        <w:rPr>
          <w:rFonts w:ascii="Times New Roman" w:cs="Times New Roman" w:eastAsia="Times New Roman" w:hAnsi="Times New Roman"/>
          <w:sz w:val="14"/>
          <w:szCs w:val="14"/>
          <w:color w:val="auto"/>
        </w:rPr>
        <w:t>.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14.5.2(b)</w:t>
      </w:r>
      <w:r>
        <w:rPr>
          <w:rFonts w:ascii="Times New Roman" w:cs="Times New Roman" w:eastAsia="Times New Roman" w:hAnsi="Times New Roman"/>
          <w:sz w:val="14"/>
          <w:szCs w:val="14"/>
          <w:color w:val="auto"/>
        </w:rPr>
        <w:t>, Licensee shall and hereby does, and shall cause its Sublicensees to (i) assign to XENCOR or, at the direction of XENCOR,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its Affiliate or designee (such Affiliate or designee, the “</w:t>
      </w:r>
      <w:r>
        <w:rPr>
          <w:rFonts w:ascii="Times New Roman" w:cs="Times New Roman" w:eastAsia="Times New Roman" w:hAnsi="Times New Roman"/>
          <w:sz w:val="14"/>
          <w:szCs w:val="14"/>
          <w:u w:val="single" w:color="auto"/>
          <w:color w:val="auto"/>
        </w:rPr>
        <w:t>XENCOR Transferee</w:t>
      </w:r>
      <w:r>
        <w:rPr>
          <w:rFonts w:ascii="Times New Roman" w:cs="Times New Roman" w:eastAsia="Times New Roman" w:hAnsi="Times New Roman"/>
          <w:sz w:val="14"/>
          <w:szCs w:val="14"/>
          <w:color w:val="auto"/>
        </w:rPr>
        <w:t xml:space="preserve">”), all rights, title and interests in and to all Regulatory Submissions or Regulatory Approvals specifically related to the Licensed Asset or the Products in the Field in the Licensed Territory, unless such assignment is prohibited by Applicable Laws or XENCOR requests that Licensee or Sublicensee continue to hold any such Regulatory Submission or Regulatory Approval for a reasonable transition period following the effective date of termination; and (ii) if requested by XENCOR, assist XENCOR or the XENCOR Transferee in submitting any such Regulatory Submission or applying for any such Regulatory Approval that cannot be transferred. Licensee agrees and covenants that it shall, and shall cause its Sublicensees to, promptly take any and all actions necessary to effectuate the prompt assignment of such Regulatory Submissions and Regulatory Approvals, or to enable XENCOR or the XENCOR Transferee to obtain new Regulatory Submissions or Regulatory Approvals, including executing and delivering all documents or instruments, and providing all copies of documents or information, that may be necessary, required or which XENCOR or the XENCOR Transferee may request. Upon termination of this Agreement for any reason other than by Licensee pursuant to </w:t>
      </w:r>
      <w:r>
        <w:rPr>
          <w:rFonts w:ascii="Times New Roman" w:cs="Times New Roman" w:eastAsia="Times New Roman" w:hAnsi="Times New Roman"/>
          <w:sz w:val="14"/>
          <w:szCs w:val="14"/>
          <w:u w:val="single" w:color="auto"/>
          <w:color w:val="auto"/>
        </w:rPr>
        <w:t>Section 14.2.1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14.2.2</w:t>
      </w:r>
      <w:r>
        <w:rPr>
          <w:rFonts w:ascii="Times New Roman" w:cs="Times New Roman" w:eastAsia="Times New Roman" w:hAnsi="Times New Roman"/>
          <w:sz w:val="14"/>
          <w:szCs w:val="14"/>
          <w:color w:val="auto"/>
        </w:rPr>
        <w:t xml:space="preserve">, Licensee shall conduct all acts and fulfill all obligations set forth in this </w:t>
      </w:r>
      <w:r>
        <w:rPr>
          <w:rFonts w:ascii="Times New Roman" w:cs="Times New Roman" w:eastAsia="Times New Roman" w:hAnsi="Times New Roman"/>
          <w:sz w:val="14"/>
          <w:szCs w:val="14"/>
          <w:u w:val="single" w:color="auto"/>
          <w:color w:val="auto"/>
        </w:rPr>
        <w:t>Section 14.5.2(a)</w:t>
      </w:r>
      <w:r>
        <w:rPr>
          <w:rFonts w:ascii="Times New Roman" w:cs="Times New Roman" w:eastAsia="Times New Roman" w:hAnsi="Times New Roman"/>
          <w:sz w:val="14"/>
          <w:szCs w:val="14"/>
          <w:color w:val="auto"/>
        </w:rPr>
        <w:t xml:space="preserve"> at Licensee’s sole cost, except for the cost relating to Licensee’s holding, submitting or applying any Regulatory Submission or Regulatory Approval that cannot be assigned or transferred or at XENCOR’s request, with such actions being at XENCOR’s cost. Notwithstanding anything to the contrary contained in this Agreement, upon termination of this Agreement by Licensee pursuant to </w:t>
      </w:r>
      <w:r>
        <w:rPr>
          <w:rFonts w:ascii="Times New Roman" w:cs="Times New Roman" w:eastAsia="Times New Roman" w:hAnsi="Times New Roman"/>
          <w:sz w:val="14"/>
          <w:szCs w:val="14"/>
          <w:u w:val="single" w:color="auto"/>
          <w:color w:val="auto"/>
        </w:rPr>
        <w:t>Section 14.2.1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14.2.2</w:t>
      </w:r>
      <w:r>
        <w:rPr>
          <w:rFonts w:ascii="Times New Roman" w:cs="Times New Roman" w:eastAsia="Times New Roman" w:hAnsi="Times New Roman"/>
          <w:sz w:val="14"/>
          <w:szCs w:val="14"/>
          <w:color w:val="auto"/>
        </w:rPr>
        <w:t xml:space="preserve">, Licensee shall conduct all acts and fulfill all obligations set forth in </w:t>
      </w:r>
      <w:r>
        <w:rPr>
          <w:rFonts w:ascii="Times New Roman" w:cs="Times New Roman" w:eastAsia="Times New Roman" w:hAnsi="Times New Roman"/>
          <w:sz w:val="14"/>
          <w:szCs w:val="14"/>
          <w:u w:val="single" w:color="auto"/>
          <w:color w:val="auto"/>
        </w:rPr>
        <w:t>Section 14.5.2</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Section 14.5.9</w:t>
      </w:r>
      <w:r>
        <w:rPr>
          <w:rFonts w:ascii="Times New Roman" w:cs="Times New Roman" w:eastAsia="Times New Roman" w:hAnsi="Times New Roman"/>
          <w:sz w:val="14"/>
          <w:szCs w:val="14"/>
          <w:color w:val="auto"/>
        </w:rPr>
        <w:t xml:space="preserve"> at XENCOR’s cost.</w:t>
      </w:r>
    </w:p>
    <w:p>
      <w:pPr>
        <w:spacing w:after="0" w:line="148" w:lineRule="exact"/>
        <w:rPr>
          <w:rFonts w:ascii="Times New Roman" w:cs="Times New Roman" w:eastAsia="Times New Roman" w:hAnsi="Times New Roman"/>
          <w:sz w:val="14"/>
          <w:szCs w:val="14"/>
          <w:color w:val="auto"/>
        </w:rPr>
      </w:pPr>
    </w:p>
    <w:p>
      <w:pPr>
        <w:ind w:left="1060" w:hanging="537"/>
        <w:spacing w:after="0" w:line="248" w:lineRule="auto"/>
        <w:tabs>
          <w:tab w:leader="none" w:pos="1060" w:val="left"/>
        </w:tabs>
        <w:numPr>
          <w:ilvl w:val="0"/>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Regulatory Transition Period</w:t>
      </w:r>
      <w:r>
        <w:rPr>
          <w:rFonts w:ascii="Times New Roman" w:cs="Times New Roman" w:eastAsia="Times New Roman" w:hAnsi="Times New Roman"/>
          <w:sz w:val="15"/>
          <w:szCs w:val="15"/>
          <w:color w:val="auto"/>
        </w:rPr>
        <w:t>. In the event that Licensee or its Sublicensees cannot assign to XENCOR or the XENCOR Transferee any Regulatory Submissions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 Regulatory Approvals related to the Licensed Asset or the Products in the Field in the Licensed Territory pursuant to Applicable Laws, or XENCOR reasonably requests that Licensee or its Sublicensee continue to hold any such Regulatory Submissions or Regulatory Approvals, then, during any period after the effective date of termination in which Licensee or a Sublicensee holds any Regulatory Submissions or Regulatory Approvals related to the Licensed Asset or Products in the Field in the Licensed Territory (the “</w:t>
      </w:r>
      <w:r>
        <w:rPr>
          <w:rFonts w:ascii="Times New Roman" w:cs="Times New Roman" w:eastAsia="Times New Roman" w:hAnsi="Times New Roman"/>
          <w:sz w:val="15"/>
          <w:szCs w:val="15"/>
          <w:u w:val="single" w:color="auto"/>
          <w:color w:val="auto"/>
        </w:rPr>
        <w:t>Non-Transferred Regulatory Approvals</w:t>
      </w:r>
      <w:r>
        <w:rPr>
          <w:rFonts w:ascii="Times New Roman" w:cs="Times New Roman" w:eastAsia="Times New Roman" w:hAnsi="Times New Roman"/>
          <w:sz w:val="15"/>
          <w:szCs w:val="15"/>
          <w:color w:val="auto"/>
        </w:rPr>
        <w:t>”), Licensee shall take all lawful actions reasonably requested by XENCOR with respect to the Non-Transferred Regulatory Approvals and continue to perform its regulatory obligations under the Development Plan then in effect unless Licensee in good faith believes that such action may reasonably be likely to have a material detrimental effect on the health of study subjects. XENCOR shall reimburse Licensee for all costs incurred in connection with such actions.</w:t>
      </w:r>
    </w:p>
    <w:p>
      <w:pPr>
        <w:spacing w:after="0" w:line="33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11430</wp:posOffset>
            </wp:positionV>
            <wp:extent cx="7157720" cy="69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20"/>
          </w:cols>
          <w:pgMar w:left="840" w:top="760" w:right="339" w:bottom="1440" w:gutter="0" w:footer="0" w:header="0"/>
        </w:sectPr>
      </w:pPr>
    </w:p>
    <w:bookmarkStart w:id="388" w:name="page389"/>
    <w:bookmarkEnd w:id="388"/>
    <w:p>
      <w:pPr>
        <w:ind w:left="520" w:right="80" w:hanging="526"/>
        <w:spacing w:after="0" w:line="249" w:lineRule="auto"/>
        <w:tabs>
          <w:tab w:leader="none" w:pos="500" w:val="left"/>
        </w:tabs>
        <w:rPr>
          <w:sz w:val="20"/>
          <w:szCs w:val="20"/>
          <w:color w:val="auto"/>
        </w:rPr>
      </w:pPr>
      <w:r>
        <w:rPr>
          <w:rFonts w:ascii="Times New Roman" w:cs="Times New Roman" w:eastAsia="Times New Roman" w:hAnsi="Times New Roman"/>
          <w:sz w:val="15"/>
          <w:szCs w:val="15"/>
          <w:color w:val="auto"/>
        </w:rPr>
        <w:t>14.5.3</w:t>
      </w:r>
      <w:r>
        <w:rPr>
          <w:sz w:val="20"/>
          <w:szCs w:val="20"/>
          <w:color w:val="auto"/>
        </w:rPr>
        <w:tab/>
      </w:r>
      <w:r>
        <w:rPr>
          <w:rFonts w:ascii="Times New Roman" w:cs="Times New Roman" w:eastAsia="Times New Roman" w:hAnsi="Times New Roman"/>
          <w:sz w:val="15"/>
          <w:szCs w:val="15"/>
          <w:b w:val="1"/>
          <w:bCs w:val="1"/>
          <w:color w:val="auto"/>
        </w:rPr>
        <w:t>Transition Assistance</w:t>
      </w:r>
      <w:r>
        <w:rPr>
          <w:rFonts w:ascii="Times New Roman" w:cs="Times New Roman" w:eastAsia="Times New Roman" w:hAnsi="Times New Roman"/>
          <w:sz w:val="15"/>
          <w:szCs w:val="15"/>
          <w:color w:val="auto"/>
        </w:rPr>
        <w:t>. Until the effective date of termination, Licensee shall continue to perform its obligations under the Development Plan then in effect and pay all costs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allocated for it to pay in accordance with this Agreement, except with respect to activities that XENCOR elects to discontinue. Licensee shall reasonably cooperate with XENCOR to assure a smooth transition of any clinical trials or other Development activities related to the Licensed Asset or the Products in progress on the effective date of termination that XENCOR determines to continue in its sole discretion;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Licensee continues performance of any Development, (a) Licensee shall provide Development related data to XENCOR, and (b) XENCOR shall assume full financial responsibility from and after the effective date of such termination. In the event that XENCOR informs Licensee that it does not intend to continue specific Development activities in progress on the date of notice of termination, costs incurred in closing out such activities shall be borne by Licensee.</w:t>
      </w:r>
    </w:p>
    <w:p>
      <w:pPr>
        <w:spacing w:after="0" w:line="154" w:lineRule="exact"/>
        <w:rPr>
          <w:sz w:val="20"/>
          <w:szCs w:val="20"/>
          <w:color w:val="auto"/>
        </w:rPr>
      </w:pPr>
    </w:p>
    <w:p>
      <w:pPr>
        <w:ind w:left="520" w:right="180" w:hanging="526"/>
        <w:spacing w:after="0" w:line="253" w:lineRule="auto"/>
        <w:tabs>
          <w:tab w:leader="none" w:pos="500" w:val="left"/>
        </w:tabs>
        <w:rPr>
          <w:sz w:val="20"/>
          <w:szCs w:val="20"/>
          <w:color w:val="auto"/>
        </w:rPr>
      </w:pPr>
      <w:r>
        <w:rPr>
          <w:rFonts w:ascii="Times New Roman" w:cs="Times New Roman" w:eastAsia="Times New Roman" w:hAnsi="Times New Roman"/>
          <w:sz w:val="15"/>
          <w:szCs w:val="15"/>
          <w:color w:val="auto"/>
        </w:rPr>
        <w:t>14.5.4</w:t>
      </w:r>
      <w:r>
        <w:rPr>
          <w:sz w:val="20"/>
          <w:szCs w:val="20"/>
          <w:color w:val="auto"/>
        </w:rPr>
        <w:tab/>
      </w:r>
      <w:r>
        <w:rPr>
          <w:rFonts w:ascii="Times New Roman" w:cs="Times New Roman" w:eastAsia="Times New Roman" w:hAnsi="Times New Roman"/>
          <w:sz w:val="15"/>
          <w:szCs w:val="15"/>
          <w:b w:val="1"/>
          <w:bCs w:val="1"/>
          <w:color w:val="auto"/>
        </w:rPr>
        <w:t>Assignment of Third Party Agreements</w:t>
      </w:r>
      <w:r>
        <w:rPr>
          <w:rFonts w:ascii="Times New Roman" w:cs="Times New Roman" w:eastAsia="Times New Roman" w:hAnsi="Times New Roman"/>
          <w:sz w:val="15"/>
          <w:szCs w:val="15"/>
          <w:color w:val="auto"/>
        </w:rPr>
        <w:t>. At XENCOR’s sole discretion and direction, Licensee shall assign all of Licensee’s right, title and interest in and to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agreements (or portions thereof) between Licensee and Third Parties that solely relate to the Development, Commercialization or Manufacture of the Licensed Asset or the Products, where such assignment is permitted without charge to Licensee or its Affiliates and where XENCOR shall assume all future payments due under any agreement assigned pursuant to this subsection.</w:t>
      </w:r>
    </w:p>
    <w:p>
      <w:pPr>
        <w:spacing w:after="0" w:line="152" w:lineRule="exact"/>
        <w:rPr>
          <w:sz w:val="20"/>
          <w:szCs w:val="20"/>
          <w:color w:val="auto"/>
        </w:rPr>
      </w:pPr>
    </w:p>
    <w:p>
      <w:pPr>
        <w:ind w:left="520" w:hanging="526"/>
        <w:spacing w:after="0" w:line="249" w:lineRule="auto"/>
        <w:tabs>
          <w:tab w:leader="none" w:pos="500" w:val="left"/>
        </w:tabs>
        <w:rPr>
          <w:sz w:val="20"/>
          <w:szCs w:val="20"/>
          <w:color w:val="auto"/>
        </w:rPr>
      </w:pPr>
      <w:r>
        <w:rPr>
          <w:rFonts w:ascii="Times New Roman" w:cs="Times New Roman" w:eastAsia="Times New Roman" w:hAnsi="Times New Roman"/>
          <w:sz w:val="15"/>
          <w:szCs w:val="15"/>
          <w:color w:val="auto"/>
        </w:rPr>
        <w:t>14.5.5</w:t>
      </w:r>
      <w:r>
        <w:rPr>
          <w:sz w:val="20"/>
          <w:szCs w:val="20"/>
          <w:color w:val="auto"/>
        </w:rPr>
        <w:tab/>
      </w:r>
      <w:r>
        <w:rPr>
          <w:rFonts w:ascii="Times New Roman" w:cs="Times New Roman" w:eastAsia="Times New Roman" w:hAnsi="Times New Roman"/>
          <w:sz w:val="15"/>
          <w:szCs w:val="15"/>
          <w:b w:val="1"/>
          <w:bCs w:val="1"/>
          <w:color w:val="auto"/>
        </w:rPr>
        <w:t>Transfer of Commercialization Documentation</w:t>
      </w:r>
      <w:r>
        <w:rPr>
          <w:rFonts w:ascii="Times New Roman" w:cs="Times New Roman" w:eastAsia="Times New Roman" w:hAnsi="Times New Roman"/>
          <w:sz w:val="15"/>
          <w:szCs w:val="15"/>
          <w:color w:val="auto"/>
        </w:rPr>
        <w:t>. At XENCOR’s sole discretion and direction, Licensee shall, and shall cause its Sublicensees to transfer to XENCOR 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XENCOR Transferee a copy of all materials being developed, used, or which Licensee intends to or may use in relation to Commercialization of the Licensed Asset or the Products in the Licensed Territory including all customer lists, promotional or marketing materials, written sales and advertising materials, marketing and commercialization data, detail aids, brochures, hand-outs, reprints, booth panels and any other promotional support items, and medical education materials, which may include educational aids, visit aids, brochures, hand-outs, reprints, booth panels, scientific and research articles, and any other medical education support items;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Licensee may redact the foregoing Commercialization documentation for any confidential or proprietary information of Licensee, its Affiliates or Sublicensees that is not related to the Commercialization of the Licensed Asset or the Products.</w:t>
      </w:r>
    </w:p>
    <w:p>
      <w:pPr>
        <w:spacing w:after="0" w:line="154" w:lineRule="exact"/>
        <w:rPr>
          <w:sz w:val="20"/>
          <w:szCs w:val="20"/>
          <w:color w:val="auto"/>
        </w:rPr>
      </w:pPr>
    </w:p>
    <w:p>
      <w:pPr>
        <w:ind w:left="520" w:hanging="526"/>
        <w:spacing w:after="0" w:line="272" w:lineRule="auto"/>
        <w:tabs>
          <w:tab w:leader="none" w:pos="500" w:val="left"/>
        </w:tabs>
        <w:rPr>
          <w:sz w:val="20"/>
          <w:szCs w:val="20"/>
          <w:color w:val="auto"/>
        </w:rPr>
      </w:pPr>
      <w:r>
        <w:rPr>
          <w:rFonts w:ascii="Times New Roman" w:cs="Times New Roman" w:eastAsia="Times New Roman" w:hAnsi="Times New Roman"/>
          <w:sz w:val="15"/>
          <w:szCs w:val="15"/>
          <w:color w:val="auto"/>
        </w:rPr>
        <w:t>14.5.6</w:t>
      </w:r>
      <w:r>
        <w:rPr>
          <w:sz w:val="20"/>
          <w:szCs w:val="20"/>
          <w:color w:val="auto"/>
        </w:rPr>
        <w:tab/>
      </w:r>
      <w:r>
        <w:rPr>
          <w:rFonts w:ascii="Times New Roman" w:cs="Times New Roman" w:eastAsia="Times New Roman" w:hAnsi="Times New Roman"/>
          <w:sz w:val="15"/>
          <w:szCs w:val="15"/>
          <w:b w:val="1"/>
          <w:bCs w:val="1"/>
          <w:color w:val="auto"/>
        </w:rPr>
        <w:t>Transfer of Product Trademark</w:t>
      </w:r>
      <w:r>
        <w:rPr>
          <w:rFonts w:ascii="Times New Roman" w:cs="Times New Roman" w:eastAsia="Times New Roman" w:hAnsi="Times New Roman"/>
          <w:sz w:val="15"/>
          <w:szCs w:val="15"/>
          <w:color w:val="auto"/>
        </w:rPr>
        <w:t>. At XENCOR’s sole discretion and direction, Licensee shall transfer and assign all rights and interests in any Product Trademark in relation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the Licensed Asset or the Products, other than a Product Trademark XENCOR already owns.</w:t>
      </w:r>
    </w:p>
    <w:p>
      <w:pPr>
        <w:spacing w:after="0" w:line="136" w:lineRule="exact"/>
        <w:rPr>
          <w:sz w:val="20"/>
          <w:szCs w:val="20"/>
          <w:color w:val="auto"/>
        </w:rPr>
      </w:pPr>
    </w:p>
    <w:p>
      <w:pPr>
        <w:ind w:left="520" w:right="20" w:hanging="526"/>
        <w:spacing w:after="0" w:line="272" w:lineRule="auto"/>
        <w:tabs>
          <w:tab w:leader="none" w:pos="500" w:val="left"/>
        </w:tabs>
        <w:rPr>
          <w:sz w:val="20"/>
          <w:szCs w:val="20"/>
          <w:color w:val="auto"/>
        </w:rPr>
      </w:pPr>
      <w:r>
        <w:rPr>
          <w:rFonts w:ascii="Times New Roman" w:cs="Times New Roman" w:eastAsia="Times New Roman" w:hAnsi="Times New Roman"/>
          <w:sz w:val="15"/>
          <w:szCs w:val="15"/>
          <w:color w:val="auto"/>
        </w:rPr>
        <w:t>14.5.7</w:t>
      </w:r>
      <w:r>
        <w:rPr>
          <w:sz w:val="20"/>
          <w:szCs w:val="20"/>
          <w:color w:val="auto"/>
        </w:rPr>
        <w:tab/>
      </w:r>
      <w:r>
        <w:rPr>
          <w:rFonts w:ascii="Times New Roman" w:cs="Times New Roman" w:eastAsia="Times New Roman" w:hAnsi="Times New Roman"/>
          <w:sz w:val="15"/>
          <w:szCs w:val="15"/>
          <w:b w:val="1"/>
          <w:bCs w:val="1"/>
          <w:color w:val="auto"/>
        </w:rPr>
        <w:t>Return or Destruction of Confidential Information</w:t>
      </w:r>
      <w:r>
        <w:rPr>
          <w:rFonts w:ascii="Times New Roman" w:cs="Times New Roman" w:eastAsia="Times New Roman" w:hAnsi="Times New Roman"/>
          <w:sz w:val="15"/>
          <w:szCs w:val="15"/>
          <w:color w:val="auto"/>
        </w:rPr>
        <w:t>. Each Party shall return or destroy, at the other Party’s reasonable discretion, the other Party’s Confidential Information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in accordance with </w:t>
      </w:r>
      <w:r>
        <w:rPr>
          <w:rFonts w:ascii="Times New Roman" w:cs="Times New Roman" w:eastAsia="Times New Roman" w:hAnsi="Times New Roman"/>
          <w:sz w:val="15"/>
          <w:szCs w:val="15"/>
          <w:u w:val="single" w:color="auto"/>
          <w:color w:val="auto"/>
        </w:rPr>
        <w:t>Section 10.1.5</w:t>
      </w:r>
      <w:r>
        <w:rPr>
          <w:rFonts w:ascii="Times New Roman" w:cs="Times New Roman" w:eastAsia="Times New Roman" w:hAnsi="Times New Roman"/>
          <w:sz w:val="15"/>
          <w:szCs w:val="15"/>
          <w:color w:val="auto"/>
        </w:rPr>
        <w:t>.</w:t>
      </w:r>
    </w:p>
    <w:p>
      <w:pPr>
        <w:spacing w:after="0" w:line="31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11430</wp:posOffset>
            </wp:positionV>
            <wp:extent cx="7157720" cy="69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20"/>
          </w:cols>
          <w:pgMar w:left="840" w:top="760" w:right="339" w:bottom="1440" w:gutter="0" w:footer="0" w:header="0"/>
        </w:sectPr>
      </w:pPr>
    </w:p>
    <w:bookmarkStart w:id="389" w:name="page390"/>
    <w:bookmarkEnd w:id="389"/>
    <w:p>
      <w:pPr>
        <w:ind w:left="520" w:right="340" w:hanging="526"/>
        <w:spacing w:after="0" w:line="272" w:lineRule="auto"/>
        <w:tabs>
          <w:tab w:leader="none" w:pos="500" w:val="left"/>
        </w:tabs>
        <w:rPr>
          <w:sz w:val="20"/>
          <w:szCs w:val="20"/>
          <w:color w:val="auto"/>
        </w:rPr>
      </w:pPr>
      <w:r>
        <w:rPr>
          <w:rFonts w:ascii="Times New Roman" w:cs="Times New Roman" w:eastAsia="Times New Roman" w:hAnsi="Times New Roman"/>
          <w:sz w:val="15"/>
          <w:szCs w:val="15"/>
          <w:color w:val="auto"/>
        </w:rPr>
        <w:t>14.5.8</w:t>
      </w:r>
      <w:r>
        <w:rPr>
          <w:sz w:val="20"/>
          <w:szCs w:val="20"/>
          <w:color w:val="auto"/>
        </w:rPr>
        <w:tab/>
      </w:r>
      <w:r>
        <w:rPr>
          <w:rFonts w:ascii="Times New Roman" w:cs="Times New Roman" w:eastAsia="Times New Roman" w:hAnsi="Times New Roman"/>
          <w:sz w:val="15"/>
          <w:szCs w:val="15"/>
          <w:b w:val="1"/>
          <w:bCs w:val="1"/>
          <w:color w:val="auto"/>
        </w:rPr>
        <w:t>Return or Destruction of XENCOR Materials</w:t>
      </w:r>
      <w:r>
        <w:rPr>
          <w:rFonts w:ascii="Times New Roman" w:cs="Times New Roman" w:eastAsia="Times New Roman" w:hAnsi="Times New Roman"/>
          <w:sz w:val="15"/>
          <w:szCs w:val="15"/>
          <w:color w:val="auto"/>
        </w:rPr>
        <w:t>. Licensee shall promptly return to XENCOR or destroy, at XENCOR’s reasonable election, all Materials received from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XENCOR in its possession or Control.</w:t>
      </w:r>
    </w:p>
    <w:p>
      <w:pPr>
        <w:spacing w:after="0" w:line="136" w:lineRule="exact"/>
        <w:rPr>
          <w:sz w:val="20"/>
          <w:szCs w:val="20"/>
          <w:color w:val="auto"/>
        </w:rPr>
      </w:pPr>
    </w:p>
    <w:p>
      <w:pPr>
        <w:ind w:left="520" w:hanging="526"/>
        <w:spacing w:after="0" w:line="248" w:lineRule="auto"/>
        <w:tabs>
          <w:tab w:leader="none" w:pos="500" w:val="left"/>
        </w:tabs>
        <w:rPr>
          <w:sz w:val="20"/>
          <w:szCs w:val="20"/>
          <w:color w:val="auto"/>
        </w:rPr>
      </w:pPr>
      <w:r>
        <w:rPr>
          <w:rFonts w:ascii="Times New Roman" w:cs="Times New Roman" w:eastAsia="Times New Roman" w:hAnsi="Times New Roman"/>
          <w:sz w:val="15"/>
          <w:szCs w:val="15"/>
          <w:color w:val="auto"/>
        </w:rPr>
        <w:t>14.5.9</w:t>
      </w:r>
      <w:r>
        <w:rPr>
          <w:sz w:val="20"/>
          <w:szCs w:val="20"/>
          <w:color w:val="auto"/>
        </w:rPr>
        <w:tab/>
      </w:r>
      <w:r>
        <w:rPr>
          <w:rFonts w:ascii="Times New Roman" w:cs="Times New Roman" w:eastAsia="Times New Roman" w:hAnsi="Times New Roman"/>
          <w:sz w:val="15"/>
          <w:szCs w:val="15"/>
          <w:b w:val="1"/>
          <w:bCs w:val="1"/>
          <w:color w:val="auto"/>
        </w:rPr>
        <w:t>Disclosure and Delivery</w:t>
      </w:r>
      <w:r>
        <w:rPr>
          <w:rFonts w:ascii="Times New Roman" w:cs="Times New Roman" w:eastAsia="Times New Roman" w:hAnsi="Times New Roman"/>
          <w:sz w:val="15"/>
          <w:szCs w:val="15"/>
          <w:color w:val="auto"/>
        </w:rPr>
        <w:t>. Upon the termination of this Agreement and upon XENCOR providing Licensee with a written notice that XENCOR elects to (x) continue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Development and Commercialization of the Licensed Asset or the Products in the Field in the Licensed Territory and (y) take a license under and with respect to Licensee Patent Rights and Licensee Know-How in connection with the Development, Manufacture or Commercialization of the Licensed Asset or the Products, Licensee will promptly transfer to XENCOR copies of any physical embodiment of any Licensee Know-How relating to the Licensed Asset or the Products, to the extent used by Licensee or its Affiliates in connection with the Development, Manufacture or Commercialization of the Licensed Asset or the Products. The foregoing transfer shall be effected by the delivery of material documents, to the extent such Licensee Know-How is embodied in such documents, and to the extent that such Licensee Know-How is not fully embodied in such documents, Licensee shall, upon the reasonable request of XENCOR, make its employees and agents who have knowledge of such Licensee Know-How in addition to that embodied in documents available to XENCOR for interviews, demonstrations and training to effect such transfer in a manner sufficient to enable XENCOR to practice such Licensee Know-How, either at Licensee’s facilities or through teleconferences.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14.5.10 </w:t>
      </w:r>
      <w:r>
        <w:rPr>
          <w:rFonts w:ascii="Times New Roman" w:cs="Times New Roman" w:eastAsia="Times New Roman" w:hAnsi="Times New Roman"/>
          <w:sz w:val="15"/>
          <w:szCs w:val="15"/>
          <w:b w:val="1"/>
          <w:bCs w:val="1"/>
          <w:color w:val="auto"/>
        </w:rPr>
        <w:t>Terminated Asset Materials and Transition Supply</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1060" w:right="80" w:hanging="537"/>
        <w:spacing w:after="0" w:line="269" w:lineRule="auto"/>
        <w:tabs>
          <w:tab w:leader="none" w:pos="106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XENCOR’s request, Licensee shall make available to XENCOR, [***] XENCOR ([***]), all of the Terminated Asset Material (defined below) held by Licensee in the Licensed Territory. XENCOR shall notify Licensee within [***] after the effective date of termination whether XENCOR wishes to take Control of such Terminated Asset Material. In the event XENCOR does not take Control of such Terminated Asset Material, then Licensee shall be permitted to sell any inventory within such Terminated Asset Material,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sales occur within [***] after the effective date of termination and, provided further that Licensee shall remain obligated to pay royalties and report to XENCOR with respect to Net Sales of such inventory in accordance with </w:t>
      </w:r>
      <w:r>
        <w:rPr>
          <w:rFonts w:ascii="Times New Roman" w:cs="Times New Roman" w:eastAsia="Times New Roman" w:hAnsi="Times New Roman"/>
          <w:sz w:val="14"/>
          <w:szCs w:val="14"/>
          <w:u w:val="single" w:color="auto"/>
          <w:color w:val="auto"/>
        </w:rPr>
        <w:t>Article 9</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Terminated Asset Material</w:t>
      </w:r>
      <w:r>
        <w:rPr>
          <w:rFonts w:ascii="Times New Roman" w:cs="Times New Roman" w:eastAsia="Times New Roman" w:hAnsi="Times New Roman"/>
          <w:sz w:val="14"/>
          <w:szCs w:val="14"/>
          <w:color w:val="auto"/>
        </w:rPr>
        <w:t xml:space="preserve">” means any Material, other than XENCOR Material (which, for clarity, is addressed in </w:t>
      </w:r>
      <w:r>
        <w:rPr>
          <w:rFonts w:ascii="Times New Roman" w:cs="Times New Roman" w:eastAsia="Times New Roman" w:hAnsi="Times New Roman"/>
          <w:sz w:val="14"/>
          <w:szCs w:val="14"/>
          <w:u w:val="single" w:color="auto"/>
          <w:color w:val="auto"/>
        </w:rPr>
        <w:t>Section 14.5.8</w:t>
      </w:r>
      <w:r>
        <w:rPr>
          <w:rFonts w:ascii="Times New Roman" w:cs="Times New Roman" w:eastAsia="Times New Roman" w:hAnsi="Times New Roman"/>
          <w:sz w:val="14"/>
          <w:szCs w:val="14"/>
          <w:color w:val="auto"/>
        </w:rPr>
        <w:t>), that is in Licensee’s possession or Control on the effective date of the termination of this Agreement (including finished, unfinished, or partially finished goods) and is related to the Licensed Asset or the Products.</w:t>
      </w:r>
    </w:p>
    <w:p>
      <w:pPr>
        <w:spacing w:after="0" w:line="143" w:lineRule="exact"/>
        <w:rPr>
          <w:rFonts w:ascii="Times New Roman" w:cs="Times New Roman" w:eastAsia="Times New Roman" w:hAnsi="Times New Roman"/>
          <w:sz w:val="14"/>
          <w:szCs w:val="14"/>
          <w:color w:val="auto"/>
        </w:rPr>
      </w:pPr>
    </w:p>
    <w:p>
      <w:pPr>
        <w:ind w:left="1060" w:right="60" w:hanging="537"/>
        <w:spacing w:after="0" w:line="247" w:lineRule="auto"/>
        <w:tabs>
          <w:tab w:leader="none" w:pos="1060" w:val="left"/>
        </w:tabs>
        <w:numPr>
          <w:ilvl w:val="0"/>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Licensee is, on the effective date of the termination of this Agreement, party to any Third Party agreements with respect to the Manufacturing of the Licensed Asset or the Products, then it shall provide XENCOR notice and (to the extent permitted to do so) copies thereof. Licensee shall assign to XENCOR any such contracts requested by XENCOR only to the extent relating to the Licensed Asset or the Products and only to the extent it has the right under such contract(s) to do so (and shall use commercially reasonable efforts to obtain any required consents, which efforts shall not require making any payments or incurring any liabilities unless XENCOR agrees to reimburse Licensee therefor (and Licensee shall inform XENCOR of any such required payment or liability)). Licensee shall, at XENCOR’s expense, (i) provide any cooperation reasonably requested by XENCOR to facilitate uninterrupted supply of the Licensed Asset or the Products (including up to [***] Licensee’s employees’ time at a reasonable hourly rate to be agreed upon by the Parties), and (ii) if requested by XENCOR, provide for the Manufacturing of the Licensed Asset or the Products for XENCOR, at a cost of [***] of Licensee’s cost therefore, from the effective date of such termination until the sooner to occur of such time as XENCOR is able, using commercially reasonable efforts to do so, to secure an acceptable alternative Manufacturing source from which sufficient quantities of the Licensed Asset or the Products may be procured and legally sold in the Licensed Territory or [***] from the effective date of the termination of this Agreement.</w:t>
      </w:r>
    </w:p>
    <w:p>
      <w:pPr>
        <w:spacing w:after="0" w:line="33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11430</wp:posOffset>
            </wp:positionV>
            <wp:extent cx="7157720" cy="698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40"/>
          </w:cols>
          <w:pgMar w:left="840" w:top="760" w:right="319" w:bottom="1440" w:gutter="0" w:footer="0" w:header="0"/>
        </w:sectPr>
      </w:pPr>
    </w:p>
    <w:bookmarkStart w:id="390" w:name="page391"/>
    <w:bookmarkEnd w:id="390"/>
    <w:p>
      <w:pPr>
        <w:ind w:left="520" w:hanging="526"/>
        <w:spacing w:after="0" w:line="264" w:lineRule="auto"/>
        <w:rPr>
          <w:sz w:val="20"/>
          <w:szCs w:val="20"/>
          <w:color w:val="auto"/>
        </w:rPr>
      </w:pPr>
      <w:r>
        <w:rPr>
          <w:rFonts w:ascii="Times New Roman" w:cs="Times New Roman" w:eastAsia="Times New Roman" w:hAnsi="Times New Roman"/>
          <w:sz w:val="14"/>
          <w:szCs w:val="14"/>
          <w:color w:val="auto"/>
        </w:rPr>
        <w:t xml:space="preserve">14.5.11 </w:t>
      </w:r>
      <w:r>
        <w:rPr>
          <w:rFonts w:ascii="Times New Roman" w:cs="Times New Roman" w:eastAsia="Times New Roman" w:hAnsi="Times New Roman"/>
          <w:sz w:val="14"/>
          <w:szCs w:val="14"/>
          <w:b w:val="1"/>
          <w:bCs w:val="1"/>
          <w:color w:val="auto"/>
        </w:rPr>
        <w:t>License Grant by and Payment to Licensee</w:t>
      </w:r>
      <w:r>
        <w:rPr>
          <w:rFonts w:ascii="Times New Roman" w:cs="Times New Roman" w:eastAsia="Times New Roman" w:hAnsi="Times New Roman"/>
          <w:sz w:val="14"/>
          <w:szCs w:val="14"/>
          <w:color w:val="auto"/>
        </w:rPr>
        <w:t xml:space="preserve">. If (x) the license to Licensee under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terminates, and (y) XENCOR elects, pursuant to </w:t>
      </w:r>
      <w:r>
        <w:rPr>
          <w:rFonts w:ascii="Times New Roman" w:cs="Times New Roman" w:eastAsia="Times New Roman" w:hAnsi="Times New Roman"/>
          <w:sz w:val="14"/>
          <w:szCs w:val="14"/>
          <w:u w:val="single" w:color="auto"/>
          <w:color w:val="auto"/>
        </w:rPr>
        <w:t>Section 14.5.9</w:t>
      </w:r>
      <w:r>
        <w:rPr>
          <w:rFonts w:ascii="Times New Roman" w:cs="Times New Roman" w:eastAsia="Times New Roman" w:hAnsi="Times New Roman"/>
          <w:sz w:val="14"/>
          <w:szCs w:val="14"/>
          <w:color w:val="auto"/>
        </w:rPr>
        <w:t xml:space="preserve">, to continue the Development and Commercialization of the Licensed Asset or the Products in the Field in the Licensed Territory, and (z) XENCOR elects (which election shall be in its sole discretion) to receive a license under and with respect to Licensee Patent Rights and Licensee Know-How in connection with the Development, Manufacture or Commercialization of the Licensed Asset or the Products, then, effective upon the effective date of such termination, (a) Licensee hereby grants to XENCOR (i) an exclusive license under and with respect to the Licensee Patent Rights, and (ii) a non-exclusive license under and with respect to Licensee Know-How, in each case (i) and (ii), to the extent used by Licensee or its Affiliates (or their Sublicensees) in connection with the Development, Manufacture or Commercialization of the Licensed Asset or the Products, where such license is an irrevocable, perpetual, royalty-bearing license, with the right to sublicense (through multiple tiers), solely to Develop, Manufacture, and Commercialize the Licensed Asset or the Products; and (b) XENCOR shall pay to Licensee (1) in the case XENCOR or its Affiliate Commercializes such Products, [***] of XENCOR’s (or its Affiliate’s) Net Sales of such Products (applied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 xml:space="preserve"> with payment terms hereunder applicable to royalty payments from Licensee to XENCOR, including any applicable royalty reductions), on a Region-by-Region basis, or (2) in the case XENCOR sublicenses the rights granted to XENCOR under the foregoing clause (a), [***] of all payments (including upfront payments, milestone payments, or royalties) XENCOR actually receives from Third Party sublicensees in consideration for the sublicense of the rights granted under the foregoing clause (a). XENCOR’s obligation to make such payments to Licensee shall continue on a Region-by-Region basis until the expiration of the last Valid Claim of a Licensee Patent Right that Covers the Development, Manufacture or Commercialization of the applicable Products in the Region in the Licensed Territory where such Product is sold. XENCOR shall make such payments on a quarterly basis and the definition of “Net Sales,” </w:t>
      </w:r>
      <w:r>
        <w:rPr>
          <w:rFonts w:ascii="Times New Roman" w:cs="Times New Roman" w:eastAsia="Times New Roman" w:hAnsi="Times New Roman"/>
          <w:sz w:val="14"/>
          <w:szCs w:val="14"/>
          <w:u w:val="single" w:color="auto"/>
          <w:color w:val="auto"/>
        </w:rPr>
        <w:t>Section 9.3.3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9.4</w:t>
      </w:r>
      <w:r>
        <w:rPr>
          <w:rFonts w:ascii="Times New Roman" w:cs="Times New Roman" w:eastAsia="Times New Roman" w:hAnsi="Times New Roman"/>
          <w:sz w:val="14"/>
          <w:szCs w:val="14"/>
          <w:color w:val="auto"/>
        </w:rPr>
        <w:t xml:space="preserve"> to </w:t>
      </w:r>
      <w:r>
        <w:rPr>
          <w:rFonts w:ascii="Times New Roman" w:cs="Times New Roman" w:eastAsia="Times New Roman" w:hAnsi="Times New Roman"/>
          <w:sz w:val="14"/>
          <w:szCs w:val="14"/>
          <w:u w:val="single" w:color="auto"/>
          <w:color w:val="auto"/>
        </w:rPr>
        <w:t>Section 9.10</w:t>
      </w:r>
      <w:r>
        <w:rPr>
          <w:rFonts w:ascii="Times New Roman" w:cs="Times New Roman" w:eastAsia="Times New Roman" w:hAnsi="Times New Roman"/>
          <w:sz w:val="14"/>
          <w:szCs w:val="14"/>
          <w:color w:val="auto"/>
        </w:rPr>
        <w:t xml:space="preserve"> shall apply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 xml:space="preserve"> to XENCOR with respect to such royalty payments. For clarity, if XENCOR elects, pursuant to </w:t>
      </w:r>
      <w:r>
        <w:rPr>
          <w:rFonts w:ascii="Times New Roman" w:cs="Times New Roman" w:eastAsia="Times New Roman" w:hAnsi="Times New Roman"/>
          <w:sz w:val="14"/>
          <w:szCs w:val="14"/>
          <w:u w:val="single" w:color="auto"/>
          <w:color w:val="auto"/>
        </w:rPr>
        <w:t>Section 14.5.9</w:t>
      </w:r>
      <w:r>
        <w:rPr>
          <w:rFonts w:ascii="Times New Roman" w:cs="Times New Roman" w:eastAsia="Times New Roman" w:hAnsi="Times New Roman"/>
          <w:sz w:val="14"/>
          <w:szCs w:val="14"/>
          <w:color w:val="auto"/>
        </w:rPr>
        <w:t xml:space="preserve">, to continue the Development and Commercialization of the Licensed Asset or the Products in the Field in the Licensed Territory, </w:t>
      </w:r>
      <w:r>
        <w:rPr>
          <w:rFonts w:ascii="Times New Roman" w:cs="Times New Roman" w:eastAsia="Times New Roman" w:hAnsi="Times New Roman"/>
          <w:sz w:val="14"/>
          <w:szCs w:val="14"/>
          <w:i w:val="1"/>
          <w:iCs w:val="1"/>
          <w:color w:val="auto"/>
        </w:rPr>
        <w:t>but does not elect</w:t>
      </w:r>
      <w:r>
        <w:rPr>
          <w:rFonts w:ascii="Times New Roman" w:cs="Times New Roman" w:eastAsia="Times New Roman" w:hAnsi="Times New Roman"/>
          <w:sz w:val="14"/>
          <w:szCs w:val="14"/>
          <w:color w:val="auto"/>
        </w:rPr>
        <w:t xml:space="preserve"> to receive a license under or with respect to Licensee Patent Rights and Licensee Know-How in connection with the Development, Manufacture or Commercialization of the Licensed Asset or the Products, then no such license shall be granted and XENCOR shall have no payment obligations to Licensee in respect of the Development, Manufacture or Commercialization of the Licensed Asset or the Products in the Region in the Licensed Territory as contemplated in this </w:t>
      </w:r>
      <w:r>
        <w:rPr>
          <w:rFonts w:ascii="Times New Roman" w:cs="Times New Roman" w:eastAsia="Times New Roman" w:hAnsi="Times New Roman"/>
          <w:sz w:val="14"/>
          <w:szCs w:val="14"/>
          <w:u w:val="single" w:color="auto"/>
          <w:color w:val="auto"/>
        </w:rPr>
        <w:t>Section 14.5.11</w:t>
      </w:r>
      <w:r>
        <w:rPr>
          <w:rFonts w:ascii="Times New Roman" w:cs="Times New Roman" w:eastAsia="Times New Roman" w:hAnsi="Times New Roman"/>
          <w:sz w:val="14"/>
          <w:szCs w:val="14"/>
          <w:color w:val="auto"/>
        </w:rPr>
        <w:t>.</w:t>
      </w:r>
    </w:p>
    <w:p>
      <w:pPr>
        <w:spacing w:after="0" w:line="32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11430</wp:posOffset>
            </wp:positionV>
            <wp:extent cx="7157720" cy="69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680"/>
          </w:cols>
          <w:pgMar w:left="840" w:top="760" w:right="379" w:bottom="1440" w:gutter="0" w:footer="0" w:header="0"/>
        </w:sectPr>
      </w:pPr>
    </w:p>
    <w:bookmarkStart w:id="391" w:name="page392"/>
    <w:bookmarkEnd w:id="391"/>
    <w:p>
      <w:pPr>
        <w:ind w:left="1052" w:hanging="526"/>
        <w:spacing w:after="0" w:line="250" w:lineRule="auto"/>
        <w:rPr>
          <w:sz w:val="20"/>
          <w:szCs w:val="20"/>
          <w:color w:val="auto"/>
        </w:rPr>
      </w:pPr>
      <w:r>
        <w:rPr>
          <w:rFonts w:ascii="Times New Roman" w:cs="Times New Roman" w:eastAsia="Times New Roman" w:hAnsi="Times New Roman"/>
          <w:sz w:val="15"/>
          <w:szCs w:val="15"/>
          <w:color w:val="auto"/>
        </w:rPr>
        <w:t xml:space="preserve">14.5.12 </w:t>
      </w:r>
      <w:r>
        <w:rPr>
          <w:rFonts w:ascii="Times New Roman" w:cs="Times New Roman" w:eastAsia="Times New Roman" w:hAnsi="Times New Roman"/>
          <w:sz w:val="15"/>
          <w:szCs w:val="15"/>
          <w:b w:val="1"/>
          <w:bCs w:val="1"/>
          <w:color w:val="auto"/>
        </w:rPr>
        <w:t>Survival of Certain Obligations</w:t>
      </w:r>
      <w:r>
        <w:rPr>
          <w:rFonts w:ascii="Times New Roman" w:cs="Times New Roman" w:eastAsia="Times New Roman" w:hAnsi="Times New Roman"/>
          <w:sz w:val="15"/>
          <w:szCs w:val="15"/>
          <w:color w:val="auto"/>
        </w:rPr>
        <w:t xml:space="preserve">. Expiration or termination of this Agreement shall not relieve the Parties of any obligation accruing before or at the time of such expiration or termination. The provisions of this Agreement that must, by their nature, survive expiration or termination of this Agreement to give effect to their intent, shall so survive, including </w:t>
      </w:r>
      <w:r>
        <w:rPr>
          <w:rFonts w:ascii="Times New Roman" w:cs="Times New Roman" w:eastAsia="Times New Roman" w:hAnsi="Times New Roman"/>
          <w:sz w:val="15"/>
          <w:szCs w:val="15"/>
          <w:u w:val="single" w:color="auto"/>
          <w:color w:val="auto"/>
        </w:rPr>
        <w:t>Article 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2.6</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Sections 9.2 through 9.10</w:t>
      </w:r>
      <w:r>
        <w:rPr>
          <w:rFonts w:ascii="Times New Roman" w:cs="Times New Roman" w:eastAsia="Times New Roman" w:hAnsi="Times New Roman"/>
          <w:sz w:val="15"/>
          <w:szCs w:val="15"/>
          <w:color w:val="auto"/>
        </w:rPr>
        <w:t xml:space="preserve"> (only with respect to payments accrued before expiration or termination of this Agreement), </w:t>
      </w:r>
      <w:r>
        <w:rPr>
          <w:rFonts w:ascii="Times New Roman" w:cs="Times New Roman" w:eastAsia="Times New Roman" w:hAnsi="Times New Roman"/>
          <w:sz w:val="15"/>
          <w:szCs w:val="15"/>
          <w:u w:val="single" w:color="auto"/>
          <w:color w:val="auto"/>
        </w:rPr>
        <w:t>Section 10.1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10.4.2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10.4.3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11.5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12.2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14.2.3</w:t>
      </w:r>
      <w:r>
        <w:rPr>
          <w:rFonts w:ascii="Times New Roman" w:cs="Times New Roman" w:eastAsia="Times New Roman" w:hAnsi="Times New Roman"/>
          <w:sz w:val="15"/>
          <w:szCs w:val="15"/>
          <w:color w:val="auto"/>
        </w:rPr>
        <w:t xml:space="preserve"> (if the Agreement is terminated pursuant to Section 14.2.2), </w:t>
      </w:r>
      <w:r>
        <w:rPr>
          <w:rFonts w:ascii="Times New Roman" w:cs="Times New Roman" w:eastAsia="Times New Roman" w:hAnsi="Times New Roman"/>
          <w:sz w:val="15"/>
          <w:szCs w:val="15"/>
          <w:u w:val="single" w:color="auto"/>
          <w:color w:val="auto"/>
        </w:rPr>
        <w:t>Section 14.5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Article 15</w:t>
      </w:r>
      <w:r>
        <w:rPr>
          <w:rFonts w:ascii="Times New Roman" w:cs="Times New Roman" w:eastAsia="Times New Roman" w:hAnsi="Times New Roman"/>
          <w:sz w:val="15"/>
          <w:szCs w:val="15"/>
          <w:color w:val="auto"/>
        </w:rPr>
        <w:t xml:space="preserve"> (other than </w:t>
      </w:r>
      <w:r>
        <w:rPr>
          <w:rFonts w:ascii="Times New Roman" w:cs="Times New Roman" w:eastAsia="Times New Roman" w:hAnsi="Times New Roman"/>
          <w:sz w:val="15"/>
          <w:szCs w:val="15"/>
          <w:u w:val="single" w:color="auto"/>
          <w:color w:val="auto"/>
        </w:rPr>
        <w:t>Section 15.4</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Article 16</w:t>
      </w:r>
      <w:r>
        <w:rPr>
          <w:rFonts w:ascii="Times New Roman" w:cs="Times New Roman" w:eastAsia="Times New Roman" w:hAnsi="Times New Roman"/>
          <w:sz w:val="15"/>
          <w:szCs w:val="15"/>
          <w:color w:val="auto"/>
        </w:rPr>
        <w:t>. Any expiration or early termination of this Agreement shall be without prejudice to the rights or remedies either Party may have at law or in equity against the other accrued or accruing under this Agreement before termination.</w:t>
      </w:r>
    </w:p>
    <w:p>
      <w:pPr>
        <w:spacing w:after="0" w:line="152" w:lineRule="exact"/>
        <w:rPr>
          <w:sz w:val="20"/>
          <w:szCs w:val="20"/>
          <w:color w:val="auto"/>
        </w:rPr>
      </w:pPr>
    </w:p>
    <w:p>
      <w:pPr>
        <w:ind w:left="532" w:hanging="532"/>
        <w:spacing w:after="0"/>
        <w:tabs>
          <w:tab w:leader="none" w:pos="532" w:val="left"/>
        </w:tabs>
        <w:numPr>
          <w:ilvl w:val="0"/>
          <w:numId w:val="23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Indemnification and Insurance</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532" w:right="160" w:hanging="526"/>
        <w:spacing w:after="0" w:line="253" w:lineRule="auto"/>
        <w:tabs>
          <w:tab w:leader="none" w:pos="512" w:val="left"/>
        </w:tabs>
        <w:rPr>
          <w:sz w:val="20"/>
          <w:szCs w:val="20"/>
          <w:color w:val="auto"/>
        </w:rPr>
      </w:pPr>
      <w:r>
        <w:rPr>
          <w:rFonts w:ascii="Times New Roman" w:cs="Times New Roman" w:eastAsia="Times New Roman" w:hAnsi="Times New Roman"/>
          <w:sz w:val="15"/>
          <w:szCs w:val="15"/>
          <w:color w:val="auto"/>
        </w:rPr>
        <w:t>15.1</w:t>
      </w:r>
      <w:r>
        <w:rPr>
          <w:sz w:val="20"/>
          <w:szCs w:val="20"/>
          <w:color w:val="auto"/>
        </w:rPr>
        <w:tab/>
      </w:r>
      <w:r>
        <w:rPr>
          <w:rFonts w:ascii="Times New Roman" w:cs="Times New Roman" w:eastAsia="Times New Roman" w:hAnsi="Times New Roman"/>
          <w:sz w:val="15"/>
          <w:szCs w:val="15"/>
          <w:b w:val="1"/>
          <w:bCs w:val="1"/>
          <w:color w:val="auto"/>
        </w:rPr>
        <w:t>Indemnification by XENCOR</w:t>
      </w:r>
      <w:r>
        <w:rPr>
          <w:rFonts w:ascii="Times New Roman" w:cs="Times New Roman" w:eastAsia="Times New Roman" w:hAnsi="Times New Roman"/>
          <w:sz w:val="15"/>
          <w:szCs w:val="15"/>
          <w:color w:val="auto"/>
        </w:rPr>
        <w:t>. XENCOR shall indemnify, defend and hold harmless Licensee, its Affiliates and its Sublicensees, and each of its and their respective employees,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officers, directors, agents and assigns (each, a “</w:t>
      </w:r>
      <w:r>
        <w:rPr>
          <w:rFonts w:ascii="Times New Roman" w:cs="Times New Roman" w:eastAsia="Times New Roman" w:hAnsi="Times New Roman"/>
          <w:sz w:val="15"/>
          <w:szCs w:val="15"/>
          <w:u w:val="single" w:color="auto"/>
          <w:color w:val="auto"/>
        </w:rPr>
        <w:t>Licensee Indemnified Party</w:t>
      </w:r>
      <w:r>
        <w:rPr>
          <w:rFonts w:ascii="Times New Roman" w:cs="Times New Roman" w:eastAsia="Times New Roman" w:hAnsi="Times New Roman"/>
          <w:sz w:val="15"/>
          <w:szCs w:val="15"/>
          <w:color w:val="auto"/>
        </w:rPr>
        <w:t>”) from and against any and all losses, damages, liabilities, settlements, penalties, fines and expenses (including reasonable attorneys’ fees and expenses) (collectively, “</w:t>
      </w:r>
      <w:r>
        <w:rPr>
          <w:rFonts w:ascii="Times New Roman" w:cs="Times New Roman" w:eastAsia="Times New Roman" w:hAnsi="Times New Roman"/>
          <w:sz w:val="15"/>
          <w:szCs w:val="15"/>
          <w:u w:val="single" w:color="auto"/>
          <w:color w:val="auto"/>
        </w:rPr>
        <w:t>Liability</w:t>
      </w:r>
      <w:r>
        <w:rPr>
          <w:rFonts w:ascii="Times New Roman" w:cs="Times New Roman" w:eastAsia="Times New Roman" w:hAnsi="Times New Roman"/>
          <w:sz w:val="15"/>
          <w:szCs w:val="15"/>
          <w:color w:val="auto"/>
        </w:rPr>
        <w:t>”) that the Licensee Indemnified Party may be required to pay to one or more Third Parties as a result of Third Party claims resulting from or arising out of:</w:t>
      </w:r>
    </w:p>
    <w:p>
      <w:pPr>
        <w:spacing w:after="0" w:line="154" w:lineRule="exact"/>
        <w:rPr>
          <w:sz w:val="20"/>
          <w:szCs w:val="20"/>
          <w:color w:val="auto"/>
        </w:rPr>
      </w:pPr>
    </w:p>
    <w:p>
      <w:pPr>
        <w:ind w:left="1592" w:right="500" w:hanging="537"/>
        <w:spacing w:after="0" w:line="269" w:lineRule="auto"/>
        <w:tabs>
          <w:tab w:leader="none" w:pos="1592"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XENCOR representation or warranty set forth herein being untrue in any material respect when made or any material breach by XENCOR of any of its covenants or obligations hereunder;</w:t>
      </w:r>
    </w:p>
    <w:p>
      <w:pPr>
        <w:spacing w:after="0" w:line="140" w:lineRule="exact"/>
        <w:rPr>
          <w:rFonts w:ascii="Times New Roman" w:cs="Times New Roman" w:eastAsia="Times New Roman" w:hAnsi="Times New Roman"/>
          <w:sz w:val="15"/>
          <w:szCs w:val="15"/>
          <w:color w:val="auto"/>
        </w:rPr>
      </w:pPr>
    </w:p>
    <w:p>
      <w:pPr>
        <w:ind w:left="1592" w:right="120" w:hanging="537"/>
        <w:spacing w:after="0" w:line="269" w:lineRule="auto"/>
        <w:tabs>
          <w:tab w:leader="none" w:pos="1592"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gross negligence or willful misconduct by or of XENCOR or its Affiliates or (sub)licensees, or any of its or their respective employees, officers, directors, and agents under this Agreement; or</w:t>
      </w:r>
    </w:p>
    <w:p>
      <w:pPr>
        <w:spacing w:after="0" w:line="140" w:lineRule="exact"/>
        <w:rPr>
          <w:rFonts w:ascii="Times New Roman" w:cs="Times New Roman" w:eastAsia="Times New Roman" w:hAnsi="Times New Roman"/>
          <w:sz w:val="15"/>
          <w:szCs w:val="15"/>
          <w:color w:val="auto"/>
        </w:rPr>
      </w:pPr>
    </w:p>
    <w:p>
      <w:pPr>
        <w:ind w:left="1592" w:right="440" w:hanging="537"/>
        <w:spacing w:after="0" w:line="269" w:lineRule="auto"/>
        <w:tabs>
          <w:tab w:leader="none" w:pos="1592"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Development or Manufacture of the Licensed Asset or Products by XENCOR or its Affiliates or sublicensees (including, for clarity, any product liability resulting therefrom).</w:t>
      </w:r>
    </w:p>
    <w:p>
      <w:pPr>
        <w:spacing w:after="0" w:line="141"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15"/>
          <w:szCs w:val="15"/>
          <w:color w:val="auto"/>
        </w:rPr>
        <w:t xml:space="preserve">except in each case, to the extent such Liability is subject to indemnification by Licensee pursuant to </w:t>
      </w:r>
      <w:r>
        <w:rPr>
          <w:rFonts w:ascii="Times New Roman" w:cs="Times New Roman" w:eastAsia="Times New Roman" w:hAnsi="Times New Roman"/>
          <w:sz w:val="15"/>
          <w:szCs w:val="15"/>
          <w:u w:val="single" w:color="auto"/>
          <w:color w:val="auto"/>
        </w:rPr>
        <w:t>Section 15.2</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ind w:left="532" w:hanging="526"/>
        <w:spacing w:after="0" w:line="258" w:lineRule="auto"/>
        <w:tabs>
          <w:tab w:leader="none" w:pos="512" w:val="left"/>
        </w:tabs>
        <w:rPr>
          <w:sz w:val="20"/>
          <w:szCs w:val="20"/>
          <w:color w:val="auto"/>
        </w:rPr>
      </w:pPr>
      <w:r>
        <w:rPr>
          <w:rFonts w:ascii="Times New Roman" w:cs="Times New Roman" w:eastAsia="Times New Roman" w:hAnsi="Times New Roman"/>
          <w:sz w:val="15"/>
          <w:szCs w:val="15"/>
          <w:color w:val="auto"/>
        </w:rPr>
        <w:t>15.2</w:t>
      </w:r>
      <w:r>
        <w:rPr>
          <w:sz w:val="20"/>
          <w:szCs w:val="20"/>
          <w:color w:val="auto"/>
        </w:rPr>
        <w:tab/>
      </w:r>
      <w:r>
        <w:rPr>
          <w:rFonts w:ascii="Times New Roman" w:cs="Times New Roman" w:eastAsia="Times New Roman" w:hAnsi="Times New Roman"/>
          <w:sz w:val="15"/>
          <w:szCs w:val="15"/>
          <w:b w:val="1"/>
          <w:bCs w:val="1"/>
          <w:color w:val="auto"/>
        </w:rPr>
        <w:t>Indemnification by Licensee</w:t>
      </w:r>
      <w:r>
        <w:rPr>
          <w:rFonts w:ascii="Times New Roman" w:cs="Times New Roman" w:eastAsia="Times New Roman" w:hAnsi="Times New Roman"/>
          <w:sz w:val="15"/>
          <w:szCs w:val="15"/>
          <w:color w:val="auto"/>
        </w:rPr>
        <w:t>. Licensee shall indemnify, defend and hold harmless XENCOR and its Affiliates, and each of its and their respective employees, officers, directors,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agents and assigns (each, a “</w:t>
      </w:r>
      <w:r>
        <w:rPr>
          <w:rFonts w:ascii="Times New Roman" w:cs="Times New Roman" w:eastAsia="Times New Roman" w:hAnsi="Times New Roman"/>
          <w:sz w:val="15"/>
          <w:szCs w:val="15"/>
          <w:u w:val="single" w:color="auto"/>
          <w:color w:val="auto"/>
        </w:rPr>
        <w:t>XENCOR Indemnified Party</w:t>
      </w:r>
      <w:r>
        <w:rPr>
          <w:rFonts w:ascii="Times New Roman" w:cs="Times New Roman" w:eastAsia="Times New Roman" w:hAnsi="Times New Roman"/>
          <w:sz w:val="15"/>
          <w:szCs w:val="15"/>
          <w:color w:val="auto"/>
        </w:rPr>
        <w:t>”) from and against any and all Liabilities that the XENCOR Indemnified Party may be required to pay to one or more Third Parties as a result of Third Party claims resulting from or arising out of:</w:t>
      </w:r>
    </w:p>
    <w:p>
      <w:pPr>
        <w:spacing w:after="0" w:line="149" w:lineRule="exact"/>
        <w:rPr>
          <w:sz w:val="20"/>
          <w:szCs w:val="20"/>
          <w:color w:val="auto"/>
        </w:rPr>
      </w:pPr>
    </w:p>
    <w:p>
      <w:pPr>
        <w:ind w:left="1592" w:right="20" w:hanging="537"/>
        <w:spacing w:after="0" w:line="269" w:lineRule="auto"/>
        <w:tabs>
          <w:tab w:leader="none" w:pos="1592"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Licensee representation or warranty set forth herein being untrue in any material respect when made or a material breach by Licensee of any of its covenants or obligations hereunder;</w:t>
      </w:r>
    </w:p>
    <w:p>
      <w:pPr>
        <w:spacing w:after="0" w:line="140" w:lineRule="exact"/>
        <w:rPr>
          <w:rFonts w:ascii="Times New Roman" w:cs="Times New Roman" w:eastAsia="Times New Roman" w:hAnsi="Times New Roman"/>
          <w:sz w:val="15"/>
          <w:szCs w:val="15"/>
          <w:color w:val="auto"/>
        </w:rPr>
      </w:pPr>
    </w:p>
    <w:p>
      <w:pPr>
        <w:ind w:left="1592" w:right="220" w:hanging="537"/>
        <w:spacing w:after="0" w:line="269" w:lineRule="auto"/>
        <w:tabs>
          <w:tab w:leader="none" w:pos="1592"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gross negligence or willful misconduct by or of Licensee, its Affiliates or its Sublicensees, or any of its or their respective employees, officers, directors, and agents under this Agreement; or</w:t>
      </w:r>
    </w:p>
    <w:p>
      <w:pPr>
        <w:spacing w:after="0" w:line="31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57720" cy="69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192"/>
          </w:cols>
          <w:pgMar w:left="308" w:top="760" w:right="399" w:bottom="1440" w:gutter="0" w:footer="0" w:header="0"/>
        </w:sectPr>
      </w:pPr>
    </w:p>
    <w:bookmarkStart w:id="392" w:name="page393"/>
    <w:bookmarkEnd w:id="392"/>
    <w:p>
      <w:pPr>
        <w:ind w:left="1560" w:right="240" w:hanging="537"/>
        <w:spacing w:after="0" w:line="269" w:lineRule="auto"/>
        <w:tabs>
          <w:tab w:leader="none" w:pos="1560" w:val="left"/>
        </w:tabs>
        <w:numPr>
          <w:ilvl w:val="0"/>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Development, Manufacture or Commercialization of the Licensed Asset or Products by Licensee or its Affiliates or Sublicensees in the Field in the Licensed Territory (including, for clarity, any product liability resulting therefrom).</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 xml:space="preserve">except in each case, to the extent such Liability is subject to indemnification by XENCOR pursuant to </w:t>
      </w:r>
      <w:r>
        <w:rPr>
          <w:rFonts w:ascii="Times New Roman" w:cs="Times New Roman" w:eastAsia="Times New Roman" w:hAnsi="Times New Roman"/>
          <w:sz w:val="15"/>
          <w:szCs w:val="15"/>
          <w:u w:val="single" w:color="auto"/>
          <w:color w:val="auto"/>
        </w:rPr>
        <w:t>Section 15.1</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ind w:left="500" w:hanging="526"/>
        <w:spacing w:after="0" w:line="264" w:lineRule="auto"/>
        <w:tabs>
          <w:tab w:leader="none" w:pos="480" w:val="left"/>
        </w:tabs>
        <w:rPr>
          <w:sz w:val="20"/>
          <w:szCs w:val="20"/>
          <w:color w:val="auto"/>
        </w:rPr>
      </w:pPr>
      <w:r>
        <w:rPr>
          <w:rFonts w:ascii="Times New Roman" w:cs="Times New Roman" w:eastAsia="Times New Roman" w:hAnsi="Times New Roman"/>
          <w:sz w:val="15"/>
          <w:szCs w:val="15"/>
          <w:color w:val="auto"/>
        </w:rPr>
        <w:t>15.3</w:t>
      </w:r>
      <w:r>
        <w:rPr>
          <w:sz w:val="20"/>
          <w:szCs w:val="20"/>
          <w:color w:val="auto"/>
        </w:rPr>
        <w:tab/>
      </w:r>
      <w:r>
        <w:rPr>
          <w:rFonts w:ascii="Times New Roman" w:cs="Times New Roman" w:eastAsia="Times New Roman" w:hAnsi="Times New Roman"/>
          <w:sz w:val="14"/>
          <w:szCs w:val="14"/>
          <w:b w:val="1"/>
          <w:bCs w:val="1"/>
          <w:color w:val="auto"/>
        </w:rPr>
        <w:t>Procedure</w:t>
      </w:r>
      <w:r>
        <w:rPr>
          <w:rFonts w:ascii="Times New Roman" w:cs="Times New Roman" w:eastAsia="Times New Roman" w:hAnsi="Times New Roman"/>
          <w:sz w:val="14"/>
          <w:szCs w:val="14"/>
          <w:color w:val="auto"/>
        </w:rPr>
        <w:t>. Each Party shall notify the other in the event it becomes aware of a claim for which indemnification may be sought hereunder or for which Liability is shared pursuant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u w:val="single" w:color="auto"/>
          <w:color w:val="auto"/>
        </w:rPr>
        <w:t>Article 15</w:t>
      </w:r>
      <w:r>
        <w:rPr>
          <w:rFonts w:ascii="Times New Roman" w:cs="Times New Roman" w:eastAsia="Times New Roman" w:hAnsi="Times New Roman"/>
          <w:sz w:val="14"/>
          <w:szCs w:val="14"/>
          <w:color w:val="auto"/>
        </w:rPr>
        <w:t xml:space="preserve">. In case any proceeding (including any governmental investigation) shall be instituted involving either Party in respect of which indemnity may be sought pursuant to this </w:t>
      </w:r>
      <w:r>
        <w:rPr>
          <w:rFonts w:ascii="Times New Roman" w:cs="Times New Roman" w:eastAsia="Times New Roman" w:hAnsi="Times New Roman"/>
          <w:sz w:val="14"/>
          <w:szCs w:val="14"/>
          <w:u w:val="single" w:color="auto"/>
          <w:color w:val="auto"/>
        </w:rPr>
        <w:t>Article 15</w:t>
      </w:r>
      <w:r>
        <w:rPr>
          <w:rFonts w:ascii="Times New Roman" w:cs="Times New Roman" w:eastAsia="Times New Roman" w:hAnsi="Times New Roman"/>
          <w:sz w:val="14"/>
          <w:szCs w:val="14"/>
          <w:color w:val="auto"/>
        </w:rPr>
        <w:t>, such Party (the “</w:t>
      </w:r>
      <w:r>
        <w:rPr>
          <w:rFonts w:ascii="Times New Roman" w:cs="Times New Roman" w:eastAsia="Times New Roman" w:hAnsi="Times New Roman"/>
          <w:sz w:val="14"/>
          <w:szCs w:val="14"/>
          <w:u w:val="single" w:color="auto"/>
          <w:color w:val="auto"/>
        </w:rPr>
        <w:t>Indemnified Party</w:t>
      </w:r>
      <w:r>
        <w:rPr>
          <w:rFonts w:ascii="Times New Roman" w:cs="Times New Roman" w:eastAsia="Times New Roman" w:hAnsi="Times New Roman"/>
          <w:sz w:val="14"/>
          <w:szCs w:val="14"/>
          <w:color w:val="auto"/>
        </w:rPr>
        <w:t xml:space="preserve">”) shall promptly notify the Party obligated to indemnify such Party pursuant to </w:t>
      </w:r>
      <w:r>
        <w:rPr>
          <w:rFonts w:ascii="Times New Roman" w:cs="Times New Roman" w:eastAsia="Times New Roman" w:hAnsi="Times New Roman"/>
          <w:sz w:val="14"/>
          <w:szCs w:val="14"/>
          <w:u w:val="single" w:color="auto"/>
          <w:color w:val="auto"/>
        </w:rPr>
        <w:t>Section 15.1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15.2</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Indemnifying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color w:val="auto"/>
        </w:rPr>
        <w:t xml:space="preserve">”) in writing and the Indemnifying Party and Indemnified Party shall meet to discuss how to respond to any claims that are the subject matter of such proceeding,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delay in providing such notification shall only limit the Indemnifying Party’s obligation to the extent of the actual prejudice caused to the Indemnifying Party by such delay. The Indemnifying Party, upon request of the Indemnified Party, shall retain counsel reasonably satisfactory to the Indemnified Party to represent the Indemnified Party and shall pay the fees and expenses of such counsel related to such proceeding. If the Indemnifying Party assumes the defense of the Liability, it shall keep the Indemnified Party advised of the status of such Liability and the defense thereof and shall consider recommendations made by the Indemnified Party with respect thereto. In any such proceeding, the Indemnified Party shall have the right to retain its own counsel, but the fees and expenses of such counsel shall be at the expense of the Indemnified Party unless (a) the Indemnifying Party and the Indemnified Party shall have mutually agreed to the retention of such counsel or (b) the named parties to any such proceeding (including any impleaded parties) include both the Indemnifying Party and the Indemnified Party and representation of both the Indemnifying Party and the Indemnified Party by the same counsel would be inappropriate due to actual or potential differing interests between them. All such fees and expenses incurred pursuant to </w:t>
      </w:r>
      <w:r>
        <w:rPr>
          <w:rFonts w:ascii="Times New Roman" w:cs="Times New Roman" w:eastAsia="Times New Roman" w:hAnsi="Times New Roman"/>
          <w:sz w:val="14"/>
          <w:szCs w:val="14"/>
          <w:u w:val="single" w:color="auto"/>
          <w:color w:val="auto"/>
        </w:rPr>
        <w:t>Section 15.1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15.2</w:t>
      </w:r>
      <w:r>
        <w:rPr>
          <w:rFonts w:ascii="Times New Roman" w:cs="Times New Roman" w:eastAsia="Times New Roman" w:hAnsi="Times New Roman"/>
          <w:sz w:val="14"/>
          <w:szCs w:val="14"/>
          <w:color w:val="auto"/>
        </w:rPr>
        <w:t xml:space="preserve"> shall be reimbursed as they are incurred. The Indemnifying Party shall not be liable for any settlement of any proceeding unless effected with its written consent, which shall not be unreasonably withheld. The Indemnifying Party shall not, without the written consent of the Indemnified Party, effect any settlement of any pending or threatened proceeding in respect of which the Indemnified Party is, or arising out of the same set of facts could have been, a party and indemnity could have been sought hereunder by the Indemnified Party, unless such settlement includes an unconditional release of the Indemnified Party from all liability on claims to which the indemnity relates that are the subject matter of such proceeding. If the Parties cannot agree as to the application of </w:t>
      </w:r>
      <w:r>
        <w:rPr>
          <w:rFonts w:ascii="Times New Roman" w:cs="Times New Roman" w:eastAsia="Times New Roman" w:hAnsi="Times New Roman"/>
          <w:sz w:val="14"/>
          <w:szCs w:val="14"/>
          <w:u w:val="single" w:color="auto"/>
          <w:color w:val="auto"/>
        </w:rPr>
        <w:t>Section 15.1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15.2</w:t>
      </w:r>
      <w:r>
        <w:rPr>
          <w:rFonts w:ascii="Times New Roman" w:cs="Times New Roman" w:eastAsia="Times New Roman" w:hAnsi="Times New Roman"/>
          <w:sz w:val="14"/>
          <w:szCs w:val="14"/>
          <w:color w:val="auto"/>
        </w:rPr>
        <w:t xml:space="preserve"> to any particular claim, the Parties may conduct separate defenses of such claim and reserve the right to claim indemnity from the other Party in accordance with </w:t>
      </w:r>
      <w:r>
        <w:rPr>
          <w:rFonts w:ascii="Times New Roman" w:cs="Times New Roman" w:eastAsia="Times New Roman" w:hAnsi="Times New Roman"/>
          <w:sz w:val="14"/>
          <w:szCs w:val="14"/>
          <w:u w:val="single" w:color="auto"/>
          <w:color w:val="auto"/>
        </w:rPr>
        <w:t>Section 15.1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15.2</w:t>
      </w:r>
      <w:r>
        <w:rPr>
          <w:rFonts w:ascii="Times New Roman" w:cs="Times New Roman" w:eastAsia="Times New Roman" w:hAnsi="Times New Roman"/>
          <w:sz w:val="14"/>
          <w:szCs w:val="14"/>
          <w:color w:val="auto"/>
        </w:rPr>
        <w:t xml:space="preserve"> above in accordance with </w:t>
      </w:r>
      <w:r>
        <w:rPr>
          <w:rFonts w:ascii="Times New Roman" w:cs="Times New Roman" w:eastAsia="Times New Roman" w:hAnsi="Times New Roman"/>
          <w:sz w:val="14"/>
          <w:szCs w:val="14"/>
          <w:u w:val="single" w:color="auto"/>
          <w:color w:val="auto"/>
        </w:rPr>
        <w:t>Section 16.3</w:t>
      </w:r>
      <w:r>
        <w:rPr>
          <w:rFonts w:ascii="Times New Roman" w:cs="Times New Roman" w:eastAsia="Times New Roman" w:hAnsi="Times New Roman"/>
          <w:sz w:val="14"/>
          <w:szCs w:val="14"/>
          <w:color w:val="auto"/>
        </w:rPr>
        <w:t xml:space="preserve"> upon resolution of the underlying claim.</w:t>
      </w:r>
    </w:p>
    <w:p>
      <w:pPr>
        <w:spacing w:after="0" w:line="329" w:lineRule="exact"/>
        <w:rPr>
          <w:sz w:val="20"/>
          <w:szCs w:val="20"/>
          <w:color w:val="auto"/>
        </w:rPr>
      </w:pPr>
    </w:p>
    <w:p>
      <w:pPr>
        <w:ind w:left="500" w:right="120" w:hanging="526"/>
        <w:spacing w:after="0" w:line="250" w:lineRule="auto"/>
        <w:tabs>
          <w:tab w:leader="none" w:pos="480" w:val="left"/>
        </w:tabs>
        <w:rPr>
          <w:sz w:val="20"/>
          <w:szCs w:val="20"/>
          <w:color w:val="auto"/>
        </w:rPr>
      </w:pPr>
      <w:r>
        <w:rPr>
          <w:rFonts w:ascii="Times New Roman" w:cs="Times New Roman" w:eastAsia="Times New Roman" w:hAnsi="Times New Roman"/>
          <w:sz w:val="15"/>
          <w:szCs w:val="15"/>
          <w:color w:val="auto"/>
        </w:rPr>
        <w:t>15.4</w:t>
      </w:r>
      <w:r>
        <w:rPr>
          <w:sz w:val="20"/>
          <w:szCs w:val="20"/>
          <w:color w:val="auto"/>
        </w:rPr>
        <w:tab/>
      </w:r>
      <w:r>
        <w:rPr>
          <w:rFonts w:ascii="Times New Roman" w:cs="Times New Roman" w:eastAsia="Times New Roman" w:hAnsi="Times New Roman"/>
          <w:sz w:val="15"/>
          <w:szCs w:val="15"/>
          <w:b w:val="1"/>
          <w:bCs w:val="1"/>
          <w:color w:val="auto"/>
        </w:rPr>
        <w:t>Insurance</w:t>
      </w:r>
      <w:r>
        <w:rPr>
          <w:rFonts w:ascii="Times New Roman" w:cs="Times New Roman" w:eastAsia="Times New Roman" w:hAnsi="Times New Roman"/>
          <w:sz w:val="15"/>
          <w:szCs w:val="15"/>
          <w:color w:val="auto"/>
        </w:rPr>
        <w:t>. Licensee shall procure and maintain insurance, including clinical trial insurance and product liability insurance, adequate to cover is obligations with respect to its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activities hereunder and which is consistent with normal business practices of prudent companies similarly situated at all times;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any such clinical trials insurance coverage shall, prior to the First Commercial Sale of a Product, in no event be less than [***] per loss occurrence, and product liability insurance coverage shall, after such First Commercial Sale, in no event be less than [***] per loss occurrence. Licensee shall provide XENCOR with evidence of such insurance upon request and shall provide XENCOR with written notice at least [***] prior to Licensee’s decision or receipt of notice from the insurance company, as applicable, with respect to the cancellation, non-renewal or material decrease in the coverage level of such insurance. It is understood that such insurance shall not be construed to create a limit of Licensee’s liability.</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11430</wp:posOffset>
            </wp:positionV>
            <wp:extent cx="7157720" cy="69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180"/>
          </w:cols>
          <w:pgMar w:left="340" w:top="762" w:right="379" w:bottom="1440" w:gutter="0" w:footer="0" w:header="0"/>
        </w:sectPr>
      </w:pPr>
    </w:p>
    <w:bookmarkStart w:id="393" w:name="page394"/>
    <w:bookmarkEnd w:id="393"/>
    <w:p>
      <w:pPr>
        <w:ind w:left="540" w:right="20" w:hanging="526"/>
        <w:spacing w:after="0" w:line="251" w:lineRule="auto"/>
        <w:tabs>
          <w:tab w:leader="none" w:pos="520" w:val="left"/>
        </w:tabs>
        <w:rPr>
          <w:sz w:val="20"/>
          <w:szCs w:val="20"/>
          <w:color w:val="auto"/>
        </w:rPr>
      </w:pPr>
      <w:r>
        <w:rPr>
          <w:rFonts w:ascii="Times New Roman" w:cs="Times New Roman" w:eastAsia="Times New Roman" w:hAnsi="Times New Roman"/>
          <w:sz w:val="15"/>
          <w:szCs w:val="15"/>
          <w:color w:val="auto"/>
        </w:rPr>
        <w:t>15.5</w:t>
      </w:r>
      <w:r>
        <w:rPr>
          <w:sz w:val="20"/>
          <w:szCs w:val="20"/>
          <w:color w:val="auto"/>
        </w:rPr>
        <w:tab/>
      </w:r>
      <w:r>
        <w:rPr>
          <w:rFonts w:ascii="Times New Roman" w:cs="Times New Roman" w:eastAsia="Times New Roman" w:hAnsi="Times New Roman"/>
          <w:sz w:val="15"/>
          <w:szCs w:val="15"/>
          <w:b w:val="1"/>
          <w:bCs w:val="1"/>
          <w:color w:val="auto"/>
        </w:rPr>
        <w:t>No Consequential Damages</w:t>
      </w:r>
      <w:r>
        <w:rPr>
          <w:rFonts w:ascii="Times New Roman" w:cs="Times New Roman" w:eastAsia="Times New Roman" w:hAnsi="Times New Roman"/>
          <w:sz w:val="15"/>
          <w:szCs w:val="15"/>
          <w:color w:val="auto"/>
        </w:rPr>
        <w:t>. NOTWITHSTANDING THE FOREGOING, IN NO EVENT WILL EITHER PARTY BE LIABLE TO THE OTHER PARTY FOR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CONSEQUENTIAL, INCIDENTAL, INDIRECT, SPECIAL, PUNITIVE OR EXEMPLARY DAMAGES, OR FOR LOST REVENUES OR LOST PROFITS (WHETHER DIRECT OR INDIRECT) UNDER THIS AGREEMENT REGARDLESS OF ANY NOTICE OF THE POSSIBILITY OF SUCH DAMAGES, EXCEPT TO THE EXTENT THE DAMAGES RESULT FROM (A) A PARTY’S GROSS NEGLIGENCE OR WILLFUL MISCONDUCT, (B) A PARTY’S BREACH OF </w:t>
      </w:r>
      <w:r>
        <w:rPr>
          <w:rFonts w:ascii="Times New Roman" w:cs="Times New Roman" w:eastAsia="Times New Roman" w:hAnsi="Times New Roman"/>
          <w:sz w:val="15"/>
          <w:szCs w:val="15"/>
          <w:u w:val="single" w:color="auto"/>
          <w:color w:val="auto"/>
        </w:rPr>
        <w:t>SECTION 10.1</w:t>
      </w:r>
      <w:r>
        <w:rPr>
          <w:rFonts w:ascii="Times New Roman" w:cs="Times New Roman" w:eastAsia="Times New Roman" w:hAnsi="Times New Roman"/>
          <w:sz w:val="15"/>
          <w:szCs w:val="15"/>
          <w:color w:val="auto"/>
        </w:rPr>
        <w:t xml:space="preserve">, OR (C) A PARTY’S INDEMNIFICATION OBLIGATIONS UNDER THIS </w:t>
      </w:r>
      <w:r>
        <w:rPr>
          <w:rFonts w:ascii="Times New Roman" w:cs="Times New Roman" w:eastAsia="Times New Roman" w:hAnsi="Times New Roman"/>
          <w:sz w:val="15"/>
          <w:szCs w:val="15"/>
          <w:u w:val="single" w:color="auto"/>
          <w:color w:val="auto"/>
        </w:rPr>
        <w:t>ARTICLE 15</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ind w:left="540" w:hanging="532"/>
        <w:spacing w:after="0"/>
        <w:tabs>
          <w:tab w:leader="none" w:pos="540" w:val="left"/>
        </w:tabs>
        <w:numPr>
          <w:ilvl w:val="0"/>
          <w:numId w:val="2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Miscellaneous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16.1</w:t>
      </w:r>
      <w:r>
        <w:rPr>
          <w:sz w:val="20"/>
          <w:szCs w:val="20"/>
          <w:color w:val="auto"/>
        </w:rPr>
        <w:tab/>
      </w:r>
      <w:r>
        <w:rPr>
          <w:rFonts w:ascii="Times New Roman" w:cs="Times New Roman" w:eastAsia="Times New Roman" w:hAnsi="Times New Roman"/>
          <w:sz w:val="14"/>
          <w:szCs w:val="14"/>
          <w:b w:val="1"/>
          <w:bCs w:val="1"/>
          <w:color w:val="auto"/>
        </w:rPr>
        <w:t>Assignment</w:t>
      </w:r>
      <w:r>
        <w:rPr>
          <w:rFonts w:ascii="Times New Roman" w:cs="Times New Roman" w:eastAsia="Times New Roman" w:hAnsi="Times New Roman"/>
          <w:sz w:val="14"/>
          <w:szCs w:val="14"/>
          <w:color w:val="auto"/>
        </w:rPr>
        <w:t>. Neither Party may assign its rights or delegate its obligations under this Agreement, in whole or in part without the prior written consent of the other Party, except that</w:t>
      </w:r>
    </w:p>
    <w:p>
      <w:pPr>
        <w:spacing w:after="0" w:line="20" w:lineRule="exact"/>
        <w:rPr>
          <w:sz w:val="20"/>
          <w:szCs w:val="20"/>
          <w:color w:val="auto"/>
        </w:rPr>
      </w:pPr>
    </w:p>
    <w:p>
      <w:pPr>
        <w:ind w:left="540" w:right="40" w:hanging="5"/>
        <w:spacing w:after="0" w:line="265" w:lineRule="auto"/>
        <w:tabs>
          <w:tab w:leader="none" w:pos="739"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Party shall have the right, without such consent, on written notice to the other Parties, to assign any or all of its rights and delegate or subcontract any or all of its obligations hereunder to (i) any of its Affiliates or (ii) a successor of all or substantially all of the business of such Party or of the portion of such business to which this Agreement relates, whether by way of merger, sale of stock, sale of assets or other transaction (or series of transactions); and (b) either Party shall have the right, without such consent, to perform any or all of its obligations and exercise any or all of its rights under this Agreement through any of its Affiliates. Notwithstanding the foregoing, each Party shall remain responsible for any failure to perform on the part of any such Affiliates. Any attempted assignment or delegation in violation of this </w:t>
      </w:r>
      <w:r>
        <w:rPr>
          <w:rFonts w:ascii="Times New Roman" w:cs="Times New Roman" w:eastAsia="Times New Roman" w:hAnsi="Times New Roman"/>
          <w:sz w:val="14"/>
          <w:szCs w:val="14"/>
          <w:u w:val="single" w:color="auto"/>
          <w:color w:val="auto"/>
        </w:rPr>
        <w:t>Section 16.1</w:t>
      </w:r>
      <w:r>
        <w:rPr>
          <w:rFonts w:ascii="Times New Roman" w:cs="Times New Roman" w:eastAsia="Times New Roman" w:hAnsi="Times New Roman"/>
          <w:sz w:val="14"/>
          <w:szCs w:val="14"/>
          <w:color w:val="auto"/>
        </w:rPr>
        <w:t xml:space="preserve"> shall be void. Any permitted transferee or assignee of this Agreement shall assume and be bound by the obligations of its transferor or assignor under this Agreement, and shall, in a writing delivered to the other Party, expressly assume the performance of such rights or obligations. This Agreement shall be binding on, and inure to the benefit of, each Party, its successors and permitted assigns.</w:t>
      </w:r>
    </w:p>
    <w:p>
      <w:pPr>
        <w:spacing w:after="0" w:line="145" w:lineRule="exact"/>
        <w:rPr>
          <w:sz w:val="20"/>
          <w:szCs w:val="20"/>
          <w:color w:val="auto"/>
        </w:rPr>
      </w:pPr>
    </w:p>
    <w:p>
      <w:pPr>
        <w:ind w:left="540" w:hanging="526"/>
        <w:spacing w:after="0" w:line="253" w:lineRule="auto"/>
        <w:tabs>
          <w:tab w:leader="none" w:pos="520" w:val="left"/>
        </w:tabs>
        <w:rPr>
          <w:sz w:val="20"/>
          <w:szCs w:val="20"/>
          <w:color w:val="auto"/>
        </w:rPr>
      </w:pPr>
      <w:r>
        <w:rPr>
          <w:rFonts w:ascii="Times New Roman" w:cs="Times New Roman" w:eastAsia="Times New Roman" w:hAnsi="Times New Roman"/>
          <w:sz w:val="15"/>
          <w:szCs w:val="15"/>
          <w:color w:val="auto"/>
        </w:rPr>
        <w:t>16.2</w:t>
      </w:r>
      <w:r>
        <w:rPr>
          <w:sz w:val="20"/>
          <w:szCs w:val="20"/>
          <w:color w:val="auto"/>
        </w:rPr>
        <w:tab/>
      </w:r>
      <w:r>
        <w:rPr>
          <w:rFonts w:ascii="Times New Roman" w:cs="Times New Roman" w:eastAsia="Times New Roman" w:hAnsi="Times New Roman"/>
          <w:sz w:val="15"/>
          <w:szCs w:val="15"/>
          <w:b w:val="1"/>
          <w:bCs w:val="1"/>
          <w:color w:val="auto"/>
        </w:rPr>
        <w:t>Governing Law</w:t>
      </w:r>
      <w:r>
        <w:rPr>
          <w:rFonts w:ascii="Times New Roman" w:cs="Times New Roman" w:eastAsia="Times New Roman" w:hAnsi="Times New Roman"/>
          <w:sz w:val="15"/>
          <w:szCs w:val="15"/>
          <w:color w:val="auto"/>
        </w:rPr>
        <w:t>. The interpretation and construction of this Agreement, and all matters relating hereto, shall be governed by the laws of the State of New York applicable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agreements executed and to be performed solely within such state excluding any conflicts or choice of law rule or principle that might otherwise refer construction or interpretation of this Agreement to the substantive law of another jurisdiction;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matters relating to the construction or effect of any Patent Right will be governed by the patent laws of the relevant jurisdiction in which such Patent Right is granted.</w:t>
      </w:r>
    </w:p>
    <w:p>
      <w:pPr>
        <w:spacing w:after="0" w:line="1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16.3</w:t>
      </w:r>
      <w:r>
        <w:rPr>
          <w:sz w:val="20"/>
          <w:szCs w:val="20"/>
          <w:color w:val="auto"/>
        </w:rPr>
        <w:tab/>
      </w:r>
      <w:r>
        <w:rPr>
          <w:rFonts w:ascii="Times New Roman" w:cs="Times New Roman" w:eastAsia="Times New Roman" w:hAnsi="Times New Roman"/>
          <w:sz w:val="14"/>
          <w:szCs w:val="14"/>
          <w:b w:val="1"/>
          <w:bCs w:val="1"/>
          <w:color w:val="auto"/>
        </w:rPr>
        <w:t>Dispute Resolution</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60" w:hanging="526"/>
        <w:spacing w:after="0" w:line="285" w:lineRule="auto"/>
        <w:tabs>
          <w:tab w:leader="none" w:pos="1040" w:val="left"/>
        </w:tabs>
        <w:rPr>
          <w:sz w:val="20"/>
          <w:szCs w:val="20"/>
          <w:color w:val="auto"/>
        </w:rPr>
      </w:pPr>
      <w:r>
        <w:rPr>
          <w:rFonts w:ascii="Times New Roman" w:cs="Times New Roman" w:eastAsia="Times New Roman" w:hAnsi="Times New Roman"/>
          <w:sz w:val="15"/>
          <w:szCs w:val="15"/>
          <w:color w:val="auto"/>
        </w:rPr>
        <w:t>16.3.1</w:t>
      </w:r>
      <w:r>
        <w:rPr>
          <w:sz w:val="20"/>
          <w:szCs w:val="20"/>
          <w:color w:val="auto"/>
        </w:rPr>
        <w:tab/>
      </w:r>
      <w:r>
        <w:rPr>
          <w:rFonts w:ascii="Times New Roman" w:cs="Times New Roman" w:eastAsia="Times New Roman" w:hAnsi="Times New Roman"/>
          <w:sz w:val="14"/>
          <w:szCs w:val="14"/>
          <w:b w:val="1"/>
          <w:bCs w:val="1"/>
          <w:color w:val="auto"/>
        </w:rPr>
        <w:t>Disputes</w:t>
      </w:r>
      <w:r>
        <w:rPr>
          <w:rFonts w:ascii="Times New Roman" w:cs="Times New Roman" w:eastAsia="Times New Roman" w:hAnsi="Times New Roman"/>
          <w:sz w:val="14"/>
          <w:szCs w:val="14"/>
          <w:color w:val="auto"/>
        </w:rPr>
        <w:t>. Any dispute, controversy or claim arising out of or relating to this Agreement, including the validity, invalidity, breach or termination thereof (a “</w:t>
      </w:r>
      <w:r>
        <w:rPr>
          <w:rFonts w:ascii="Times New Roman" w:cs="Times New Roman" w:eastAsia="Times New Roman" w:hAnsi="Times New Roman"/>
          <w:sz w:val="14"/>
          <w:szCs w:val="14"/>
          <w:u w:val="single" w:color="auto"/>
          <w:color w:val="auto"/>
        </w:rPr>
        <w:t>Dispute</w:t>
      </w:r>
      <w:r>
        <w:rPr>
          <w:rFonts w:ascii="Times New Roman" w:cs="Times New Roman" w:eastAsia="Times New Roman" w:hAnsi="Times New Roman"/>
          <w:sz w:val="14"/>
          <w:szCs w:val="14"/>
          <w:color w:val="auto"/>
        </w:rPr>
        <w:t>”), will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referred to the [***] of XENCOR and the [***] of Licensee for resolution. In the event the two individuals referred to in the preceding sentence are unable to resolve such dispute within [***] after the initial written request, then, upon the written demand of either Party, the Dispute shall be subject to arbitration, as provided below.</w:t>
      </w:r>
    </w:p>
    <w:p>
      <w:pPr>
        <w:spacing w:after="0" w:line="132" w:lineRule="exact"/>
        <w:rPr>
          <w:sz w:val="20"/>
          <w:szCs w:val="20"/>
          <w:color w:val="auto"/>
        </w:rPr>
      </w:pPr>
    </w:p>
    <w:p>
      <w:pPr>
        <w:ind w:left="1060" w:right="40" w:hanging="526"/>
        <w:spacing w:after="0" w:line="250" w:lineRule="auto"/>
        <w:tabs>
          <w:tab w:leader="none" w:pos="1040" w:val="left"/>
        </w:tabs>
        <w:rPr>
          <w:sz w:val="20"/>
          <w:szCs w:val="20"/>
          <w:color w:val="auto"/>
        </w:rPr>
      </w:pPr>
      <w:r>
        <w:rPr>
          <w:rFonts w:ascii="Times New Roman" w:cs="Times New Roman" w:eastAsia="Times New Roman" w:hAnsi="Times New Roman"/>
          <w:sz w:val="15"/>
          <w:szCs w:val="15"/>
          <w:color w:val="auto"/>
        </w:rPr>
        <w:t>16.3.2</w:t>
        <w:tab/>
        <w:t xml:space="preserve">If the Parties are unable to resolve such Dispute through the negotiations described in </w:t>
      </w:r>
      <w:r>
        <w:rPr>
          <w:rFonts w:ascii="Times New Roman" w:cs="Times New Roman" w:eastAsia="Times New Roman" w:hAnsi="Times New Roman"/>
          <w:sz w:val="15"/>
          <w:szCs w:val="15"/>
          <w:u w:val="single" w:color="auto"/>
          <w:color w:val="auto"/>
        </w:rPr>
        <w:t>Section 16.3.1</w:t>
      </w:r>
      <w:r>
        <w:rPr>
          <w:rFonts w:ascii="Times New Roman" w:cs="Times New Roman" w:eastAsia="Times New Roman" w:hAnsi="Times New Roman"/>
          <w:sz w:val="15"/>
          <w:szCs w:val="15"/>
          <w:color w:val="auto"/>
        </w:rPr>
        <w:t xml:space="preserve">, then, except in the case of a Dispute that concerns (a) the validity or infringement of a patent, trademark or copyright, or (b) any antitrust, anti-monopoly or competition law or regulation, whether or not statutory, the dispute shall be settled by arbitration, with limited discovery, administered under the [***] in force when the notice of arbitration is submitted in accordance with these rules. The arbitration proceedings shall be conducted in English, in New York, New York, and applicable arbitration association shall use the laws of the State of New York as the governing law for this Agreement and the Parties’ obligations hereunder in accordance with </w:t>
      </w:r>
      <w:r>
        <w:rPr>
          <w:rFonts w:ascii="Times New Roman" w:cs="Times New Roman" w:eastAsia="Times New Roman" w:hAnsi="Times New Roman"/>
          <w:sz w:val="15"/>
          <w:szCs w:val="15"/>
          <w:u w:val="single" w:color="auto"/>
          <w:color w:val="auto"/>
        </w:rPr>
        <w:t>Section 16.2</w:t>
      </w:r>
      <w:r>
        <w:rPr>
          <w:rFonts w:ascii="Times New Roman" w:cs="Times New Roman" w:eastAsia="Times New Roman" w:hAnsi="Times New Roman"/>
          <w:sz w:val="15"/>
          <w:szCs w:val="15"/>
          <w:color w:val="auto"/>
        </w:rPr>
        <w:t>.</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40"/>
          </w:cols>
          <w:pgMar w:left="300" w:top="760" w:right="359" w:bottom="1440" w:gutter="0" w:footer="0" w:header="0"/>
        </w:sectPr>
      </w:pPr>
    </w:p>
    <w:bookmarkStart w:id="394" w:name="page395"/>
    <w:bookmarkEnd w:id="394"/>
    <w:p>
      <w:pPr>
        <w:ind w:left="520" w:right="60" w:hanging="526"/>
        <w:spacing w:after="0" w:line="248" w:lineRule="auto"/>
        <w:tabs>
          <w:tab w:leader="none" w:pos="500" w:val="left"/>
        </w:tabs>
        <w:rPr>
          <w:sz w:val="20"/>
          <w:szCs w:val="20"/>
          <w:color w:val="auto"/>
        </w:rPr>
      </w:pPr>
      <w:r>
        <w:rPr>
          <w:rFonts w:ascii="Times New Roman" w:cs="Times New Roman" w:eastAsia="Times New Roman" w:hAnsi="Times New Roman"/>
          <w:sz w:val="15"/>
          <w:szCs w:val="15"/>
          <w:color w:val="auto"/>
        </w:rPr>
        <w:t>16.3.3</w:t>
        <w:tab/>
        <w:t>The number of arbitrators shall be [***]. The arbitrators (the “</w:t>
      </w:r>
      <w:r>
        <w:rPr>
          <w:rFonts w:ascii="Times New Roman" w:cs="Times New Roman" w:eastAsia="Times New Roman" w:hAnsi="Times New Roman"/>
          <w:sz w:val="15"/>
          <w:szCs w:val="15"/>
          <w:u w:val="single" w:color="auto"/>
          <w:color w:val="auto"/>
        </w:rPr>
        <w:t>Arbitral Tribunal</w:t>
      </w:r>
      <w:r>
        <w:rPr>
          <w:rFonts w:ascii="Times New Roman" w:cs="Times New Roman" w:eastAsia="Times New Roman" w:hAnsi="Times New Roman"/>
          <w:sz w:val="15"/>
          <w:szCs w:val="15"/>
          <w:color w:val="auto"/>
        </w:rPr>
        <w:t>”) shall be appointed as follows: (a) the claimant to the Dispute, or in the case of multiple claimants, all such claimants acting collectively (the “</w:t>
      </w:r>
      <w:r>
        <w:rPr>
          <w:rFonts w:ascii="Times New Roman" w:cs="Times New Roman" w:eastAsia="Times New Roman" w:hAnsi="Times New Roman"/>
          <w:sz w:val="15"/>
          <w:szCs w:val="15"/>
          <w:u w:val="single" w:color="auto"/>
          <w:color w:val="auto"/>
        </w:rPr>
        <w:t>Claimant</w:t>
      </w:r>
      <w:r>
        <w:rPr>
          <w:rFonts w:ascii="Times New Roman" w:cs="Times New Roman" w:eastAsia="Times New Roman" w:hAnsi="Times New Roman"/>
          <w:sz w:val="15"/>
          <w:szCs w:val="15"/>
          <w:color w:val="auto"/>
        </w:rPr>
        <w:t>”) shall select [***] and (b) the respondent to the Dispute, or in the case of more than one respondent, the respondents acting collectively (the “</w:t>
      </w:r>
      <w:r>
        <w:rPr>
          <w:rFonts w:ascii="Times New Roman" w:cs="Times New Roman" w:eastAsia="Times New Roman" w:hAnsi="Times New Roman"/>
          <w:sz w:val="15"/>
          <w:szCs w:val="15"/>
          <w:u w:val="single" w:color="auto"/>
          <w:color w:val="auto"/>
        </w:rPr>
        <w:t>Respondent</w:t>
      </w:r>
      <w:r>
        <w:rPr>
          <w:rFonts w:ascii="Times New Roman" w:cs="Times New Roman" w:eastAsia="Times New Roman" w:hAnsi="Times New Roman"/>
          <w:sz w:val="15"/>
          <w:szCs w:val="15"/>
          <w:color w:val="auto"/>
        </w:rPr>
        <w:t xml:space="preserve">”) shall select [***]. The Claimant shall nominate its arbitrator at the time of filing the notice of arbitration. The Respondent shall nominate its arbitrator within [***] after receiving the notice of arbitration. Such arbitrators shall be freely selected, and neither the Claimant nor the Respondent shall be limited in their selection to any prescribed list;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all arbitrators shall be and remain independent from the Parties, and be conflicts-free and neutral experienced arbitrators. Within [***] from the appointment of the [***]. If the [***] are in conflict with the provisions of this </w:t>
      </w:r>
      <w:r>
        <w:rPr>
          <w:rFonts w:ascii="Times New Roman" w:cs="Times New Roman" w:eastAsia="Times New Roman" w:hAnsi="Times New Roman"/>
          <w:sz w:val="15"/>
          <w:szCs w:val="15"/>
          <w:u w:val="single" w:color="auto"/>
          <w:color w:val="auto"/>
        </w:rPr>
        <w:t>Section 16.3.3</w:t>
      </w:r>
      <w:r>
        <w:rPr>
          <w:rFonts w:ascii="Times New Roman" w:cs="Times New Roman" w:eastAsia="Times New Roman" w:hAnsi="Times New Roman"/>
          <w:sz w:val="15"/>
          <w:szCs w:val="15"/>
          <w:color w:val="auto"/>
        </w:rPr>
        <w:t xml:space="preserve">, including the provisions concerning the appointment of arbitrators, the provisions of this </w:t>
      </w:r>
      <w:r>
        <w:rPr>
          <w:rFonts w:ascii="Times New Roman" w:cs="Times New Roman" w:eastAsia="Times New Roman" w:hAnsi="Times New Roman"/>
          <w:sz w:val="15"/>
          <w:szCs w:val="15"/>
          <w:u w:val="single" w:color="auto"/>
          <w:color w:val="auto"/>
        </w:rPr>
        <w:t>Section 16.3.3</w:t>
      </w:r>
      <w:r>
        <w:rPr>
          <w:rFonts w:ascii="Times New Roman" w:cs="Times New Roman" w:eastAsia="Times New Roman" w:hAnsi="Times New Roman"/>
          <w:sz w:val="15"/>
          <w:szCs w:val="15"/>
          <w:color w:val="auto"/>
        </w:rPr>
        <w:t xml:space="preserve"> shall prevail.</w:t>
      </w:r>
    </w:p>
    <w:p>
      <w:pPr>
        <w:spacing w:after="0" w:line="159" w:lineRule="exact"/>
        <w:rPr>
          <w:sz w:val="20"/>
          <w:szCs w:val="20"/>
          <w:color w:val="auto"/>
        </w:rPr>
      </w:pPr>
    </w:p>
    <w:p>
      <w:pPr>
        <w:ind w:left="520" w:hanging="526"/>
        <w:spacing w:after="0" w:line="248" w:lineRule="auto"/>
        <w:tabs>
          <w:tab w:leader="none" w:pos="500" w:val="left"/>
        </w:tabs>
        <w:rPr>
          <w:sz w:val="20"/>
          <w:szCs w:val="20"/>
          <w:color w:val="auto"/>
        </w:rPr>
      </w:pPr>
      <w:r>
        <w:rPr>
          <w:rFonts w:ascii="Times New Roman" w:cs="Times New Roman" w:eastAsia="Times New Roman" w:hAnsi="Times New Roman"/>
          <w:sz w:val="15"/>
          <w:szCs w:val="15"/>
          <w:color w:val="auto"/>
        </w:rPr>
        <w:t>16.3.4</w:t>
        <w:tab/>
        <w:t xml:space="preserve">Within [***] after the arbitrators are selected, the Parties will each submit to the arbitrators, and to one another, a written statement of their respective positions regarding the alleged Dispute. The Parties will also provide the arbitrators a copy of this Agreement, as may be amended at such time. Each party will have [***] from receipt of the other Party’s submission to provide to the arbitrator a written response thereto. Neither Party may have any communication (either written or oral) with the arbitrators other than for the sole purpose of engaging the arbitrator at the outset or as expressly permitted in this </w:t>
      </w:r>
      <w:r>
        <w:rPr>
          <w:rFonts w:ascii="Times New Roman" w:cs="Times New Roman" w:eastAsia="Times New Roman" w:hAnsi="Times New Roman"/>
          <w:sz w:val="15"/>
          <w:szCs w:val="15"/>
          <w:u w:val="single" w:color="auto"/>
          <w:color w:val="auto"/>
        </w:rPr>
        <w:t>Section 16.3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arbitrator will have the right to meet with the Parties, either alone or together, as necessary in the arbitrator’s opinion to make a determination. Based on the materials submitted, the arbitrators will determine whether any discovery process is necessary, and, if it is, the parameters of such process with the intent of resolving the arbitration as expeditiously as possible (e.g., limiting the number of depositions and the time discovery is permitted to take). The Parties and arbitrators shall employ procedures designed to resolve the conflict by arbitration within [***] of the Dispute being referred for arbitration.</w:t>
      </w:r>
    </w:p>
    <w:p>
      <w:pPr>
        <w:spacing w:after="0" w:line="156" w:lineRule="exact"/>
        <w:rPr>
          <w:sz w:val="20"/>
          <w:szCs w:val="20"/>
          <w:color w:val="auto"/>
        </w:rPr>
      </w:pPr>
    </w:p>
    <w:p>
      <w:pPr>
        <w:ind w:left="520" w:right="80" w:hanging="526"/>
        <w:spacing w:after="0" w:line="248" w:lineRule="auto"/>
        <w:tabs>
          <w:tab w:leader="none" w:pos="500" w:val="left"/>
        </w:tabs>
        <w:rPr>
          <w:sz w:val="20"/>
          <w:szCs w:val="20"/>
          <w:color w:val="auto"/>
        </w:rPr>
      </w:pPr>
      <w:r>
        <w:rPr>
          <w:rFonts w:ascii="Times New Roman" w:cs="Times New Roman" w:eastAsia="Times New Roman" w:hAnsi="Times New Roman"/>
          <w:sz w:val="15"/>
          <w:szCs w:val="15"/>
          <w:color w:val="auto"/>
        </w:rPr>
        <w:t>16.3.5</w:t>
        <w:tab/>
        <w:t xml:space="preserve">Each Party shall bear its own attorneys’ fees, costs and disbursements arising out of the arbitration, and shall pay an equal share of the fees and costs of the arbitrators;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in making their award, the Arbitral Tribunal shall have the authority to award attorney’s fees and other costs and expenses of the arbitration as they deem just and appropriate under the circumstances;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Arbitral Tribunal shall have no authority to award punitive or any other type of damages not measured by a Party’s compensatory damages and the arbitrator(s) shall have no authority to grant any award or remedy other than such awards or remedies that are available under the Applicable Law. The award of the Arbitral Tribunal shall be final and binding upon the disputing Parties, and either Party may apply to a court of competent jurisdiction for enforcement of such award. The Parties shall cooperate and use their respective Commercially Reasonable Efforts to take all actions reasonably required to facilitate the prompt enforcement of any arbitral award made by the Arbitral Tribunal.</w:t>
      </w:r>
    </w:p>
    <w:p>
      <w:pPr>
        <w:spacing w:after="0" w:line="33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11430</wp:posOffset>
            </wp:positionV>
            <wp:extent cx="7157720" cy="69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40"/>
          </w:cols>
          <w:pgMar w:left="840" w:top="762" w:right="319" w:bottom="1440" w:gutter="0" w:footer="0" w:header="0"/>
        </w:sectPr>
      </w:pPr>
    </w:p>
    <w:bookmarkStart w:id="395" w:name="page396"/>
    <w:bookmarkEnd w:id="395"/>
    <w:p>
      <w:pPr>
        <w:ind w:left="1060" w:hanging="526"/>
        <w:spacing w:after="0" w:line="250" w:lineRule="auto"/>
        <w:tabs>
          <w:tab w:leader="none" w:pos="1040" w:val="left"/>
        </w:tabs>
        <w:rPr>
          <w:sz w:val="20"/>
          <w:szCs w:val="20"/>
          <w:color w:val="auto"/>
        </w:rPr>
      </w:pPr>
      <w:r>
        <w:rPr>
          <w:rFonts w:ascii="Times New Roman" w:cs="Times New Roman" w:eastAsia="Times New Roman" w:hAnsi="Times New Roman"/>
          <w:sz w:val="15"/>
          <w:szCs w:val="15"/>
          <w:color w:val="auto"/>
        </w:rPr>
        <w:t>16.3.6</w:t>
        <w:tab/>
        <w:t>The Parties undertake and agree that all arbitral proceedings conducted with reference to this arbitration clause will be kept strictly confidential. This confidentiality undertaking shall cover all information disclosed in the course of such arbitral proceedings, as well as any decision or award that is made or declared during the proceedings. Information covered by this confidentiality undertaking may not, in any form, be disclosed to a Third Party without the written consent of the Parties. Notwithstanding the foregoing, a Party shall not be prevented from disclosing such information in order to safeguard in the best possible way his rights vis-à-vis the other Party in connection with a dispute or if the Party is obliged to so disclose pursuant to Applicable Laws.</w:t>
      </w:r>
    </w:p>
    <w:p>
      <w:pPr>
        <w:spacing w:after="0" w:line="156" w:lineRule="exact"/>
        <w:rPr>
          <w:sz w:val="20"/>
          <w:szCs w:val="20"/>
          <w:color w:val="auto"/>
        </w:rPr>
      </w:pPr>
    </w:p>
    <w:p>
      <w:pPr>
        <w:ind w:left="1060" w:right="40" w:hanging="526"/>
        <w:spacing w:after="0" w:line="250" w:lineRule="auto"/>
        <w:tabs>
          <w:tab w:leader="none" w:pos="1040" w:val="left"/>
        </w:tabs>
        <w:rPr>
          <w:sz w:val="20"/>
          <w:szCs w:val="20"/>
          <w:color w:val="auto"/>
        </w:rPr>
      </w:pPr>
      <w:r>
        <w:rPr>
          <w:rFonts w:ascii="Times New Roman" w:cs="Times New Roman" w:eastAsia="Times New Roman" w:hAnsi="Times New Roman"/>
          <w:sz w:val="15"/>
          <w:szCs w:val="15"/>
          <w:color w:val="auto"/>
        </w:rPr>
        <w:t>16.3.7</w:t>
        <w:tab/>
        <w:t>The Parties agree that nothing contained in this Agreement will deny either Party the right to seek injunctive or other equitable relief (in addition to whatever remedies it might have at law) from a court or Government Authority of competent jurisdiction applying the laws of that court or Government Authority in the context of the other Party’s breach or threat of breach of any of its obligations related to the first Party’s Confidential Information or Intellectual Property. In no event shall arbitration be initiated after the date when commencement of a legal or equitable proceeding based on the dispute, controversy or claim would be barred by the applicable New York statute of limitations.</w:t>
      </w:r>
    </w:p>
    <w:p>
      <w:pPr>
        <w:spacing w:after="0" w:line="156"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16.3.8</w:t>
      </w:r>
      <w:r>
        <w:rPr>
          <w:sz w:val="20"/>
          <w:szCs w:val="20"/>
          <w:color w:val="auto"/>
        </w:rPr>
        <w:tab/>
      </w:r>
      <w:r>
        <w:rPr>
          <w:rFonts w:ascii="Times New Roman" w:cs="Times New Roman" w:eastAsia="Times New Roman" w:hAnsi="Times New Roman"/>
          <w:sz w:val="14"/>
          <w:szCs w:val="14"/>
          <w:color w:val="auto"/>
        </w:rPr>
        <w:t>In case this Agreement or any part of it is assigned or transferred to a Third Party, such Third Party shall automatically be bound by the provisions of this arbitration clause.</w:t>
      </w:r>
    </w:p>
    <w:p>
      <w:pPr>
        <w:spacing w:after="0" w:line="179" w:lineRule="exact"/>
        <w:rPr>
          <w:sz w:val="20"/>
          <w:szCs w:val="20"/>
          <w:color w:val="auto"/>
        </w:rPr>
      </w:pPr>
    </w:p>
    <w:p>
      <w:pPr>
        <w:ind w:left="1060" w:right="120" w:hanging="526"/>
        <w:spacing w:after="0" w:line="257" w:lineRule="auto"/>
        <w:tabs>
          <w:tab w:leader="none" w:pos="1040" w:val="left"/>
        </w:tabs>
        <w:rPr>
          <w:sz w:val="20"/>
          <w:szCs w:val="20"/>
          <w:color w:val="auto"/>
        </w:rPr>
      </w:pPr>
      <w:r>
        <w:rPr>
          <w:rFonts w:ascii="Times New Roman" w:cs="Times New Roman" w:eastAsia="Times New Roman" w:hAnsi="Times New Roman"/>
          <w:sz w:val="15"/>
          <w:szCs w:val="15"/>
          <w:color w:val="auto"/>
        </w:rPr>
        <w:t>16.3.9</w:t>
        <w:tab/>
        <w:t>By agreeing to this binding arbitration provision, the Parties understand that they are waiving certain rights and protections which may otherwise be available if a dispute between the parties were determined by litigation in court, including the right to seek or obtain certain types of damages precluded by this provision, the right to a jury trial, certain rights of appeal and a right to invoke formal rules of procedure and evidence.</w:t>
      </w:r>
    </w:p>
    <w:p>
      <w:pPr>
        <w:spacing w:after="0" w:line="147" w:lineRule="exact"/>
        <w:rPr>
          <w:sz w:val="20"/>
          <w:szCs w:val="20"/>
          <w:color w:val="auto"/>
        </w:rPr>
      </w:pPr>
    </w:p>
    <w:p>
      <w:pPr>
        <w:ind w:left="540" w:hanging="526"/>
        <w:spacing w:after="0" w:line="268" w:lineRule="auto"/>
        <w:tabs>
          <w:tab w:leader="none" w:pos="520" w:val="left"/>
        </w:tabs>
        <w:rPr>
          <w:sz w:val="20"/>
          <w:szCs w:val="20"/>
          <w:color w:val="auto"/>
        </w:rPr>
      </w:pPr>
      <w:r>
        <w:rPr>
          <w:rFonts w:ascii="Times New Roman" w:cs="Times New Roman" w:eastAsia="Times New Roman" w:hAnsi="Times New Roman"/>
          <w:sz w:val="15"/>
          <w:szCs w:val="15"/>
          <w:color w:val="auto"/>
        </w:rPr>
        <w:t>16.4</w:t>
      </w:r>
      <w:r>
        <w:rPr>
          <w:sz w:val="20"/>
          <w:szCs w:val="20"/>
          <w:color w:val="auto"/>
        </w:rPr>
        <w:tab/>
      </w:r>
      <w:r>
        <w:rPr>
          <w:rFonts w:ascii="Times New Roman" w:cs="Times New Roman" w:eastAsia="Times New Roman" w:hAnsi="Times New Roman"/>
          <w:sz w:val="14"/>
          <w:szCs w:val="14"/>
          <w:b w:val="1"/>
          <w:bCs w:val="1"/>
          <w:color w:val="auto"/>
        </w:rPr>
        <w:t>Force Majeure</w:t>
      </w:r>
      <w:r>
        <w:rPr>
          <w:rFonts w:ascii="Times New Roman" w:cs="Times New Roman" w:eastAsia="Times New Roman" w:hAnsi="Times New Roman"/>
          <w:sz w:val="14"/>
          <w:szCs w:val="14"/>
          <w:color w:val="auto"/>
        </w:rPr>
        <w:t>. Neither XENCOR nor Licensee shall be liable for delay in delivery or nonperformance in whole or in part, nor shall XENCOR or Licensee have the right to terminate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this Agreement except as otherwise specifically provided in this </w:t>
      </w:r>
      <w:r>
        <w:rPr>
          <w:rFonts w:ascii="Times New Roman" w:cs="Times New Roman" w:eastAsia="Times New Roman" w:hAnsi="Times New Roman"/>
          <w:sz w:val="14"/>
          <w:szCs w:val="14"/>
          <w:u w:val="single" w:color="auto"/>
          <w:color w:val="auto"/>
        </w:rPr>
        <w:t>Section 16.4</w:t>
      </w:r>
      <w:r>
        <w:rPr>
          <w:rFonts w:ascii="Times New Roman" w:cs="Times New Roman" w:eastAsia="Times New Roman" w:hAnsi="Times New Roman"/>
          <w:sz w:val="14"/>
          <w:szCs w:val="14"/>
          <w:color w:val="auto"/>
        </w:rPr>
        <w:t>, where such delivery or performance has been affected by a condition beyond the reasonable control of XENCOR or Licensee, as applicable, including prohibition or restriction imposed by Applicable Laws (a “</w:t>
      </w:r>
      <w:r>
        <w:rPr>
          <w:rFonts w:ascii="Times New Roman" w:cs="Times New Roman" w:eastAsia="Times New Roman" w:hAnsi="Times New Roman"/>
          <w:sz w:val="14"/>
          <w:szCs w:val="14"/>
          <w:u w:val="single" w:color="auto"/>
          <w:color w:val="auto"/>
        </w:rPr>
        <w:t>Force Majeure Event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Party affected by a Force Majeure Event (the “</w:t>
      </w:r>
      <w:r>
        <w:rPr>
          <w:rFonts w:ascii="Times New Roman" w:cs="Times New Roman" w:eastAsia="Times New Roman" w:hAnsi="Times New Roman"/>
          <w:sz w:val="14"/>
          <w:szCs w:val="14"/>
          <w:u w:val="single" w:color="auto"/>
          <w:color w:val="auto"/>
        </w:rPr>
        <w:t>Force Majeure Party</w:t>
      </w:r>
      <w:r>
        <w:rPr>
          <w:rFonts w:ascii="Times New Roman" w:cs="Times New Roman" w:eastAsia="Times New Roman" w:hAnsi="Times New Roman"/>
          <w:sz w:val="14"/>
          <w:szCs w:val="14"/>
          <w:color w:val="auto"/>
        </w:rPr>
        <w:t xml:space="preserve">”) shall, within [***] after its occurrence, give notice to XENCOR (if the Force Majeure Party is Licensee) or Licensee (if the Force Majeure Party is XENCOR) stating the nature of the condition, its anticipated duration and any action being taken to avoid or minimize its effect. The suspension of performance shall be of no greater scope and no longer duration than is reasonably required and the Force Majeure Party shall use its reasonable efforts to remedy its inability to perform;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the suspension of performance continues for [***] after the date of the occurrence of the Force Majeure Event, and such failure to perform would constitute a material breach of this Agreement in the absence of such Force Majeure Event, then the non-breaching Party shall have the right to terminate this Agreement.</w:t>
      </w:r>
    </w:p>
    <w:p>
      <w:pPr>
        <w:spacing w:after="0" w:line="144" w:lineRule="exact"/>
        <w:rPr>
          <w:sz w:val="20"/>
          <w:szCs w:val="20"/>
          <w:color w:val="auto"/>
        </w:rPr>
      </w:pPr>
    </w:p>
    <w:p>
      <w:pPr>
        <w:ind w:left="540" w:right="20" w:hanging="526"/>
        <w:spacing w:after="0" w:line="251" w:lineRule="auto"/>
        <w:tabs>
          <w:tab w:leader="none" w:pos="520" w:val="left"/>
        </w:tabs>
        <w:rPr>
          <w:sz w:val="20"/>
          <w:szCs w:val="20"/>
          <w:color w:val="auto"/>
        </w:rPr>
      </w:pPr>
      <w:r>
        <w:rPr>
          <w:rFonts w:ascii="Times New Roman" w:cs="Times New Roman" w:eastAsia="Times New Roman" w:hAnsi="Times New Roman"/>
          <w:sz w:val="15"/>
          <w:szCs w:val="15"/>
          <w:color w:val="auto"/>
        </w:rPr>
        <w:t>16.5</w:t>
      </w:r>
      <w:r>
        <w:rPr>
          <w:sz w:val="20"/>
          <w:szCs w:val="20"/>
          <w:color w:val="auto"/>
        </w:rPr>
        <w:tab/>
      </w:r>
      <w:r>
        <w:rPr>
          <w:rFonts w:ascii="Times New Roman" w:cs="Times New Roman" w:eastAsia="Times New Roman" w:hAnsi="Times New Roman"/>
          <w:sz w:val="15"/>
          <w:szCs w:val="15"/>
          <w:b w:val="1"/>
          <w:bCs w:val="1"/>
          <w:color w:val="auto"/>
        </w:rPr>
        <w:t>Waiver</w:t>
      </w:r>
      <w:r>
        <w:rPr>
          <w:rFonts w:ascii="Times New Roman" w:cs="Times New Roman" w:eastAsia="Times New Roman" w:hAnsi="Times New Roman"/>
          <w:sz w:val="15"/>
          <w:szCs w:val="15"/>
          <w:color w:val="auto"/>
        </w:rPr>
        <w:t>. A Party’s failure to enforce, at any time or for any period of time, any provision of this Agreement, or to exercise any right or remedy, does not constitute a waiver of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provision, right or remedy, or prevent such Party thereafter from enforcing any or all provisions and exercising any or all other rights and remedies. Any term or condition of this Agreement may be waived at any time by the Party that is entitled to the benefit thereof, but no such waiver shall be effective unless set forth in a written instrument duly executed by or on behalf of the Party waiving such term or condition. The exercise of any right or remedy does not constitute an election or prevent the exercise of any or all rights or remedies, all rights and remedies being cumulative.</w:t>
      </w: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2" w:right="339" w:bottom="1440" w:gutter="0" w:footer="0" w:header="0"/>
        </w:sectPr>
      </w:pPr>
    </w:p>
    <w:bookmarkStart w:id="396" w:name="page397"/>
    <w:bookmarkEnd w:id="396"/>
    <w:p>
      <w:pPr>
        <w:spacing w:after="0"/>
        <w:tabs>
          <w:tab w:leader="none" w:pos="520" w:val="left"/>
        </w:tabs>
        <w:rPr>
          <w:sz w:val="20"/>
          <w:szCs w:val="20"/>
          <w:color w:val="auto"/>
        </w:rPr>
      </w:pPr>
      <w:r>
        <w:rPr>
          <w:rFonts w:ascii="Times New Roman" w:cs="Times New Roman" w:eastAsia="Times New Roman" w:hAnsi="Times New Roman"/>
          <w:sz w:val="15"/>
          <w:szCs w:val="15"/>
          <w:color w:val="auto"/>
        </w:rPr>
        <w:t>16.6</w:t>
      </w:r>
      <w:r>
        <w:rPr>
          <w:sz w:val="20"/>
          <w:szCs w:val="20"/>
          <w:color w:val="auto"/>
        </w:rPr>
        <w:tab/>
      </w:r>
      <w:r>
        <w:rPr>
          <w:rFonts w:ascii="Times New Roman" w:cs="Times New Roman" w:eastAsia="Times New Roman" w:hAnsi="Times New Roman"/>
          <w:sz w:val="14"/>
          <w:szCs w:val="14"/>
          <w:b w:val="1"/>
          <w:bCs w:val="1"/>
          <w:color w:val="auto"/>
        </w:rPr>
        <w:t>Notices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60" w:hanging="526"/>
        <w:spacing w:after="0" w:line="250" w:lineRule="auto"/>
        <w:tabs>
          <w:tab w:leader="none" w:pos="1040" w:val="left"/>
        </w:tabs>
        <w:rPr>
          <w:sz w:val="20"/>
          <w:szCs w:val="20"/>
          <w:color w:val="auto"/>
        </w:rPr>
      </w:pPr>
      <w:r>
        <w:rPr>
          <w:rFonts w:ascii="Times New Roman" w:cs="Times New Roman" w:eastAsia="Times New Roman" w:hAnsi="Times New Roman"/>
          <w:sz w:val="15"/>
          <w:szCs w:val="15"/>
          <w:color w:val="auto"/>
        </w:rPr>
        <w:t>16.6.1</w:t>
      </w:r>
      <w:r>
        <w:rPr>
          <w:sz w:val="20"/>
          <w:szCs w:val="20"/>
          <w:color w:val="auto"/>
        </w:rPr>
        <w:tab/>
      </w:r>
      <w:r>
        <w:rPr>
          <w:rFonts w:ascii="Times New Roman" w:cs="Times New Roman" w:eastAsia="Times New Roman" w:hAnsi="Times New Roman"/>
          <w:sz w:val="15"/>
          <w:szCs w:val="15"/>
          <w:b w:val="1"/>
          <w:bCs w:val="1"/>
          <w:color w:val="auto"/>
        </w:rPr>
        <w:t>Notice Requirements</w:t>
      </w:r>
      <w:r>
        <w:rPr>
          <w:rFonts w:ascii="Times New Roman" w:cs="Times New Roman" w:eastAsia="Times New Roman" w:hAnsi="Times New Roman"/>
          <w:sz w:val="15"/>
          <w:szCs w:val="15"/>
          <w:color w:val="auto"/>
        </w:rPr>
        <w:t>. All notices and other communications required or permitted hereunder shall be in writing and may be delivered personally, sent by overnight delivery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service, mailed by registered or certified mail, or postage prepaid to the addresses for each Party set forth below, with a courtesy copy sent by email, which will not constitute notice. Each such notice or other communication shall be treated as effective or having been given (i) when delivered, if delivered personally; (ii) on the next Business Day, if sent by overnight delivery; or (iii) forty-eight (48) hours after mailing, if mailed by registered or certified mail. A Party may change its notice address at any time by delivery of written notice of such change to the other Party. This </w:t>
      </w:r>
      <w:r>
        <w:rPr>
          <w:rFonts w:ascii="Times New Roman" w:cs="Times New Roman" w:eastAsia="Times New Roman" w:hAnsi="Times New Roman"/>
          <w:sz w:val="15"/>
          <w:szCs w:val="15"/>
          <w:u w:val="single" w:color="auto"/>
          <w:color w:val="auto"/>
        </w:rPr>
        <w:t>Section 16.6</w:t>
      </w:r>
      <w:r>
        <w:rPr>
          <w:rFonts w:ascii="Times New Roman" w:cs="Times New Roman" w:eastAsia="Times New Roman" w:hAnsi="Times New Roman"/>
          <w:sz w:val="15"/>
          <w:szCs w:val="15"/>
          <w:color w:val="auto"/>
        </w:rPr>
        <w:t xml:space="preserve"> is not intended to govern the day-to-day business communications necessary between the Parties in performing their obligations under the terms of this Agreement.</w:t>
      </w:r>
    </w:p>
    <w:p>
      <w:pPr>
        <w:spacing w:after="0" w:line="152"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16.6.2</w:t>
      </w:r>
      <w:r>
        <w:rPr>
          <w:sz w:val="20"/>
          <w:szCs w:val="20"/>
          <w:color w:val="auto"/>
        </w:rPr>
        <w:tab/>
      </w:r>
      <w:r>
        <w:rPr>
          <w:rFonts w:ascii="Times New Roman" w:cs="Times New Roman" w:eastAsia="Times New Roman" w:hAnsi="Times New Roman"/>
          <w:sz w:val="14"/>
          <w:szCs w:val="14"/>
          <w:b w:val="1"/>
          <w:bCs w:val="1"/>
          <w:color w:val="auto"/>
        </w:rPr>
        <w:t>Addresses for Notice</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u w:val="single" w:color="auto"/>
          <w:color w:val="auto"/>
        </w:rPr>
        <w:t>Licensee</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With copies to (which shall not constitute notice):</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540"/>
        <w:spacing w:after="0"/>
        <w:tabs>
          <w:tab w:leader="none" w:pos="2520" w:val="left"/>
        </w:tabs>
        <w:rPr>
          <w:sz w:val="20"/>
          <w:szCs w:val="20"/>
          <w:color w:val="auto"/>
        </w:rPr>
      </w:pPr>
      <w:r>
        <w:rPr>
          <w:rFonts w:ascii="Times New Roman" w:cs="Times New Roman" w:eastAsia="Times New Roman" w:hAnsi="Times New Roman"/>
          <w:sz w:val="15"/>
          <w:szCs w:val="15"/>
          <w:u w:val="single" w:color="auto"/>
          <w:color w:val="auto"/>
        </w:rPr>
        <w:t>XENCOR</w:t>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With copies to (which shall not constitute notice):</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w:t>
      </w:r>
    </w:p>
    <w:p>
      <w:pPr>
        <w:spacing w:after="0" w:line="177" w:lineRule="exact"/>
        <w:rPr>
          <w:sz w:val="20"/>
          <w:szCs w:val="20"/>
          <w:color w:val="auto"/>
        </w:rPr>
      </w:pPr>
    </w:p>
    <w:p>
      <w:pPr>
        <w:ind w:left="540" w:right="20" w:hanging="526"/>
        <w:spacing w:after="0" w:line="253" w:lineRule="auto"/>
        <w:tabs>
          <w:tab w:leader="none" w:pos="520" w:val="left"/>
        </w:tabs>
        <w:rPr>
          <w:sz w:val="20"/>
          <w:szCs w:val="20"/>
          <w:color w:val="auto"/>
        </w:rPr>
      </w:pPr>
      <w:r>
        <w:rPr>
          <w:rFonts w:ascii="Times New Roman" w:cs="Times New Roman" w:eastAsia="Times New Roman" w:hAnsi="Times New Roman"/>
          <w:sz w:val="15"/>
          <w:szCs w:val="15"/>
          <w:color w:val="auto"/>
        </w:rPr>
        <w:t>16.7</w:t>
      </w:r>
      <w:r>
        <w:rPr>
          <w:sz w:val="20"/>
          <w:szCs w:val="20"/>
          <w:color w:val="auto"/>
        </w:rPr>
        <w:tab/>
      </w:r>
      <w:r>
        <w:rPr>
          <w:rFonts w:ascii="Times New Roman" w:cs="Times New Roman" w:eastAsia="Times New Roman" w:hAnsi="Times New Roman"/>
          <w:sz w:val="15"/>
          <w:szCs w:val="15"/>
          <w:b w:val="1"/>
          <w:bCs w:val="1"/>
          <w:color w:val="auto"/>
        </w:rPr>
        <w:t>Entire Agreement</w:t>
      </w:r>
      <w:r>
        <w:rPr>
          <w:rFonts w:ascii="Times New Roman" w:cs="Times New Roman" w:eastAsia="Times New Roman" w:hAnsi="Times New Roman"/>
          <w:sz w:val="15"/>
          <w:szCs w:val="15"/>
          <w:color w:val="auto"/>
        </w:rPr>
        <w:t>. This Agreement, including the Exhibits and Schedules attached hereto, constitutes the entire agreement between the Parties with respect to the subject matter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hereof and supersedes all prior or contemporaneous understandings or agreements, whether written or oral, with respect to the subject matter hereof. Each Party confirms that it is not relying on any representations or warranties of the other Party, except as specifically set forth herein. No amendment or modification hereof shall be binding upon the Parties unless in writing and duly executed by authorized representatives of both Parties.</w:t>
      </w:r>
    </w:p>
    <w:p>
      <w:pPr>
        <w:spacing w:after="0" w:line="152" w:lineRule="exact"/>
        <w:rPr>
          <w:sz w:val="20"/>
          <w:szCs w:val="20"/>
          <w:color w:val="auto"/>
        </w:rPr>
      </w:pPr>
    </w:p>
    <w:p>
      <w:pPr>
        <w:ind w:left="540" w:right="6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16.8</w:t>
      </w:r>
      <w:r>
        <w:rPr>
          <w:sz w:val="20"/>
          <w:szCs w:val="20"/>
          <w:color w:val="auto"/>
        </w:rPr>
        <w:tab/>
      </w:r>
      <w:r>
        <w:rPr>
          <w:rFonts w:ascii="Times New Roman" w:cs="Times New Roman" w:eastAsia="Times New Roman" w:hAnsi="Times New Roman"/>
          <w:sz w:val="15"/>
          <w:szCs w:val="15"/>
          <w:b w:val="1"/>
          <w:bCs w:val="1"/>
          <w:color w:val="auto"/>
        </w:rPr>
        <w:t>Exhibits</w:t>
      </w:r>
      <w:r>
        <w:rPr>
          <w:rFonts w:ascii="Times New Roman" w:cs="Times New Roman" w:eastAsia="Times New Roman" w:hAnsi="Times New Roman"/>
          <w:sz w:val="15"/>
          <w:szCs w:val="15"/>
          <w:color w:val="auto"/>
        </w:rPr>
        <w:t>. All Exhibits and Schedules referred to in this Agreement are intended to be, and hereby are, specifically incorporated into and made a part of this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in the event of any conflict or any inconsistency between any term or condition of this Agreement and any term or condition of any Exhibit, Schedule or other attachment hereto (including the Development Plan, but excluding the Upstream Licenses set forth in </w:t>
      </w:r>
      <w:r>
        <w:rPr>
          <w:rFonts w:ascii="Times New Roman" w:cs="Times New Roman" w:eastAsia="Times New Roman" w:hAnsi="Times New Roman"/>
          <w:sz w:val="15"/>
          <w:szCs w:val="15"/>
          <w:u w:val="single" w:color="auto"/>
          <w:color w:val="auto"/>
        </w:rPr>
        <w:t>Schedule 1.77</w:t>
      </w:r>
      <w:r>
        <w:rPr>
          <w:rFonts w:ascii="Times New Roman" w:cs="Times New Roman" w:eastAsia="Times New Roman" w:hAnsi="Times New Roman"/>
          <w:sz w:val="15"/>
          <w:szCs w:val="15"/>
          <w:color w:val="auto"/>
        </w:rPr>
        <w:t>), the terms and conditions of this Agreement shall control.</w:t>
      </w: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0" w:right="339" w:bottom="1440" w:gutter="0" w:footer="0" w:header="0"/>
        </w:sectPr>
      </w:pPr>
    </w:p>
    <w:bookmarkStart w:id="397" w:name="page398"/>
    <w:bookmarkEnd w:id="397"/>
    <w:p>
      <w:pPr>
        <w:ind w:left="540" w:right="2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16.9</w:t>
      </w:r>
      <w:r>
        <w:rPr>
          <w:sz w:val="20"/>
          <w:szCs w:val="20"/>
          <w:color w:val="auto"/>
        </w:rPr>
        <w:tab/>
      </w:r>
      <w:r>
        <w:rPr>
          <w:rFonts w:ascii="Times New Roman" w:cs="Times New Roman" w:eastAsia="Times New Roman" w:hAnsi="Times New Roman"/>
          <w:sz w:val="15"/>
          <w:szCs w:val="15"/>
          <w:b w:val="1"/>
          <w:bCs w:val="1"/>
          <w:color w:val="auto"/>
        </w:rPr>
        <w:t>No Benefit to Others</w:t>
      </w:r>
      <w:r>
        <w:rPr>
          <w:rFonts w:ascii="Times New Roman" w:cs="Times New Roman" w:eastAsia="Times New Roman" w:hAnsi="Times New Roman"/>
          <w:sz w:val="15"/>
          <w:szCs w:val="15"/>
          <w:color w:val="auto"/>
        </w:rPr>
        <w:t>. The provisions of this Agreement are for the sole benefit of the Parties and their successors and permitted assigns, and they shall not be construed as conferring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any rights in any other Persons except as otherwise expressly provided in this Agreement.</w:t>
      </w:r>
    </w:p>
    <w:p>
      <w:pPr>
        <w:spacing w:after="0" w:line="136" w:lineRule="exact"/>
        <w:rPr>
          <w:sz w:val="20"/>
          <w:szCs w:val="20"/>
          <w:color w:val="auto"/>
        </w:rPr>
      </w:pPr>
    </w:p>
    <w:p>
      <w:pPr>
        <w:ind w:left="540" w:right="120" w:hanging="526"/>
        <w:spacing w:after="0" w:line="251" w:lineRule="auto"/>
        <w:tabs>
          <w:tab w:leader="none" w:pos="520" w:val="left"/>
        </w:tabs>
        <w:rPr>
          <w:sz w:val="20"/>
          <w:szCs w:val="20"/>
          <w:color w:val="auto"/>
        </w:rPr>
      </w:pPr>
      <w:r>
        <w:rPr>
          <w:rFonts w:ascii="Times New Roman" w:cs="Times New Roman" w:eastAsia="Times New Roman" w:hAnsi="Times New Roman"/>
          <w:sz w:val="15"/>
          <w:szCs w:val="15"/>
          <w:color w:val="auto"/>
        </w:rPr>
        <w:t>16.10</w:t>
      </w:r>
      <w:r>
        <w:rPr>
          <w:sz w:val="20"/>
          <w:szCs w:val="20"/>
          <w:color w:val="auto"/>
        </w:rPr>
        <w:tab/>
      </w:r>
      <w:r>
        <w:rPr>
          <w:rFonts w:ascii="Times New Roman" w:cs="Times New Roman" w:eastAsia="Times New Roman" w:hAnsi="Times New Roman"/>
          <w:sz w:val="15"/>
          <w:szCs w:val="15"/>
          <w:b w:val="1"/>
          <w:bCs w:val="1"/>
          <w:color w:val="auto"/>
        </w:rPr>
        <w:t>Severability</w:t>
      </w:r>
      <w:r>
        <w:rPr>
          <w:rFonts w:ascii="Times New Roman" w:cs="Times New Roman" w:eastAsia="Times New Roman" w:hAnsi="Times New Roman"/>
          <w:sz w:val="15"/>
          <w:szCs w:val="15"/>
          <w:color w:val="auto"/>
        </w:rPr>
        <w:t>. If any provision hereof should be invalid, illegal or unenforceable in any respect, then, to the fullest extent permitted by Applicable Law, (a) all other provisions hereof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shall remain in full force and effect and shall be liberally construed in order to carry out the intent of the Parties as nearly as may be possible, and (b) the Parties shall use their best efforts to negotiate a provision, in replacement of the provision held invalid, illegal or unenforceable, that is consistent with Applicable Law and accomplishes, as nearly as possible, the original intention of the Parties with respect thereto. To the fullest extent permitted by Applicable Law, each Party hereby waives any provision of law that would render any provision hereof prohibited or unenforceable in any respect.</w:t>
      </w:r>
    </w:p>
    <w:p>
      <w:pPr>
        <w:spacing w:after="0" w:line="153" w:lineRule="exact"/>
        <w:rPr>
          <w:sz w:val="20"/>
          <w:szCs w:val="20"/>
          <w:color w:val="auto"/>
        </w:rPr>
      </w:pPr>
    </w:p>
    <w:p>
      <w:pPr>
        <w:jc w:val="center"/>
        <w:ind w:right="40"/>
        <w:spacing w:after="0"/>
        <w:tabs>
          <w:tab w:leader="none" w:pos="180" w:val="left"/>
        </w:tabs>
        <w:rPr>
          <w:sz w:val="20"/>
          <w:szCs w:val="20"/>
          <w:color w:val="auto"/>
        </w:rPr>
      </w:pPr>
      <w:r>
        <w:rPr>
          <w:rFonts w:ascii="Times New Roman" w:cs="Times New Roman" w:eastAsia="Times New Roman" w:hAnsi="Times New Roman"/>
          <w:sz w:val="15"/>
          <w:szCs w:val="15"/>
          <w:color w:val="auto"/>
        </w:rPr>
        <w:t>16.11</w:t>
      </w:r>
      <w:r>
        <w:rPr>
          <w:sz w:val="20"/>
          <w:szCs w:val="20"/>
          <w:color w:val="auto"/>
        </w:rPr>
        <w:tab/>
      </w:r>
      <w:r>
        <w:rPr>
          <w:rFonts w:ascii="Times New Roman" w:cs="Times New Roman" w:eastAsia="Times New Roman" w:hAnsi="Times New Roman"/>
          <w:sz w:val="14"/>
          <w:szCs w:val="14"/>
          <w:b w:val="1"/>
          <w:bCs w:val="1"/>
          <w:color w:val="auto"/>
        </w:rPr>
        <w:t>Further Assurance</w:t>
      </w:r>
      <w:r>
        <w:rPr>
          <w:rFonts w:ascii="Times New Roman" w:cs="Times New Roman" w:eastAsia="Times New Roman" w:hAnsi="Times New Roman"/>
          <w:sz w:val="14"/>
          <w:szCs w:val="14"/>
          <w:color w:val="auto"/>
        </w:rPr>
        <w:t>. Each Party shall duly execute and deliver, or cause to be duly executed and delivered, such further instruments and do and cause to be done such further acts and</w:t>
      </w:r>
    </w:p>
    <w:p>
      <w:pPr>
        <w:spacing w:after="0" w:line="20" w:lineRule="exact"/>
        <w:rPr>
          <w:sz w:val="20"/>
          <w:szCs w:val="20"/>
          <w:color w:val="auto"/>
        </w:rPr>
      </w:pPr>
    </w:p>
    <w:p>
      <w:pPr>
        <w:ind w:left="540"/>
        <w:spacing w:after="0" w:line="246" w:lineRule="auto"/>
        <w:rPr>
          <w:sz w:val="20"/>
          <w:szCs w:val="20"/>
          <w:color w:val="auto"/>
        </w:rPr>
      </w:pPr>
      <w:r>
        <w:rPr>
          <w:rFonts w:ascii="Times New Roman" w:cs="Times New Roman" w:eastAsia="Times New Roman" w:hAnsi="Times New Roman"/>
          <w:sz w:val="15"/>
          <w:szCs w:val="15"/>
          <w:color w:val="auto"/>
        </w:rPr>
        <w:t>things, including the filing of such assignments, agreements, documents and instruments, as may be necessary or as the other Party may reasonably request to carry out more effectively the provisions and purposes hereof, or to better assure and confirm unto such other Party its rights and remedies under this Agreement. Each Party shall respond, as promptly as practicable, to the other Party’s requests for information in the Control of such Party to the extent that the requesting Party reasonably requires such information to comply with Applicable Law or to perform its obligations under this Agreement.</w:t>
      </w:r>
    </w:p>
    <w:p>
      <w:pPr>
        <w:spacing w:after="0" w:line="155" w:lineRule="exact"/>
        <w:rPr>
          <w:sz w:val="20"/>
          <w:szCs w:val="20"/>
          <w:color w:val="auto"/>
        </w:rPr>
      </w:pPr>
    </w:p>
    <w:p>
      <w:pPr>
        <w:ind w:left="540" w:right="16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16.12</w:t>
      </w:r>
      <w:r>
        <w:rPr>
          <w:sz w:val="20"/>
          <w:szCs w:val="20"/>
          <w:color w:val="auto"/>
        </w:rPr>
        <w:tab/>
      </w:r>
      <w:r>
        <w:rPr>
          <w:rFonts w:ascii="Times New Roman" w:cs="Times New Roman" w:eastAsia="Times New Roman" w:hAnsi="Times New Roman"/>
          <w:sz w:val="15"/>
          <w:szCs w:val="15"/>
          <w:b w:val="1"/>
          <w:bCs w:val="1"/>
          <w:color w:val="auto"/>
        </w:rPr>
        <w:t>Publicity</w:t>
      </w:r>
      <w:r>
        <w:rPr>
          <w:rFonts w:ascii="Times New Roman" w:cs="Times New Roman" w:eastAsia="Times New Roman" w:hAnsi="Times New Roman"/>
          <w:sz w:val="15"/>
          <w:szCs w:val="15"/>
          <w:color w:val="auto"/>
        </w:rPr>
        <w:t>. Subject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10.1.6</w:t>
      </w:r>
      <w:r>
        <w:rPr>
          <w:rFonts w:ascii="Times New Roman" w:cs="Times New Roman" w:eastAsia="Times New Roman" w:hAnsi="Times New Roman"/>
          <w:sz w:val="15"/>
          <w:szCs w:val="15"/>
          <w:color w:val="auto"/>
        </w:rPr>
        <w:t>, neither Party shall issue a press release or make any public announcement or other public disclosure with respect to any of the transactions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contemplated herein without obtaining the prior written consent of the other Party;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 disclosure shall be permitted without the other Party’s consent to the extent that it does not contain information beyond that included in a prior disclosure approved in writing by both Parties.</w:t>
      </w:r>
    </w:p>
    <w:p>
      <w:pPr>
        <w:spacing w:after="0" w:line="147" w:lineRule="exact"/>
        <w:rPr>
          <w:sz w:val="20"/>
          <w:szCs w:val="20"/>
          <w:color w:val="auto"/>
        </w:rPr>
      </w:pPr>
    </w:p>
    <w:p>
      <w:pPr>
        <w:ind w:left="540" w:right="180" w:hanging="526"/>
        <w:spacing w:after="0" w:line="277" w:lineRule="auto"/>
        <w:tabs>
          <w:tab w:leader="none" w:pos="520" w:val="left"/>
        </w:tabs>
        <w:rPr>
          <w:sz w:val="20"/>
          <w:szCs w:val="20"/>
          <w:color w:val="auto"/>
        </w:rPr>
      </w:pPr>
      <w:r>
        <w:rPr>
          <w:rFonts w:ascii="Times New Roman" w:cs="Times New Roman" w:eastAsia="Times New Roman" w:hAnsi="Times New Roman"/>
          <w:sz w:val="15"/>
          <w:szCs w:val="15"/>
          <w:color w:val="auto"/>
        </w:rPr>
        <w:t>16.13</w:t>
      </w:r>
      <w:r>
        <w:rPr>
          <w:sz w:val="20"/>
          <w:szCs w:val="20"/>
          <w:color w:val="auto"/>
        </w:rPr>
        <w:tab/>
      </w:r>
      <w:r>
        <w:rPr>
          <w:rFonts w:ascii="Times New Roman" w:cs="Times New Roman" w:eastAsia="Times New Roman" w:hAnsi="Times New Roman"/>
          <w:sz w:val="14"/>
          <w:szCs w:val="14"/>
          <w:b w:val="1"/>
          <w:bCs w:val="1"/>
          <w:color w:val="auto"/>
        </w:rPr>
        <w:t>Relationship of the Parties</w:t>
      </w:r>
      <w:r>
        <w:rPr>
          <w:rFonts w:ascii="Times New Roman" w:cs="Times New Roman" w:eastAsia="Times New Roman" w:hAnsi="Times New Roman"/>
          <w:sz w:val="14"/>
          <w:szCs w:val="14"/>
          <w:color w:val="auto"/>
        </w:rPr>
        <w:t>. Nothing contained in this Agreement shall be construed as creating a partnership, joint venture or agency relationship between the Parties hereto or,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granting to either Party the authority to bind or contract any obligation in the name of or on the account of the other Party, or to make any statements, representations, guarantees or warranties on behalf of the other Party. All Persons employed by a Party or any of its Affiliates shall be employees of such Party or its Affiliates and not of the other Party or such other Party’s Affiliates, and all costs and obligations incurred by reason of any such employment shall be for the account and expense of such Party or its Affiliates, as applicable.</w:t>
      </w:r>
    </w:p>
    <w:p>
      <w:pPr>
        <w:spacing w:after="0" w:line="136" w:lineRule="exact"/>
        <w:rPr>
          <w:sz w:val="20"/>
          <w:szCs w:val="20"/>
          <w:color w:val="auto"/>
        </w:rPr>
      </w:pPr>
    </w:p>
    <w:p>
      <w:pPr>
        <w:ind w:left="540" w:right="80" w:hanging="526"/>
        <w:spacing w:after="0" w:line="250" w:lineRule="auto"/>
        <w:tabs>
          <w:tab w:leader="none" w:pos="520" w:val="left"/>
        </w:tabs>
        <w:rPr>
          <w:sz w:val="20"/>
          <w:szCs w:val="20"/>
          <w:color w:val="auto"/>
        </w:rPr>
      </w:pPr>
      <w:r>
        <w:rPr>
          <w:rFonts w:ascii="Times New Roman" w:cs="Times New Roman" w:eastAsia="Times New Roman" w:hAnsi="Times New Roman"/>
          <w:sz w:val="15"/>
          <w:szCs w:val="15"/>
          <w:color w:val="auto"/>
        </w:rPr>
        <w:t>16.14</w:t>
      </w:r>
      <w:r>
        <w:rPr>
          <w:sz w:val="20"/>
          <w:szCs w:val="20"/>
          <w:color w:val="auto"/>
        </w:rPr>
        <w:tab/>
      </w:r>
      <w:r>
        <w:rPr>
          <w:rFonts w:ascii="Times New Roman" w:cs="Times New Roman" w:eastAsia="Times New Roman" w:hAnsi="Times New Roman"/>
          <w:sz w:val="15"/>
          <w:szCs w:val="15"/>
          <w:b w:val="1"/>
          <w:bCs w:val="1"/>
          <w:color w:val="auto"/>
        </w:rPr>
        <w:t>Affiliates</w:t>
      </w:r>
      <w:r>
        <w:rPr>
          <w:rFonts w:ascii="Times New Roman" w:cs="Times New Roman" w:eastAsia="Times New Roman" w:hAnsi="Times New Roman"/>
          <w:sz w:val="15"/>
          <w:szCs w:val="15"/>
          <w:color w:val="auto"/>
        </w:rPr>
        <w:t>. Each Party shall cause its respective Affiliates to comply fully with the provisions of this Agreement to the extent such provisions relate, or are intended to relate to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Affiliates, as if such Affiliates were expressly named as joint obligors hereunder. Without limiting the generality of the foregoing or </w:t>
      </w:r>
      <w:r>
        <w:rPr>
          <w:rFonts w:ascii="Times New Roman" w:cs="Times New Roman" w:eastAsia="Times New Roman" w:hAnsi="Times New Roman"/>
          <w:sz w:val="15"/>
          <w:szCs w:val="15"/>
          <w:u w:val="single" w:color="auto"/>
          <w:color w:val="auto"/>
        </w:rPr>
        <w:t>Section 16.1</w:t>
      </w:r>
      <w:r>
        <w:rPr>
          <w:rFonts w:ascii="Times New Roman" w:cs="Times New Roman" w:eastAsia="Times New Roman" w:hAnsi="Times New Roman"/>
          <w:sz w:val="15"/>
          <w:szCs w:val="15"/>
          <w:color w:val="auto"/>
        </w:rPr>
        <w:t xml:space="preserve">, if any obligations of a Party hereunder are delegated to or performed by any of such Party’s Affiliate as permitted under </w:t>
      </w:r>
      <w:r>
        <w:rPr>
          <w:rFonts w:ascii="Times New Roman" w:cs="Times New Roman" w:eastAsia="Times New Roman" w:hAnsi="Times New Roman"/>
          <w:sz w:val="15"/>
          <w:szCs w:val="15"/>
          <w:u w:val="single" w:color="auto"/>
          <w:color w:val="auto"/>
        </w:rPr>
        <w:t>Section 16.1</w:t>
      </w:r>
      <w:r>
        <w:rPr>
          <w:rFonts w:ascii="Times New Roman" w:cs="Times New Roman" w:eastAsia="Times New Roman" w:hAnsi="Times New Roman"/>
          <w:sz w:val="15"/>
          <w:szCs w:val="15"/>
          <w:color w:val="auto"/>
        </w:rPr>
        <w:t>, such obligations will be deemed satisfied upon performance by such Affiliate. Each Party hereby expressly waives any requirement that the other Party exhausts any right, power or remedy, or proceed against an Affiliate, for any obligation or performance hereunder prior to proceeding directly against such Party. Wherever in this Agreement the Parties delegate responsibility to Affiliates, the Parties agree that such entities may not make decisions inconsistent with this Agreement, amend the terms of this Agreement or act contrary to its terms in any way.</w:t>
      </w: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0" w:right="339" w:bottom="1440" w:gutter="0" w:footer="0" w:header="0"/>
        </w:sectPr>
      </w:pPr>
    </w:p>
    <w:bookmarkStart w:id="398" w:name="page399"/>
    <w:bookmarkEnd w:id="398"/>
    <w:p>
      <w:pPr>
        <w:ind w:left="540" w:hanging="526"/>
        <w:spacing w:after="0" w:line="272" w:lineRule="auto"/>
        <w:tabs>
          <w:tab w:leader="none" w:pos="520" w:val="left"/>
        </w:tabs>
        <w:rPr>
          <w:sz w:val="20"/>
          <w:szCs w:val="20"/>
          <w:color w:val="auto"/>
        </w:rPr>
      </w:pPr>
      <w:r>
        <w:rPr>
          <w:rFonts w:ascii="Times New Roman" w:cs="Times New Roman" w:eastAsia="Times New Roman" w:hAnsi="Times New Roman"/>
          <w:sz w:val="15"/>
          <w:szCs w:val="15"/>
          <w:color w:val="auto"/>
        </w:rPr>
        <w:t>16.15</w:t>
      </w:r>
      <w:r>
        <w:rPr>
          <w:sz w:val="20"/>
          <w:szCs w:val="20"/>
          <w:color w:val="auto"/>
        </w:rPr>
        <w:tab/>
      </w:r>
      <w:r>
        <w:rPr>
          <w:rFonts w:ascii="Times New Roman" w:cs="Times New Roman" w:eastAsia="Times New Roman" w:hAnsi="Times New Roman"/>
          <w:sz w:val="15"/>
          <w:szCs w:val="15"/>
          <w:b w:val="1"/>
          <w:bCs w:val="1"/>
          <w:color w:val="auto"/>
        </w:rPr>
        <w:t>Expenses</w:t>
      </w:r>
      <w:r>
        <w:rPr>
          <w:rFonts w:ascii="Times New Roman" w:cs="Times New Roman" w:eastAsia="Times New Roman" w:hAnsi="Times New Roman"/>
          <w:sz w:val="15"/>
          <w:szCs w:val="15"/>
          <w:color w:val="auto"/>
        </w:rPr>
        <w:t>. Each of the Parties shall pay the fees and expenses of its respective counsel and other experts and all other expenses, except as otherwise expressly set forth herein, incurred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by such Party incident to the negotiation, preparation, execution, delivery and performance of this Agreement.</w:t>
      </w:r>
    </w:p>
    <w:p>
      <w:pPr>
        <w:spacing w:after="0" w:line="136" w:lineRule="exact"/>
        <w:rPr>
          <w:sz w:val="20"/>
          <w:szCs w:val="20"/>
          <w:color w:val="auto"/>
        </w:rPr>
      </w:pPr>
    </w:p>
    <w:p>
      <w:pPr>
        <w:ind w:left="540" w:right="100" w:hanging="526"/>
        <w:spacing w:after="0" w:line="258" w:lineRule="auto"/>
        <w:tabs>
          <w:tab w:leader="none" w:pos="520" w:val="left"/>
        </w:tabs>
        <w:rPr>
          <w:sz w:val="20"/>
          <w:szCs w:val="20"/>
          <w:color w:val="auto"/>
        </w:rPr>
      </w:pPr>
      <w:r>
        <w:rPr>
          <w:rFonts w:ascii="Times New Roman" w:cs="Times New Roman" w:eastAsia="Times New Roman" w:hAnsi="Times New Roman"/>
          <w:sz w:val="15"/>
          <w:szCs w:val="15"/>
          <w:color w:val="auto"/>
        </w:rPr>
        <w:t>16.16</w:t>
      </w:r>
      <w:r>
        <w:rPr>
          <w:sz w:val="20"/>
          <w:szCs w:val="20"/>
          <w:color w:val="auto"/>
        </w:rPr>
        <w:tab/>
      </w:r>
      <w:r>
        <w:rPr>
          <w:rFonts w:ascii="Times New Roman" w:cs="Times New Roman" w:eastAsia="Times New Roman" w:hAnsi="Times New Roman"/>
          <w:sz w:val="15"/>
          <w:szCs w:val="15"/>
          <w:b w:val="1"/>
          <w:bCs w:val="1"/>
          <w:color w:val="auto"/>
        </w:rPr>
        <w:t>Counterparts</w:t>
      </w:r>
      <w:r>
        <w:rPr>
          <w:rFonts w:ascii="Times New Roman" w:cs="Times New Roman" w:eastAsia="Times New Roman" w:hAnsi="Times New Roman"/>
          <w:sz w:val="15"/>
          <w:szCs w:val="15"/>
          <w:color w:val="auto"/>
        </w:rPr>
        <w:t>. This Agreement may be executed in one or more counterpart copies, each of which shall be deemed an original and all of which taken together shall be deemed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constitute one and the same instrument. An executed signature page of this Agreement delivered by e-mail transmission shall be as effective as an original executed signature page. It shall not be necessary in making proof of this Agreement or any counterpart hereof to produce or account for any of the other counterparts.</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99" w:name="page400"/>
    <w:bookmarkEnd w:id="399"/>
    <w:p>
      <w:pPr>
        <w:ind w:left="540"/>
        <w:spacing w:after="0"/>
        <w:rPr>
          <w:sz w:val="20"/>
          <w:szCs w:val="20"/>
          <w:color w:val="auto"/>
        </w:rPr>
      </w:pPr>
      <w:r>
        <w:rPr>
          <w:rFonts w:ascii="Times New Roman" w:cs="Times New Roman" w:eastAsia="Times New Roman" w:hAnsi="Times New Roman"/>
          <w:sz w:val="15"/>
          <w:szCs w:val="15"/>
          <w:color w:val="auto"/>
        </w:rPr>
        <w:t>IN WITNESS WHEREOF, the Parties hereto have executed or caused its duly authorized representative to execute this Agreement on the Execution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Licensee</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b w:val="1"/>
          <w:bCs w:val="1"/>
          <w:color w:val="auto"/>
        </w:rPr>
        <w:t>Zenas Biopharma (Cayman) Limited</w:t>
      </w:r>
    </w:p>
    <w:p>
      <w:pPr>
        <w:spacing w:after="0" w:line="181" w:lineRule="exact"/>
        <w:rPr>
          <w:sz w:val="20"/>
          <w:szCs w:val="20"/>
          <w:color w:val="auto"/>
        </w:rPr>
      </w:pPr>
    </w:p>
    <w:tbl>
      <w:tblPr>
        <w:tblLayout w:type="fixed"/>
        <w:tblInd w:w="5660" w:type="dxa"/>
        <w:tblCellMar>
          <w:top w:w="0" w:type="dxa"/>
          <w:left w:w="0" w:type="dxa"/>
          <w:bottom w:w="0" w:type="dxa"/>
          <w:right w:w="0" w:type="dxa"/>
        </w:tblCellMar>
      </w:tblPr>
      <w:tr>
        <w:trPr>
          <w:trHeight w:val="190"/>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Leon O. Moulder, Jr.</w:t>
            </w:r>
          </w:p>
        </w:tc>
      </w:tr>
      <w:tr>
        <w:trPr>
          <w:trHeight w:val="152"/>
        </w:trPr>
        <w:tc>
          <w:tcPr>
            <w:tcW w:w="56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Name:</w:t>
            </w:r>
          </w:p>
        </w:tc>
        <w:tc>
          <w:tcPr>
            <w:tcW w:w="506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Leon O. Moulder, Jr.</w:t>
            </w:r>
          </w:p>
        </w:tc>
      </w:tr>
      <w:tr>
        <w:trPr>
          <w:trHeight w:val="190"/>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Executive Chairman</w:t>
            </w: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XENCOR</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b w:val="1"/>
          <w:bCs w:val="1"/>
          <w:color w:val="auto"/>
        </w:rPr>
        <w:t>Xencor, Inc</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11430</wp:posOffset>
            </wp:positionV>
            <wp:extent cx="3216275" cy="698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ind w:left="5660"/>
        <w:spacing w:after="0"/>
        <w:tabs>
          <w:tab w:leader="none" w:pos="6200" w:val="left"/>
        </w:tabs>
        <w:rPr>
          <w:sz w:val="20"/>
          <w:szCs w:val="20"/>
          <w:color w:val="auto"/>
        </w:rPr>
      </w:pPr>
      <w:r>
        <w:rPr>
          <w:rFonts w:ascii="Times New Roman" w:cs="Times New Roman" w:eastAsia="Times New Roman" w:hAnsi="Times New Roman"/>
          <w:sz w:val="15"/>
          <w:szCs w:val="15"/>
          <w:color w:val="auto"/>
        </w:rPr>
        <w:t>Name:</w:t>
        <w:tab/>
        <w:t>[***]</w:t>
      </w:r>
    </w:p>
    <w:p>
      <w:pPr>
        <w:spacing w:after="0" w:line="14"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5"/>
          <w:szCs w:val="15"/>
          <w:color w:val="auto"/>
        </w:rPr>
        <w:t>Title:</w:t>
      </w:r>
      <w:r>
        <w:rPr>
          <w:sz w:val="20"/>
          <w:szCs w:val="20"/>
          <w:color w:val="auto"/>
        </w:rPr>
        <w:tab/>
      </w:r>
      <w:r>
        <w:rPr>
          <w:rFonts w:ascii="Times New Roman" w:cs="Times New Roman" w:eastAsia="Times New Roman" w:hAnsi="Times New Roman"/>
          <w:sz w:val="15"/>
          <w:szCs w:val="15"/>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[Signature Page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57720" cy="698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400" w:name="page401"/>
    <w:bookmarkEnd w:id="400"/>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SCHEDULE 1.48</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DESCRIPTION OF LICENSED ASSET</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the description of the Licensed Asset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57720" cy="698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00"/>
          </w:cols>
          <w:pgMar w:left="300" w:top="760" w:right="399" w:bottom="1440" w:gutter="0" w:footer="0" w:header="0"/>
        </w:sectPr>
      </w:pPr>
    </w:p>
    <w:bookmarkStart w:id="401" w:name="page402"/>
    <w:bookmarkEnd w:id="401"/>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SCHEDULE 1.61</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 FLOW-THROUGH PATENT RIGHTS</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the [***] Flow-Through Patent Rights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57720" cy="69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02" w:name="page403"/>
    <w:bookmarkEnd w:id="402"/>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SCHEDULE 1.74</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SPECIFIED JOINT PATENT RIGHTS BIOMARKERS</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the Specified Joint Patent Rights Biomarkers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57720" cy="698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0" w:right="339" w:bottom="1440" w:gutter="0" w:footer="0" w:header="0"/>
        </w:sectPr>
      </w:pPr>
    </w:p>
    <w:bookmarkStart w:id="403" w:name="page404"/>
    <w:bookmarkEnd w:id="403"/>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SCHEDULE 1.77</w:t>
      </w:r>
    </w:p>
    <w:p>
      <w:pPr>
        <w:spacing w:after="0" w:line="17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UPSTREAM LICENSES</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the Upstream Licenses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57720" cy="698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840"/>
          </w:cols>
          <w:pgMar w:left="300" w:top="760" w:right="759" w:bottom="1440" w:gutter="0" w:footer="0" w:header="0"/>
        </w:sectPr>
      </w:pPr>
    </w:p>
    <w:bookmarkStart w:id="404" w:name="page405"/>
    <w:bookmarkEnd w:id="404"/>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SCHEDULE 1.82</w:t>
      </w:r>
    </w:p>
    <w:p>
      <w:pPr>
        <w:spacing w:after="0" w:line="17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XENCOR GENERAL PATENT RIGHTS</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the Xencor General Patent Rights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57720" cy="69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000"/>
          </w:cols>
          <w:pgMar w:left="300" w:top="760" w:right="599" w:bottom="1440" w:gutter="0" w:footer="0" w:header="0"/>
        </w:sectPr>
      </w:pPr>
    </w:p>
    <w:bookmarkStart w:id="405" w:name="page406"/>
    <w:bookmarkEnd w:id="405"/>
    <w:p>
      <w:pPr>
        <w:jc w:val="center"/>
        <w:ind w:right="-239"/>
        <w:spacing w:after="0"/>
        <w:rPr>
          <w:sz w:val="20"/>
          <w:szCs w:val="20"/>
          <w:color w:val="auto"/>
        </w:rPr>
      </w:pPr>
      <w:r>
        <w:rPr>
          <w:rFonts w:ascii="Times New Roman" w:cs="Times New Roman" w:eastAsia="Times New Roman" w:hAnsi="Times New Roman"/>
          <w:sz w:val="15"/>
          <w:szCs w:val="15"/>
          <w:b w:val="1"/>
          <w:bCs w:val="1"/>
          <w:color w:val="auto"/>
        </w:rPr>
        <w:t>SCHEDULE 1.86</w:t>
      </w:r>
    </w:p>
    <w:p>
      <w:pPr>
        <w:spacing w:after="0" w:line="17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b w:val="1"/>
          <w:bCs w:val="1"/>
          <w:color w:val="auto"/>
        </w:rPr>
        <w:t>XENCOR PRODUCT SPECIFIC PATENT RIGHTS</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Xencor Product Specific Patent Rights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57720" cy="698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040"/>
          </w:cols>
          <w:pgMar w:left="300" w:top="760" w:right="559" w:bottom="1440" w:gutter="0" w:footer="0" w:header="0"/>
        </w:sectPr>
      </w:pPr>
    </w:p>
    <w:bookmarkStart w:id="406" w:name="page407"/>
    <w:bookmarkEnd w:id="406"/>
    <w:p>
      <w:pPr>
        <w:jc w:val="center"/>
        <w:ind w:right="-479"/>
        <w:spacing w:after="0"/>
        <w:rPr>
          <w:sz w:val="20"/>
          <w:szCs w:val="20"/>
          <w:color w:val="auto"/>
        </w:rPr>
      </w:pPr>
      <w:r>
        <w:rPr>
          <w:rFonts w:ascii="Times New Roman" w:cs="Times New Roman" w:eastAsia="Times New Roman" w:hAnsi="Times New Roman"/>
          <w:sz w:val="15"/>
          <w:szCs w:val="15"/>
          <w:b w:val="1"/>
          <w:bCs w:val="1"/>
          <w:color w:val="auto"/>
        </w:rPr>
        <w:t>SCHEDULE 4.1</w:t>
      </w:r>
    </w:p>
    <w:p>
      <w:pPr>
        <w:spacing w:after="0" w:line="17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b w:val="1"/>
          <w:bCs w:val="1"/>
          <w:color w:val="auto"/>
        </w:rPr>
        <w:t>TRANSFER CHECKLIST</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the Transfer Checklist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57720" cy="69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820"/>
          </w:cols>
          <w:pgMar w:left="300" w:top="760" w:right="779" w:bottom="1440" w:gutter="0" w:footer="0" w:header="0"/>
        </w:sectPr>
      </w:pPr>
    </w:p>
    <w:bookmarkStart w:id="407" w:name="page408"/>
    <w:bookmarkEnd w:id="407"/>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SCHEDULE 7.2</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PRODUCT LOTS AND MATERIALS RELATED TO CLINICAL STUDIES</w:t>
      </w:r>
    </w:p>
    <w:p>
      <w:pPr>
        <w:spacing w:after="0" w:line="1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the description of the Product Lots and Materials Related to Clinical Studies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57720" cy="698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408" w:name="page409"/>
    <w:bookmarkEnd w:id="408"/>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SCHEDULE 10.3.1</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ANTI-CORRUPTION POLICIES</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Policy on Anti-Bribery and Anti-Corruption</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Zenas BioPharma (Cayman) Limited</w:t>
      </w:r>
    </w:p>
    <w:p>
      <w:pPr>
        <w:spacing w:after="0" w:line="179" w:lineRule="exact"/>
        <w:rPr>
          <w:sz w:val="20"/>
          <w:szCs w:val="20"/>
          <w:color w:val="auto"/>
        </w:rPr>
      </w:pPr>
    </w:p>
    <w:p>
      <w:pPr>
        <w:ind w:left="540" w:hanging="532"/>
        <w:spacing w:after="0"/>
        <w:tabs>
          <w:tab w:leader="none" w:pos="540" w:val="left"/>
        </w:tabs>
        <w:numPr>
          <w:ilvl w:val="0"/>
          <w:numId w:val="2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Purpose/Introduction</w:t>
      </w:r>
    </w:p>
    <w:p>
      <w:pPr>
        <w:spacing w:after="0" w:line="17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5"/>
          <w:szCs w:val="15"/>
          <w:color w:val="auto"/>
        </w:rPr>
        <w:t>Zenas BioPharma (Cayman) Limited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is committed to securing and maintaining the trust of patients, Healthcare Professionals, and third parties. Trust and reputation are imperative to sustaining our business and that is why we prohibit any improper or unethical payments to government officials or private parties anywhere in the world by COMPANY Employees or Third Party Representatives.</w:t>
      </w:r>
    </w:p>
    <w:p>
      <w:pPr>
        <w:spacing w:after="0" w:line="1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COMPANY has established the following policy (the “</w:t>
      </w:r>
      <w:r>
        <w:rPr>
          <w:rFonts w:ascii="Times New Roman" w:cs="Times New Roman" w:eastAsia="Times New Roman" w:hAnsi="Times New Roman"/>
          <w:sz w:val="15"/>
          <w:szCs w:val="15"/>
          <w:b w:val="1"/>
          <w:bCs w:val="1"/>
          <w:color w:val="auto"/>
        </w:rPr>
        <w:t>Policy</w:t>
      </w:r>
      <w:r>
        <w:rPr>
          <w:rFonts w:ascii="Times New Roman" w:cs="Times New Roman" w:eastAsia="Times New Roman" w:hAnsi="Times New Roman"/>
          <w:sz w:val="15"/>
          <w:szCs w:val="15"/>
          <w:color w:val="auto"/>
        </w:rPr>
        <w:t>”) to help ensure compliance with laws prohibiting Bribery and Corruption, including the U.S. Foreign Corrupt Practices Act (FCPA), the U.K. Bribery Act, and the anti-bribery and anti-corruption provisions under the People’s Republic of China Criminal Law and Anti-Unfair Competition Law. Many countries have laws that prohibit Bribery and Corruption, either within the country or anywhere in the world. COMPANY Employees and the Third Parties that COMPANY engages are responsible for complying with applicable laws. While some laws distinguish between public officials and private persons, COMPANY does not tolerate bribery of anyone.</w:t>
      </w:r>
    </w:p>
    <w:p>
      <w:pPr>
        <w:spacing w:after="0" w:line="152" w:lineRule="exact"/>
        <w:rPr>
          <w:sz w:val="20"/>
          <w:szCs w:val="20"/>
          <w:color w:val="auto"/>
        </w:rPr>
      </w:pPr>
    </w:p>
    <w:p>
      <w:pPr>
        <w:ind w:left="540" w:hanging="532"/>
        <w:spacing w:after="0"/>
        <w:tabs>
          <w:tab w:leader="none" w:pos="540" w:val="left"/>
        </w:tabs>
        <w:numPr>
          <w:ilvl w:val="0"/>
          <w:numId w:val="2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Scope</w:t>
      </w:r>
    </w:p>
    <w:p>
      <w:pPr>
        <w:spacing w:after="0" w:line="179"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5"/>
          <w:szCs w:val="15"/>
          <w:color w:val="auto"/>
        </w:rPr>
        <w:t>This Policy provides an overview of COMPANY’s Anti-Bribery and Anti-Corruption program (the “</w:t>
      </w:r>
      <w:r>
        <w:rPr>
          <w:rFonts w:ascii="Times New Roman" w:cs="Times New Roman" w:eastAsia="Times New Roman" w:hAnsi="Times New Roman"/>
          <w:sz w:val="15"/>
          <w:szCs w:val="15"/>
          <w:b w:val="1"/>
          <w:bCs w:val="1"/>
          <w:color w:val="auto"/>
        </w:rPr>
        <w:t>Program</w:t>
      </w:r>
      <w:r>
        <w:rPr>
          <w:rFonts w:ascii="Times New Roman" w:cs="Times New Roman" w:eastAsia="Times New Roman" w:hAnsi="Times New Roman"/>
          <w:sz w:val="15"/>
          <w:szCs w:val="15"/>
          <w:color w:val="auto"/>
        </w:rPr>
        <w:t>”), including the expectation that COMPANY Employees will understand and comply with all elements of the Policy and the Program.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Policy applies to all COMPANY Employees. This Policy also applies to individuals or organizations performing services on behalf of COMPANY.</w:t>
      </w:r>
    </w:p>
    <w:p>
      <w:pPr>
        <w:spacing w:after="0" w:line="177" w:lineRule="exact"/>
        <w:rPr>
          <w:sz w:val="20"/>
          <w:szCs w:val="20"/>
          <w:color w:val="auto"/>
        </w:rPr>
      </w:pPr>
    </w:p>
    <w:p>
      <w:pPr>
        <w:ind w:left="540" w:hanging="532"/>
        <w:spacing w:after="0"/>
        <w:tabs>
          <w:tab w:leader="none" w:pos="540" w:val="left"/>
        </w:tabs>
        <w:numPr>
          <w:ilvl w:val="0"/>
          <w:numId w:val="2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Definitions</w:t>
      </w:r>
    </w:p>
    <w:p>
      <w:pPr>
        <w:spacing w:after="0" w:line="179" w:lineRule="exact"/>
        <w:rPr>
          <w:sz w:val="20"/>
          <w:szCs w:val="20"/>
          <w:color w:val="auto"/>
        </w:rPr>
      </w:pPr>
    </w:p>
    <w:p>
      <w:pPr>
        <w:ind w:right="440"/>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Anything of Value </w:t>
      </w:r>
      <w:r>
        <w:rPr>
          <w:rFonts w:ascii="Times New Roman" w:cs="Times New Roman" w:eastAsia="Times New Roman" w:hAnsi="Times New Roman"/>
          <w:sz w:val="15"/>
          <w:szCs w:val="15"/>
          <w:color w:val="auto"/>
        </w:rPr>
        <w:t>– Cash (</w:t>
      </w:r>
      <w:r>
        <w:rPr>
          <w:rFonts w:ascii="Times New Roman" w:cs="Times New Roman" w:eastAsia="Times New Roman" w:hAnsi="Times New Roman"/>
          <w:sz w:val="15"/>
          <w:szCs w:val="15"/>
          <w:u w:val="single" w:color="auto"/>
          <w:color w:val="auto"/>
        </w:rPr>
        <w:t>no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minimum threshold), gifts, travel, entertainment, charitable contributions, and other things of value, which may include such things as job opportunities,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payment for unnecessary services or the promise or authorization to give gifts or services.</w:t>
      </w:r>
    </w:p>
    <w:p>
      <w:pPr>
        <w:spacing w:after="0" w:line="13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5"/>
          <w:szCs w:val="15"/>
          <w:b w:val="1"/>
          <w:bCs w:val="1"/>
          <w:color w:val="auto"/>
        </w:rPr>
        <w:t xml:space="preserve">Employees or COMPANY Employees </w:t>
      </w:r>
      <w:r>
        <w:rPr>
          <w:rFonts w:ascii="Times New Roman" w:cs="Times New Roman" w:eastAsia="Times New Roman" w:hAnsi="Times New Roman"/>
          <w:sz w:val="15"/>
          <w:szCs w:val="15"/>
          <w:color w:val="auto"/>
        </w:rPr>
        <w:t>– All COMPANY officers and directors, full-time, part-time, and temporary Employees (e.g., contractors or interns). COMPANY Employees do not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include unrelated third parties that purchase COMPANY products in arms-length transactions and then distribute such products (e.g., wholesalers or distributors whose only relationship with COMPANY is the purchase, distribution and/or shipping of products).</w:t>
      </w:r>
    </w:p>
    <w:p>
      <w:pPr>
        <w:spacing w:after="0" w:line="14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5"/>
          <w:szCs w:val="15"/>
          <w:b w:val="1"/>
          <w:bCs w:val="1"/>
          <w:color w:val="auto"/>
        </w:rPr>
        <w:t xml:space="preserve">Bribery/Bribe </w:t>
      </w:r>
      <w:r>
        <w:rPr>
          <w:rFonts w:ascii="Times New Roman" w:cs="Times New Roman" w:eastAsia="Times New Roman" w:hAnsi="Times New Roman"/>
          <w:sz w:val="15"/>
          <w:szCs w:val="15"/>
          <w:color w:val="auto"/>
        </w:rPr>
        <w:t>– Offering, giving or promising (or directing someone else to offer, give, or promise) an improper benefit to someone with the intention of influencing or rewarding their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behavior to obtain or retain a commercial or personal advantage. Bribery is not limited to monetary payments and can include transfers of Anything of Value when made with the intent or desire to wrongfully influence the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57720" cy="698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20"/>
          </w:cols>
          <w:pgMar w:left="300" w:top="761" w:right="37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5"/>
          <w:szCs w:val="15"/>
          <w:b w:val="1"/>
          <w:bCs w:val="1"/>
          <w:color w:val="auto"/>
        </w:rPr>
        <w:t xml:space="preserve">Corruption </w:t>
      </w:r>
      <w:r>
        <w:rPr>
          <w:rFonts w:ascii="Times New Roman" w:cs="Times New Roman" w:eastAsia="Times New Roman" w:hAnsi="Times New Roman"/>
          <w:sz w:val="15"/>
          <w:szCs w:val="15"/>
          <w:color w:val="auto"/>
        </w:rPr>
        <w:t>– The abuse of entrusted power for private gain.</w:t>
      </w:r>
    </w:p>
    <w:p>
      <w:pPr>
        <w:spacing w:after="0" w:line="179" w:lineRule="exact"/>
        <w:rPr>
          <w:sz w:val="20"/>
          <w:szCs w:val="20"/>
          <w:color w:val="auto"/>
        </w:rPr>
      </w:pPr>
    </w:p>
    <w:p>
      <w:pPr>
        <w:ind w:right="380"/>
        <w:spacing w:after="0" w:line="309" w:lineRule="auto"/>
        <w:rPr>
          <w:sz w:val="20"/>
          <w:szCs w:val="20"/>
          <w:color w:val="auto"/>
        </w:rPr>
      </w:pPr>
      <w:r>
        <w:rPr>
          <w:rFonts w:ascii="Times New Roman" w:cs="Times New Roman" w:eastAsia="Times New Roman" w:hAnsi="Times New Roman"/>
          <w:sz w:val="14"/>
          <w:szCs w:val="14"/>
          <w:b w:val="1"/>
          <w:bCs w:val="1"/>
          <w:color w:val="auto"/>
        </w:rPr>
        <w:t xml:space="preserve">Foreign or Government Official </w:t>
      </w:r>
      <w:r>
        <w:rPr>
          <w:rFonts w:ascii="Times New Roman" w:cs="Times New Roman" w:eastAsia="Times New Roman" w:hAnsi="Times New Roman"/>
          <w:sz w:val="14"/>
          <w:szCs w:val="14"/>
          <w:color w:val="auto"/>
        </w:rPr>
        <w:t>– Any person acting in an official capacity on behalf of a government agency, department or instrumentality, including, in some countries, government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owned businesses such as hospitals or universities. It also includes any political party or candidate for political office and their representatives. Some other examples include,</w:t>
      </w:r>
    </w:p>
    <w:p>
      <w:pPr>
        <w:spacing w:after="0" w:line="115" w:lineRule="exact"/>
        <w:rPr>
          <w:sz w:val="20"/>
          <w:szCs w:val="20"/>
          <w:color w:val="auto"/>
        </w:rPr>
      </w:pPr>
    </w:p>
    <w:p>
      <w:pPr>
        <w:ind w:left="540" w:hanging="268"/>
        <w:spacing w:after="0"/>
        <w:tabs>
          <w:tab w:leader="none" w:pos="540" w:val="left"/>
        </w:tabs>
        <w:numPr>
          <w:ilvl w:val="0"/>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Health care professionals who are affiliated with government-run health care systems, including but not limited to government-funded single-payor systems; and</w:t>
      </w:r>
    </w:p>
    <w:p>
      <w:pPr>
        <w:spacing w:after="0" w:line="179" w:lineRule="exact"/>
        <w:rPr>
          <w:rFonts w:ascii="Times New Roman" w:cs="Times New Roman" w:eastAsia="Times New Roman" w:hAnsi="Times New Roman"/>
          <w:sz w:val="15"/>
          <w:szCs w:val="15"/>
          <w:color w:val="auto"/>
        </w:rPr>
      </w:pPr>
    </w:p>
    <w:p>
      <w:pPr>
        <w:ind w:left="540" w:hanging="268"/>
        <w:spacing w:after="0" w:line="269" w:lineRule="auto"/>
        <w:tabs>
          <w:tab w:leader="none" w:pos="540" w:val="left"/>
        </w:tabs>
        <w:numPr>
          <w:ilvl w:val="0"/>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Officers and employees of public international organizations, such as the World Health Organization (WHO), European Medicines Agency (EMA), and the National Medical Products Administration of the PRC (NMPA).</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5"/>
          <w:szCs w:val="15"/>
          <w:b w:val="1"/>
          <w:bCs w:val="1"/>
          <w:color w:val="auto"/>
        </w:rPr>
        <w:t xml:space="preserve">Healthcare Professional (HCP) </w:t>
      </w:r>
      <w:r>
        <w:rPr>
          <w:rFonts w:ascii="Times New Roman" w:cs="Times New Roman" w:eastAsia="Times New Roman" w:hAnsi="Times New Roman"/>
          <w:sz w:val="15"/>
          <w:szCs w:val="15"/>
          <w:color w:val="auto"/>
        </w:rPr>
        <w:t>– Any person or entity in the position to purchase or prescribe or to arrange for or recommend the purchase or prescription or formulary placement of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product. This includes, but is not necessarily limited to, physicians, nurses, physician’s assistants, nurse practitioners, hospitals, pharmacists, and medical directors, as well as any individual employed by such persons or entities. The definition of HCP does not include individuals who are themselves COMPANY Employees.</w:t>
      </w:r>
    </w:p>
    <w:p>
      <w:pPr>
        <w:spacing w:after="0" w:line="14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Third Party Representatives </w:t>
      </w:r>
      <w:r>
        <w:rPr>
          <w:rFonts w:ascii="Times New Roman" w:cs="Times New Roman" w:eastAsia="Times New Roman" w:hAnsi="Times New Roman"/>
          <w:sz w:val="15"/>
          <w:szCs w:val="15"/>
          <w:color w:val="auto"/>
        </w:rPr>
        <w:t>– Organizations or individuals that are hired directly or indirectly by COMPANY to perform services on behalf of COMPANY. COMPANY may engage Third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Party Representatives only where there is a bona fide business justification. Payments to Third Party Representatives must be reasonable, based on a fair market rate and for actual services performed. Examples of Third Party Representatives include consultants, contractors, contract research organizations, contract manufacturers, distributors, lobbyists, joint venture partners, market access consultants, and others.</w:t>
      </w:r>
    </w:p>
    <w:p>
      <w:pPr>
        <w:spacing w:after="0" w:line="15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5"/>
          <w:szCs w:val="15"/>
          <w:b w:val="1"/>
          <w:bCs w:val="1"/>
          <w:color w:val="auto"/>
        </w:rPr>
        <w:t xml:space="preserve">Legal Counsel </w:t>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b w:val="1"/>
          <w:bCs w:val="1"/>
          <w:color w:val="auto"/>
        </w:rPr>
        <w:t>IV.</w:t>
      </w:r>
      <w:r>
        <w:rPr>
          <w:sz w:val="20"/>
          <w:szCs w:val="20"/>
          <w:color w:val="auto"/>
        </w:rPr>
        <w:tab/>
      </w:r>
      <w:r>
        <w:rPr>
          <w:rFonts w:ascii="Times New Roman" w:cs="Times New Roman" w:eastAsia="Times New Roman" w:hAnsi="Times New Roman"/>
          <w:sz w:val="15"/>
          <w:szCs w:val="15"/>
          <w:b w:val="1"/>
          <w:bCs w:val="1"/>
          <w:color w:val="auto"/>
        </w:rPr>
        <w:t>Policy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COMPANY Policy prohibits Bribery in any form, including providing Anything of Value to:</w:t>
      </w:r>
    </w:p>
    <w:p>
      <w:pPr>
        <w:spacing w:after="0" w:line="179" w:lineRule="exact"/>
        <w:rPr>
          <w:sz w:val="20"/>
          <w:szCs w:val="20"/>
          <w:color w:val="auto"/>
        </w:rPr>
      </w:pPr>
    </w:p>
    <w:p>
      <w:pPr>
        <w:ind w:left="540" w:hanging="268"/>
        <w:spacing w:after="0"/>
        <w:tabs>
          <w:tab w:leader="none" w:pos="540"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approval of a drug; to secure favorable formulary status or tax treatment;</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reduce or eliminate customs duties;</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obtain government action to prevent competitors from entering a market;</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circumvent a licensing or permit requirement; to secure the sale, recommendation, or prescription of COMPANY products; or</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obtain any other improper business advantage.</w:t>
      </w:r>
    </w:p>
    <w:p>
      <w:pPr>
        <w:spacing w:after="0" w:line="179"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5"/>
          <w:szCs w:val="15"/>
          <w:color w:val="auto"/>
        </w:rPr>
        <w:t>A COMPANY Employee may not offer to pay, pay, promise to pay, or authorize the payment of money, or provide Anything of Value to a Foreign or Government Official, an HCP, or any other Third Party Representative in order to achieve any such advantage.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Just offering a bribe, even if it is not accepted, is a violation of this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addition, no COMPANY Employee may accept Anything of Value in exchange for allowing an external party an improper business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57720" cy="698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40"/>
          </w:cols>
          <w:pgMar w:left="300" w:top="760" w:right="35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5"/>
          <w:szCs w:val="15"/>
          <w:color w:val="auto"/>
        </w:rPr>
        <w:t>COMPANY Employees must seek guidance from COMPANY Legal Counsel in any circumstances where doubt exists as to the appropriateness of proposed conduct.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Facilitating and Expediting Payments</w:t>
      </w:r>
    </w:p>
    <w:p>
      <w:pPr>
        <w:spacing w:after="0" w:line="18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5"/>
          <w:szCs w:val="15"/>
          <w:color w:val="auto"/>
        </w:rPr>
        <w:t>A facilitating or expediting payment is one made to further an action which is ordinarily and commonly performed by a Foreign or Government Official in the course of their job that involves non-discretionary acts (examples – obtaining permits, licenses, or other official documents; processing governmental papers; mail pickup and delivery; providing phone service). Such payments made to help facilitate or expedite normal operations are against COMPANY Policy unless they are approved in advance by COMPANY Legal Counsel. Legal Counsel may permit facilitating or expediting payments only where they are expressly permitted by local law in the country where the payment and service would take place.</w:t>
      </w:r>
    </w:p>
    <w:p>
      <w:pPr>
        <w:spacing w:after="0" w:line="154"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5"/>
          <w:szCs w:val="15"/>
          <w:color w:val="auto"/>
        </w:rPr>
        <w:t>Even where there is a threat that COMPANY’s business will be jeopardized by a Foreign or Government Official, Employees are required, before taking any action, to contact COMPANY Legal Counsel to discuss the situation.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Political Contributions</w:t>
      </w:r>
    </w:p>
    <w:p>
      <w:pPr>
        <w:spacing w:after="0" w:line="18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5"/>
          <w:szCs w:val="15"/>
          <w:color w:val="auto"/>
        </w:rPr>
        <w:t>COMPANY does not contribute COMPANY funds or assets, directly or indirectly, to any political party committee or candidate, or the holder or any federal, state or local government office within the United States. COMPANY may provide political contributions in other countries, where lawful, but only upon the specific written approval of the COMPANY’s Chief Executive Officer, General Counsel, or Chief Compliance Officer. This does not affect an individual Employee’s ability to make a political contribution, however Employees may not make a political contribution in order to obtain or retain business for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Third Party Representatives</w:t>
      </w:r>
    </w:p>
    <w:p>
      <w:pPr>
        <w:spacing w:after="0" w:line="1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5"/>
          <w:szCs w:val="15"/>
          <w:color w:val="auto"/>
        </w:rPr>
        <w:t>COMPANY relies on Third Party Representatives to accomplish a lot of what we do, particularly in countries where we don’t have a local presence. A Third Party Representative may never be used to improperly influence any person to obtain or retain business or to secure any advantage for COMPANY through improper means. We need to make sure our Third Party Representatives abide by the standards we set. A Third Party Representative cannot be asked or expected to offer or receive a Bribe on COMPANY’s behalf, or behave in a way that COMPANY itself cannot under this Policy.</w:t>
      </w:r>
    </w:p>
    <w:p>
      <w:pPr>
        <w:spacing w:after="0" w:line="15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4"/>
          <w:szCs w:val="14"/>
          <w:color w:val="auto"/>
        </w:rPr>
        <w:t xml:space="preserve">COMPANY Employees must carefully select Third Party Representatives, understand the work that they are doing, and who are the principals, owners or management of the company of such Third Party Representatives. This can be accomplished by, for example: utilizing a request for proposal (“RFP”) process, asking for examples of prior projects, and speaking with references. In addition, COMPANY requires Employees to do an initial screen of vendors. This screen will allow Employees to appropriately evaluate the vendor on certain risk elements </w:t>
      </w:r>
      <w:r>
        <w:rPr>
          <w:rFonts w:ascii="Times New Roman" w:cs="Times New Roman" w:eastAsia="Times New Roman" w:hAnsi="Times New Roman"/>
          <w:sz w:val="14"/>
          <w:szCs w:val="14"/>
          <w:u w:val="single" w:color="auto"/>
          <w:color w:val="auto"/>
        </w:rPr>
        <w:t>prior</w:t>
      </w:r>
      <w:r>
        <w:rPr>
          <w:rFonts w:ascii="Times New Roman" w:cs="Times New Roman" w:eastAsia="Times New Roman" w:hAnsi="Times New Roman"/>
          <w:sz w:val="14"/>
          <w:szCs w:val="14"/>
          <w:color w:val="auto"/>
        </w:rPr>
        <w:t xml:space="preserve"> to engaging them. Whether a Third Party Representative is required to undergo additional due diligence will depend upon the results of the initial screen or the type of vendor being engaged.</w:t>
      </w:r>
    </w:p>
    <w:p>
      <w:pPr>
        <w:spacing w:after="0" w:line="138" w:lineRule="exact"/>
        <w:rPr>
          <w:sz w:val="20"/>
          <w:szCs w:val="20"/>
          <w:color w:val="auto"/>
        </w:rPr>
      </w:pPr>
    </w:p>
    <w:p>
      <w:pPr>
        <w:ind w:right="200"/>
        <w:spacing w:after="0" w:line="306" w:lineRule="auto"/>
        <w:rPr>
          <w:sz w:val="20"/>
          <w:szCs w:val="20"/>
          <w:color w:val="auto"/>
        </w:rPr>
      </w:pPr>
      <w:r>
        <w:rPr>
          <w:rFonts w:ascii="Times New Roman" w:cs="Times New Roman" w:eastAsia="Times New Roman" w:hAnsi="Times New Roman"/>
          <w:sz w:val="14"/>
          <w:szCs w:val="14"/>
          <w:color w:val="auto"/>
        </w:rPr>
        <w:t>Employees are responsible for knowing their Third Party Representatives and must understand the purpose for payments they may make on our behalf to others. Employees should carefully review payments made to Third Party Representatives they are responsible for, including any and all invoices, receipts, and/or other expenses submitted to COMPANY for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57720" cy="69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5"/>
          <w:szCs w:val="15"/>
          <w:b w:val="1"/>
          <w:bCs w:val="1"/>
          <w:color w:val="auto"/>
        </w:rPr>
        <w:t>Reporting Possible Violations</w:t>
      </w:r>
    </w:p>
    <w:p>
      <w:pPr>
        <w:spacing w:after="0" w:line="181"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15"/>
          <w:szCs w:val="15"/>
          <w:color w:val="auto"/>
        </w:rPr>
        <w:t>No person subject to this Policy will suffer adverse consequences for refusing to engage in Bribery or Corruption, even if this results in the loss of business or competitive advantage to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you suspect a potential violation of this Policy, or see a “red flag”, please immediately inform the COMPANY Legal Counsel. Examples of “red flags” include,</w:t>
      </w:r>
    </w:p>
    <w:p>
      <w:pPr>
        <w:spacing w:after="0" w:line="179" w:lineRule="exact"/>
        <w:rPr>
          <w:sz w:val="20"/>
          <w:szCs w:val="20"/>
          <w:color w:val="auto"/>
        </w:rPr>
      </w:pPr>
    </w:p>
    <w:p>
      <w:pPr>
        <w:ind w:left="540" w:hanging="268"/>
        <w:spacing w:after="0"/>
        <w:tabs>
          <w:tab w:leader="none" w:pos="54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Excessive commissions to Third Party Representative agents or consultants;</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Unreasonably large discounts to Third Party Representative distributors;</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Party Representative sham consulting agreements that include only vaguely described services;</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Party Representative consultants that are in a different line of business than the business for which the consultant was engaged;</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Large, upfront payments to a Third Party Representative at the beginning of the relationship without reasonable support as to why this may be necessary;</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Third Party Representative that is related to, or closely Employed with, a Foreign or Government Official;</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Third Party Representative that became part of the transaction at the express request or insistence of a Foreign or Government Official;</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Third Party Representative that is merely a shell company incorporated in an offshore jurisdiction; or</w:t>
      </w:r>
    </w:p>
    <w:p>
      <w:pPr>
        <w:spacing w:after="0" w:line="179"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Third Party Representative that requests payment to offshore bank accounts.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Red flags don’t by themselves mean there is a problem, but red flags must be shared with Legal Counsel so they can be investigated appropriately.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Books and Records</w:t>
      </w:r>
    </w:p>
    <w:p>
      <w:pPr>
        <w:spacing w:after="0" w:line="18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Maintaining accurate books and records are critical components of every Anti-Bribery and Anti-Corruption framework. These provisions are designed to prevent Bribery from being concealed as legitimate payments, such as commissions or consulting fees. COMPANY will maintain books and records that, in reasonable detail, accurately and fairly reflect corporate transactions. COMPANY’s internal accounting controls are sufficient to provide reasonable assurance that transactions are accurately recorded in its books and records in accordance with local finance and accounting policies. All accounts, invoices, memoranda and other documents and records relating to dealings with third parties will be maintained with strict accuracy and completeness.</w:t>
      </w:r>
    </w:p>
    <w:p>
      <w:pPr>
        <w:spacing w:after="0" w:line="13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5"/>
          <w:szCs w:val="15"/>
          <w:color w:val="auto"/>
        </w:rPr>
        <w:t>Employees are responsible for ensuring that Anti-Bribery and Anti-Corruption provisions are included within their contracts with Third Party Representatives. COMPANY template contracts will include Anti-Bribery and Anti-Corruption provisions.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Exception</w:t>
      </w:r>
    </w:p>
    <w:p>
      <w:pPr>
        <w:spacing w:after="0" w:line="18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5"/>
          <w:szCs w:val="15"/>
          <w:color w:val="auto"/>
        </w:rPr>
        <w:t>If there is an immediate threat to your health or safety, or to the health or safety of a business partner carrying out COMPANY business, that requires the payment of a Bribe, you should take the steps necessary to protect yourself and then immediately report the payment or transfer of Anything of Value to the COMPANY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57720" cy="69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40"/>
          </w:cols>
          <w:pgMar w:left="300" w:top="760" w:right="35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5"/>
          <w:szCs w:val="15"/>
          <w:b w:val="1"/>
          <w:bCs w:val="1"/>
          <w:color w:val="auto"/>
        </w:rPr>
        <w:t>Questions</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COMPANY takes its responsibility for ensuring that it has a robust and effective Anti-Bribery and Anti-Corruption Program seriously. If you have any questions about this Policy, or about the appropriateness of a specific arrangement or payment, please contact COMPANY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57720" cy="698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20"/>
          </w:cols>
          <w:pgMar w:left="300" w:top="760" w:right="379" w:bottom="1440" w:gutter="0" w:footer="0" w:header="0"/>
        </w:sectPr>
      </w:pPr>
    </w:p>
    <w:bookmarkStart w:id="413" w:name="page414"/>
    <w:bookmarkEnd w:id="413"/>
    <w:p>
      <w:pPr>
        <w:jc w:val="center"/>
        <w:ind w:right="-359"/>
        <w:spacing w:after="0"/>
        <w:rPr>
          <w:sz w:val="20"/>
          <w:szCs w:val="20"/>
          <w:color w:val="auto"/>
        </w:rPr>
      </w:pPr>
      <w:r>
        <w:rPr>
          <w:rFonts w:ascii="Times New Roman" w:cs="Times New Roman" w:eastAsia="Times New Roman" w:hAnsi="Times New Roman"/>
          <w:sz w:val="15"/>
          <w:szCs w:val="15"/>
          <w:b w:val="1"/>
          <w:bCs w:val="1"/>
          <w:color w:val="auto"/>
        </w:rPr>
        <w:t>SCHEDULE 14.1.3</w:t>
      </w:r>
    </w:p>
    <w:p>
      <w:pPr>
        <w:spacing w:after="0" w:line="17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5"/>
          <w:szCs w:val="15"/>
          <w:b w:val="1"/>
          <w:bCs w:val="1"/>
          <w:color w:val="auto"/>
        </w:rPr>
        <w:t>CONDITIONS FOR EFFECTIVENESS</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the Conditions for Effectiveness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57720" cy="698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920"/>
          </w:cols>
          <w:pgMar w:left="300" w:top="760" w:right="679" w:bottom="1440" w:gutter="0" w:footer="0" w:header="0"/>
        </w:sectPr>
      </w:pPr>
    </w:p>
    <w:bookmarkStart w:id="414" w:name="page415"/>
    <w:bookmarkEnd w:id="414"/>
    <w:p>
      <w:pPr>
        <w:ind w:left="10520"/>
        <w:spacing w:after="0"/>
        <w:rPr>
          <w:sz w:val="20"/>
          <w:szCs w:val="20"/>
          <w:color w:val="auto"/>
        </w:rPr>
      </w:pPr>
      <w:r>
        <w:rPr>
          <w:rFonts w:ascii="Times New Roman" w:cs="Times New Roman" w:eastAsia="Times New Roman" w:hAnsi="Times New Roman"/>
          <w:sz w:val="14"/>
          <w:szCs w:val="14"/>
          <w:b w:val="1"/>
          <w:bCs w:val="1"/>
          <w:color w:val="auto"/>
        </w:rPr>
        <w:t>Exhibit 10.4</w:t>
      </w:r>
    </w:p>
    <w:p>
      <w:pPr>
        <w:spacing w:after="0" w:line="191"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15"/>
          <w:szCs w:val="15"/>
          <w:b w:val="1"/>
          <w:bCs w:val="1"/>
          <w:color w:val="auto"/>
        </w:rPr>
        <w:t>CERTAIN INFORMATION IDENTIFIED WITH [***] HAS BEEN EXCLUDED FROM THIS EXHIBIT BECAUSE IT IS (1) NOT MATERIAL AND (II) OF THE TYPE THAT THE REGISTRANT TREATS AS PRIVATE OR CONFIDENTIAL.</w:t>
      </w:r>
    </w:p>
    <w:p>
      <w:pPr>
        <w:spacing w:after="0" w:line="1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Execution Version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FIRST AMENDMENT TO LICENSE AGREEMENT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BETWEEN XENCOR, INC. AND ZENAS BIOPHARMA (CAYMAN) LIMITED</w:t>
      </w:r>
    </w:p>
    <w:p>
      <w:pPr>
        <w:spacing w:after="0" w:line="164" w:lineRule="exact"/>
        <w:rPr>
          <w:sz w:val="20"/>
          <w:szCs w:val="20"/>
          <w:color w:val="auto"/>
        </w:rPr>
      </w:pPr>
    </w:p>
    <w:p>
      <w:pPr>
        <w:ind w:right="180" w:firstLine="527"/>
        <w:spacing w:after="0" w:line="257" w:lineRule="auto"/>
        <w:rPr>
          <w:sz w:val="20"/>
          <w:szCs w:val="20"/>
          <w:color w:val="auto"/>
        </w:rPr>
      </w:pPr>
      <w:r>
        <w:rPr>
          <w:rFonts w:ascii="Times New Roman" w:cs="Times New Roman" w:eastAsia="Times New Roman" w:hAnsi="Times New Roman"/>
          <w:sz w:val="15"/>
          <w:szCs w:val="15"/>
          <w:color w:val="auto"/>
        </w:rPr>
        <w:t>This First Amendment (this “</w:t>
      </w:r>
      <w:r>
        <w:rPr>
          <w:rFonts w:ascii="Times New Roman" w:cs="Times New Roman" w:eastAsia="Times New Roman" w:hAnsi="Times New Roman"/>
          <w:sz w:val="15"/>
          <w:szCs w:val="15"/>
          <w:u w:val="single" w:color="auto"/>
          <w:color w:val="auto"/>
        </w:rPr>
        <w:t>Amendment</w:t>
      </w:r>
      <w:r>
        <w:rPr>
          <w:rFonts w:ascii="Times New Roman" w:cs="Times New Roman" w:eastAsia="Times New Roman" w:hAnsi="Times New Roman"/>
          <w:sz w:val="15"/>
          <w:szCs w:val="15"/>
          <w:color w:val="auto"/>
        </w:rPr>
        <w:t>”) to the License Agreement entered into as of May 27, 2021 by and between Xencor, Inc. (“</w:t>
      </w:r>
      <w:r>
        <w:rPr>
          <w:rFonts w:ascii="Times New Roman" w:cs="Times New Roman" w:eastAsia="Times New Roman" w:hAnsi="Times New Roman"/>
          <w:sz w:val="15"/>
          <w:szCs w:val="15"/>
          <w:u w:val="single" w:color="auto"/>
          <w:color w:val="auto"/>
        </w:rPr>
        <w:t>Xencor</w:t>
      </w:r>
      <w:r>
        <w:rPr>
          <w:rFonts w:ascii="Times New Roman" w:cs="Times New Roman" w:eastAsia="Times New Roman" w:hAnsi="Times New Roman"/>
          <w:sz w:val="15"/>
          <w:szCs w:val="15"/>
          <w:color w:val="auto"/>
        </w:rPr>
        <w:t>”) and Zenas BioPharma (Cayman) Limited (“</w:t>
      </w:r>
      <w:r>
        <w:rPr>
          <w:rFonts w:ascii="Times New Roman" w:cs="Times New Roman" w:eastAsia="Times New Roman" w:hAnsi="Times New Roman"/>
          <w:sz w:val="15"/>
          <w:szCs w:val="15"/>
          <w:u w:val="single" w:color="auto"/>
          <w:color w:val="auto"/>
        </w:rPr>
        <w:t>Zenas</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is entered into and made effective as of November 3, 2021 (the “</w:t>
      </w:r>
      <w:r>
        <w:rPr>
          <w:rFonts w:ascii="Times New Roman" w:cs="Times New Roman" w:eastAsia="Times New Roman" w:hAnsi="Times New Roman"/>
          <w:sz w:val="15"/>
          <w:szCs w:val="15"/>
          <w:u w:val="single" w:color="auto"/>
          <w:color w:val="auto"/>
        </w:rPr>
        <w:t>Amendment Effective Date</w:t>
      </w:r>
      <w:r>
        <w:rPr>
          <w:rFonts w:ascii="Times New Roman" w:cs="Times New Roman" w:eastAsia="Times New Roman" w:hAnsi="Times New Roman"/>
          <w:sz w:val="15"/>
          <w:szCs w:val="15"/>
          <w:color w:val="auto"/>
        </w:rPr>
        <w:t>”). Capitalized terms used but not otherwise defined herein will have the meanings ascribed to such terms in the Agreement.</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WHEREAS, the Parties wish to amend the terms of the Agreement as set forth below.</w:t>
      </w:r>
    </w:p>
    <w:p>
      <w:pPr>
        <w:spacing w:after="0" w:line="179" w:lineRule="exact"/>
        <w:rPr>
          <w:sz w:val="20"/>
          <w:szCs w:val="20"/>
          <w:color w:val="auto"/>
        </w:rPr>
      </w:pPr>
    </w:p>
    <w:p>
      <w:pPr>
        <w:ind w:right="320" w:firstLine="527"/>
        <w:spacing w:after="0" w:line="269" w:lineRule="auto"/>
        <w:rPr>
          <w:sz w:val="20"/>
          <w:szCs w:val="20"/>
          <w:color w:val="auto"/>
        </w:rPr>
      </w:pPr>
      <w:r>
        <w:rPr>
          <w:rFonts w:ascii="Times New Roman" w:cs="Times New Roman" w:eastAsia="Times New Roman" w:hAnsi="Times New Roman"/>
          <w:sz w:val="15"/>
          <w:szCs w:val="15"/>
          <w:color w:val="auto"/>
        </w:rPr>
        <w:t>NOW, THEREFORE, in consideration of the mutual covenants and agreements contained herein and other valuable consideration, the receipt and sufficiency of which are hereby acknowledged, the Parties agree as follows:</w:t>
      </w:r>
    </w:p>
    <w:p>
      <w:pPr>
        <w:spacing w:after="0" w:line="141" w:lineRule="exact"/>
        <w:rPr>
          <w:sz w:val="20"/>
          <w:szCs w:val="20"/>
          <w:color w:val="auto"/>
        </w:rPr>
      </w:pPr>
    </w:p>
    <w:p>
      <w:pPr>
        <w:ind w:right="180" w:firstLine="535"/>
        <w:spacing w:after="0" w:line="269" w:lineRule="auto"/>
        <w:tabs>
          <w:tab w:leader="none" w:pos="1077" w:val="left"/>
        </w:tabs>
        <w:numPr>
          <w:ilvl w:val="0"/>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Xencor hereby waives the conditions to the effectiveness of the Agreement, as stipulated and required under </w:t>
      </w:r>
      <w:r>
        <w:rPr>
          <w:rFonts w:ascii="Times New Roman" w:cs="Times New Roman" w:eastAsia="Times New Roman" w:hAnsi="Times New Roman"/>
          <w:sz w:val="15"/>
          <w:szCs w:val="15"/>
          <w:u w:val="single" w:color="auto"/>
          <w:color w:val="auto"/>
        </w:rPr>
        <w:t>Sections 14.1.2(a)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of the Agreement, immediately and automatically upon the satisfaction of each of the following conditions:</w:t>
      </w:r>
    </w:p>
    <w:p>
      <w:pPr>
        <w:spacing w:after="0" w:line="141" w:lineRule="exact"/>
        <w:rPr>
          <w:sz w:val="20"/>
          <w:szCs w:val="20"/>
          <w:color w:val="auto"/>
        </w:rPr>
      </w:pPr>
    </w:p>
    <w:p>
      <w:pPr>
        <w:ind w:left="1060" w:right="60" w:hanging="525"/>
        <w:spacing w:after="0" w:line="257" w:lineRule="auto"/>
        <w:tabs>
          <w:tab w:leader="none" w:pos="1060"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closing of the sale and issuance of [***] in aggregate principal due under the series of convertible promissory notes issued by Zenas (the “</w:t>
      </w:r>
      <w:r>
        <w:rPr>
          <w:rFonts w:ascii="Times New Roman" w:cs="Times New Roman" w:eastAsia="Times New Roman" w:hAnsi="Times New Roman"/>
          <w:sz w:val="15"/>
          <w:szCs w:val="15"/>
          <w:u w:val="single" w:color="auto"/>
          <w:color w:val="auto"/>
        </w:rPr>
        <w:t>Notes</w:t>
      </w:r>
      <w:r>
        <w:rPr>
          <w:rFonts w:ascii="Times New Roman" w:cs="Times New Roman" w:eastAsia="Times New Roman" w:hAnsi="Times New Roman"/>
          <w:sz w:val="15"/>
          <w:szCs w:val="15"/>
          <w:color w:val="auto"/>
        </w:rPr>
        <w:t>”) pursuant to that certain Note Purchase Agreement dated as of November 3, 2021 by and among Zenas and the purchasers identified therein (the “</w:t>
      </w:r>
      <w:r>
        <w:rPr>
          <w:rFonts w:ascii="Times New Roman" w:cs="Times New Roman" w:eastAsia="Times New Roman" w:hAnsi="Times New Roman"/>
          <w:sz w:val="15"/>
          <w:szCs w:val="15"/>
          <w:u w:val="single" w:color="auto"/>
          <w:color w:val="auto"/>
        </w:rPr>
        <w:t>Note Financing Closing</w:t>
      </w:r>
      <w:r>
        <w:rPr>
          <w:rFonts w:ascii="Times New Roman" w:cs="Times New Roman" w:eastAsia="Times New Roman" w:hAnsi="Times New Roman"/>
          <w:sz w:val="15"/>
          <w:szCs w:val="15"/>
          <w:color w:val="auto"/>
        </w:rPr>
        <w:t>”), which includes the sale and issuance to Xencor of a Note with a principal amount due equal to [***] (the “</w:t>
      </w:r>
      <w:r>
        <w:rPr>
          <w:rFonts w:ascii="Times New Roman" w:cs="Times New Roman" w:eastAsia="Times New Roman" w:hAnsi="Times New Roman"/>
          <w:sz w:val="15"/>
          <w:szCs w:val="15"/>
          <w:u w:val="single" w:color="auto"/>
          <w:color w:val="auto"/>
        </w:rPr>
        <w:t>Xencor Note</w:t>
      </w:r>
      <w:r>
        <w:rPr>
          <w:rFonts w:ascii="Times New Roman" w:cs="Times New Roman" w:eastAsia="Times New Roman" w:hAnsi="Times New Roman"/>
          <w:sz w:val="15"/>
          <w:szCs w:val="15"/>
          <w:color w:val="auto"/>
        </w:rPr>
        <w:t>”); and</w:t>
      </w:r>
    </w:p>
    <w:p>
      <w:pPr>
        <w:spacing w:after="0" w:line="149" w:lineRule="exact"/>
        <w:rPr>
          <w:rFonts w:ascii="Times New Roman" w:cs="Times New Roman" w:eastAsia="Times New Roman" w:hAnsi="Times New Roman"/>
          <w:sz w:val="15"/>
          <w:szCs w:val="15"/>
          <w:color w:val="auto"/>
        </w:rPr>
      </w:pPr>
    </w:p>
    <w:p>
      <w:pPr>
        <w:ind w:left="1060" w:hanging="525"/>
        <w:spacing w:after="0"/>
        <w:tabs>
          <w:tab w:leader="none" w:pos="1060"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issuance to Xencor of a warrant, in the form attached hereto as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Xencor Warrant</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firstLine="535"/>
        <w:spacing w:after="0" w:line="257" w:lineRule="auto"/>
        <w:tabs>
          <w:tab w:leader="none" w:pos="1077"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Parties shall not be obligated to execute and deliver an acknowledgement of effectiveness in the form of </w:t>
      </w:r>
      <w:r>
        <w:rPr>
          <w:rFonts w:ascii="Times New Roman" w:cs="Times New Roman" w:eastAsia="Times New Roman" w:hAnsi="Times New Roman"/>
          <w:sz w:val="15"/>
          <w:szCs w:val="15"/>
          <w:u w:val="single" w:color="auto"/>
          <w:color w:val="auto"/>
        </w:rPr>
        <w:t>Schedule 14.1.3</w:t>
      </w:r>
      <w:r>
        <w:rPr>
          <w:rFonts w:ascii="Times New Roman" w:cs="Times New Roman" w:eastAsia="Times New Roman" w:hAnsi="Times New Roman"/>
          <w:sz w:val="15"/>
          <w:szCs w:val="15"/>
          <w:color w:val="auto"/>
        </w:rPr>
        <w:t xml:space="preserve"> as contemplated under </w:t>
      </w:r>
      <w:r>
        <w:rPr>
          <w:rFonts w:ascii="Times New Roman" w:cs="Times New Roman" w:eastAsia="Times New Roman" w:hAnsi="Times New Roman"/>
          <w:sz w:val="15"/>
          <w:szCs w:val="15"/>
          <w:u w:val="single" w:color="auto"/>
          <w:color w:val="auto"/>
        </w:rPr>
        <w:t>Section 14.1.3</w:t>
      </w:r>
      <w:r>
        <w:rPr>
          <w:rFonts w:ascii="Times New Roman" w:cs="Times New Roman" w:eastAsia="Times New Roman" w:hAnsi="Times New Roman"/>
          <w:sz w:val="15"/>
          <w:szCs w:val="15"/>
          <w:color w:val="auto"/>
        </w:rPr>
        <w:t xml:space="preserve"> of the Agreement, with the understanding that this Amendment, together with the Xencor Note and the Xencor Warrant, shall serve as the Parties’ acknowledgement of the occurrence of the Effective Date;</w:t>
      </w:r>
    </w:p>
    <w:p>
      <w:pPr>
        <w:spacing w:after="0" w:line="149" w:lineRule="exact"/>
        <w:rPr>
          <w:rFonts w:ascii="Times New Roman" w:cs="Times New Roman" w:eastAsia="Times New Roman" w:hAnsi="Times New Roman"/>
          <w:sz w:val="15"/>
          <w:szCs w:val="15"/>
          <w:color w:val="auto"/>
        </w:rPr>
      </w:pPr>
    </w:p>
    <w:p>
      <w:pPr>
        <w:ind w:right="60" w:firstLine="535"/>
        <w:spacing w:after="0" w:line="269" w:lineRule="auto"/>
        <w:tabs>
          <w:tab w:leader="none" w:pos="1077"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clarity, Zenas’ issuance of the Xencor Warrant to Xencor supersedes and replaces Zenas’ obligation to pay Xencor the Equity Consideration contemplated in Sections 9.1 and 14.1.2 of the Agreement; and</w:t>
      </w:r>
    </w:p>
    <w:p>
      <w:pPr>
        <w:spacing w:after="0" w:line="140" w:lineRule="exact"/>
        <w:rPr>
          <w:rFonts w:ascii="Times New Roman" w:cs="Times New Roman" w:eastAsia="Times New Roman" w:hAnsi="Times New Roman"/>
          <w:sz w:val="15"/>
          <w:szCs w:val="15"/>
          <w:color w:val="auto"/>
        </w:rPr>
      </w:pPr>
    </w:p>
    <w:p>
      <w:pPr>
        <w:ind w:left="1080" w:hanging="545"/>
        <w:spacing w:after="0"/>
        <w:tabs>
          <w:tab w:leader="none" w:pos="1080"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expressly set forth in this Amendment, the Agreement shall be unchanged and shall remain in full force and effect.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57720" cy="698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415" w:name="page416"/>
    <w:bookmarkEnd w:id="415"/>
    <w:p>
      <w:pPr>
        <w:ind w:firstLine="527"/>
        <w:spacing w:after="0" w:line="269" w:lineRule="auto"/>
        <w:rPr>
          <w:sz w:val="20"/>
          <w:szCs w:val="20"/>
          <w:color w:val="auto"/>
        </w:rPr>
      </w:pPr>
      <w:r>
        <w:rPr>
          <w:rFonts w:ascii="Times New Roman" w:cs="Times New Roman" w:eastAsia="Times New Roman" w:hAnsi="Times New Roman"/>
          <w:sz w:val="15"/>
          <w:szCs w:val="15"/>
          <w:color w:val="auto"/>
        </w:rPr>
        <w:t>IN WITNESS WHEREOF, the Parties have caused this Amendment to be executed by their duly authorized representatives as of the respective dates set forth below, effective as of the Amendment Effective Date.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XENCOR, INC.</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11430</wp:posOffset>
            </wp:positionV>
            <wp:extent cx="3362960" cy="698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5"/>
          <w:szCs w:val="15"/>
          <w:color w:val="auto"/>
        </w:rPr>
        <w:t>Name:</w:t>
        <w:tab/>
        <w:t>[***]</w:t>
      </w:r>
    </w:p>
    <w:p>
      <w:pPr>
        <w:spacing w:after="0" w:line="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5"/>
          <w:szCs w:val="15"/>
          <w:color w:val="auto"/>
        </w:rPr>
        <w:t>Title:</w:t>
      </w:r>
      <w:r>
        <w:rPr>
          <w:sz w:val="20"/>
          <w:szCs w:val="20"/>
          <w:color w:val="auto"/>
        </w:rPr>
        <w:tab/>
      </w:r>
      <w:r>
        <w:rPr>
          <w:rFonts w:ascii="Times New Roman" w:cs="Times New Roman" w:eastAsia="Times New Roman" w:hAnsi="Times New Roman"/>
          <w:sz w:val="15"/>
          <w:szCs w:val="15"/>
          <w:color w:val="auto"/>
        </w:rPr>
        <w:t>[***]</w:t>
      </w:r>
    </w:p>
    <w:p>
      <w:pPr>
        <w:spacing w:after="0" w:line="3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080"/>
          </w:cols>
          <w:pgMar w:left="300" w:top="763" w:right="519" w:bottom="1440" w:gutter="0" w:footer="0" w:header="0"/>
        </w:sectPr>
      </w:pPr>
    </w:p>
    <w:bookmarkStart w:id="416" w:name="page417"/>
    <w:bookmarkEnd w:id="416"/>
    <w:p>
      <w:pPr>
        <w:ind w:firstLine="527"/>
        <w:spacing w:after="0" w:line="269" w:lineRule="auto"/>
        <w:rPr>
          <w:sz w:val="20"/>
          <w:szCs w:val="20"/>
          <w:color w:val="auto"/>
        </w:rPr>
      </w:pPr>
      <w:r>
        <w:rPr>
          <w:rFonts w:ascii="Times New Roman" w:cs="Times New Roman" w:eastAsia="Times New Roman" w:hAnsi="Times New Roman"/>
          <w:sz w:val="15"/>
          <w:szCs w:val="15"/>
          <w:color w:val="auto"/>
        </w:rPr>
        <w:t>IN WITNESS WHEREOF, the Parties have caused this Amendment to be executed by their duly authorized representatives as of the respective dates set forth below, effective as of the Amendment Effective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ZENAS BIOPHARMA (CAYMAN) LIMITED</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color w:val="auto"/>
        </w:rPr>
        <w:t>/s/ Joseph Farmer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11430</wp:posOffset>
            </wp:positionV>
            <wp:extent cx="3362960" cy="698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spacing w:after="0" w:line="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5"/>
          <w:szCs w:val="15"/>
          <w:color w:val="auto"/>
        </w:rPr>
        <w:t>Name:</w:t>
        <w:tab/>
        <w:t>Joseph Farmer</w:t>
      </w:r>
    </w:p>
    <w:p>
      <w:pPr>
        <w:spacing w:after="0" w:line="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5"/>
          <w:szCs w:val="15"/>
          <w:color w:val="auto"/>
        </w:rPr>
        <w:t>Title:</w:t>
      </w:r>
      <w:r>
        <w:rPr>
          <w:sz w:val="20"/>
          <w:szCs w:val="20"/>
          <w:color w:val="auto"/>
        </w:rPr>
        <w:tab/>
      </w:r>
      <w:r>
        <w:rPr>
          <w:rFonts w:ascii="Times New Roman" w:cs="Times New Roman" w:eastAsia="Times New Roman" w:hAnsi="Times New Roman"/>
          <w:sz w:val="15"/>
          <w:szCs w:val="15"/>
          <w:color w:val="auto"/>
        </w:rPr>
        <w:t>Chief Business and Administrative Officer</w:t>
      </w:r>
    </w:p>
    <w:p>
      <w:pPr>
        <w:spacing w:after="0" w:line="3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080"/>
          </w:cols>
          <w:pgMar w:left="300" w:top="762" w:right="519" w:bottom="1440" w:gutter="0" w:footer="0" w:header="0"/>
        </w:sectPr>
      </w:pPr>
    </w:p>
    <w:bookmarkStart w:id="417" w:name="page418"/>
    <w:bookmarkEnd w:id="417"/>
    <w:p>
      <w:pPr>
        <w:ind w:left="10520"/>
        <w:spacing w:after="0"/>
        <w:rPr>
          <w:sz w:val="20"/>
          <w:szCs w:val="20"/>
          <w:color w:val="auto"/>
        </w:rPr>
      </w:pPr>
      <w:r>
        <w:rPr>
          <w:rFonts w:ascii="Times New Roman" w:cs="Times New Roman" w:eastAsia="Times New Roman" w:hAnsi="Times New Roman"/>
          <w:sz w:val="14"/>
          <w:szCs w:val="14"/>
          <w:b w:val="1"/>
          <w:bCs w:val="1"/>
          <w:color w:val="auto"/>
        </w:rPr>
        <w:t>Exhibit 10.5</w:t>
      </w:r>
    </w:p>
    <w:p>
      <w:pPr>
        <w:spacing w:after="0" w:line="191"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15"/>
          <w:szCs w:val="15"/>
          <w:b w:val="1"/>
          <w:bCs w:val="1"/>
          <w:color w:val="auto"/>
        </w:rPr>
        <w:t>CERTAIN INFORMATION IDENTIFIED WITH [***] HAS BEEN EXCLUDED FROM THIS EXHIBIT BECAUSE IT IS (1) NOT MATERIAL AND (II) OF THE TYPE THAT THE REGISTRANT TREATS AS PRIVATE OR CONFIDENTIAL.</w:t>
      </w:r>
    </w:p>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Execution Version</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Confidential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SECOND AMENDMENT TO LICENSE AGREEMENT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BETWEEN XENCOR, INC. AND ZENAS BIOPHARMA, INC.</w:t>
      </w:r>
    </w:p>
    <w:p>
      <w:pPr>
        <w:spacing w:after="0" w:line="164" w:lineRule="exact"/>
        <w:rPr>
          <w:sz w:val="20"/>
          <w:szCs w:val="20"/>
          <w:color w:val="auto"/>
        </w:rPr>
      </w:pPr>
    </w:p>
    <w:p>
      <w:pPr>
        <w:jc w:val="both"/>
        <w:ind w:firstLine="527"/>
        <w:spacing w:after="0" w:line="252" w:lineRule="auto"/>
        <w:rPr>
          <w:sz w:val="20"/>
          <w:szCs w:val="20"/>
          <w:color w:val="auto"/>
        </w:rPr>
      </w:pPr>
      <w:r>
        <w:rPr>
          <w:rFonts w:ascii="Times New Roman" w:cs="Times New Roman" w:eastAsia="Times New Roman" w:hAnsi="Times New Roman"/>
          <w:sz w:val="15"/>
          <w:szCs w:val="15"/>
          <w:color w:val="auto"/>
        </w:rPr>
        <w:t>This Second Amendment (this “</w:t>
      </w:r>
      <w:r>
        <w:rPr>
          <w:rFonts w:ascii="Times New Roman" w:cs="Times New Roman" w:eastAsia="Times New Roman" w:hAnsi="Times New Roman"/>
          <w:sz w:val="15"/>
          <w:szCs w:val="15"/>
          <w:u w:val="single" w:color="auto"/>
          <w:color w:val="auto"/>
        </w:rPr>
        <w:t>Second Amendment</w:t>
      </w:r>
      <w:r>
        <w:rPr>
          <w:rFonts w:ascii="Times New Roman" w:cs="Times New Roman" w:eastAsia="Times New Roman" w:hAnsi="Times New Roman"/>
          <w:sz w:val="15"/>
          <w:szCs w:val="15"/>
          <w:color w:val="auto"/>
        </w:rPr>
        <w:t>”) to the License Agreement, entered into as of May 27, 2021, by and between Xencor, Inc. (“</w:t>
      </w:r>
      <w:r>
        <w:rPr>
          <w:rFonts w:ascii="Times New Roman" w:cs="Times New Roman" w:eastAsia="Times New Roman" w:hAnsi="Times New Roman"/>
          <w:sz w:val="15"/>
          <w:szCs w:val="15"/>
          <w:u w:val="single" w:color="auto"/>
          <w:color w:val="auto"/>
        </w:rPr>
        <w:t>XENCOR</w:t>
      </w:r>
      <w:r>
        <w:rPr>
          <w:rFonts w:ascii="Times New Roman" w:cs="Times New Roman" w:eastAsia="Times New Roman" w:hAnsi="Times New Roman"/>
          <w:sz w:val="15"/>
          <w:szCs w:val="15"/>
          <w:color w:val="auto"/>
        </w:rPr>
        <w:t>”) and Zenas BioPharma, Inc. (formerly “Zenas Biopharma (Cayman) Limited”) (“</w:t>
      </w:r>
      <w:r>
        <w:rPr>
          <w:rFonts w:ascii="Times New Roman" w:cs="Times New Roman" w:eastAsia="Times New Roman" w:hAnsi="Times New Roman"/>
          <w:sz w:val="15"/>
          <w:szCs w:val="15"/>
          <w:u w:val="single" w:color="auto"/>
          <w:color w:val="auto"/>
        </w:rPr>
        <w:t>Zenas</w:t>
      </w:r>
      <w:r>
        <w:rPr>
          <w:rFonts w:ascii="Times New Roman" w:cs="Times New Roman" w:eastAsia="Times New Roman" w:hAnsi="Times New Roman"/>
          <w:sz w:val="15"/>
          <w:szCs w:val="15"/>
          <w:color w:val="auto"/>
        </w:rPr>
        <w:t>”), as amended by the First Amendment to License Agreement between XENCOR and Zenas, entered into as of November 3, 2021 (the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is entered into by and between XENCOR and Zenas and made effective as of August 30, 2023 (the “</w:t>
      </w:r>
      <w:r>
        <w:rPr>
          <w:rFonts w:ascii="Times New Roman" w:cs="Times New Roman" w:eastAsia="Times New Roman" w:hAnsi="Times New Roman"/>
          <w:sz w:val="15"/>
          <w:szCs w:val="15"/>
          <w:u w:val="single" w:color="auto"/>
          <w:color w:val="auto"/>
        </w:rPr>
        <w:t>Second Amendment Effective Date</w:t>
      </w:r>
      <w:r>
        <w:rPr>
          <w:rFonts w:ascii="Times New Roman" w:cs="Times New Roman" w:eastAsia="Times New Roman" w:hAnsi="Times New Roman"/>
          <w:sz w:val="15"/>
          <w:szCs w:val="15"/>
          <w:color w:val="auto"/>
        </w:rPr>
        <w:t>”). Capitalized terms used but not otherwise defined herein will have the meanings ascribed to such terms in the Agreement.</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WHEREAS, the Parties wish to amend the terms of the Agreement as set forth below.</w:t>
      </w:r>
    </w:p>
    <w:p>
      <w:pPr>
        <w:spacing w:after="0" w:line="179" w:lineRule="exact"/>
        <w:rPr>
          <w:sz w:val="20"/>
          <w:szCs w:val="20"/>
          <w:color w:val="auto"/>
        </w:rPr>
      </w:pPr>
    </w:p>
    <w:p>
      <w:pPr>
        <w:jc w:val="both"/>
        <w:ind w:firstLine="527"/>
        <w:spacing w:after="0" w:line="269" w:lineRule="auto"/>
        <w:rPr>
          <w:sz w:val="20"/>
          <w:szCs w:val="20"/>
          <w:color w:val="auto"/>
        </w:rPr>
      </w:pPr>
      <w:r>
        <w:rPr>
          <w:rFonts w:ascii="Times New Roman" w:cs="Times New Roman" w:eastAsia="Times New Roman" w:hAnsi="Times New Roman"/>
          <w:sz w:val="15"/>
          <w:szCs w:val="15"/>
          <w:color w:val="auto"/>
        </w:rPr>
        <w:t>NOW, THEREFORE, in consideration of the mutual covenants and agreements contained herein and other valuable consideration, the receipt and sufficiency of which are hereby acknowledged, the Parties agree as follows:</w:t>
      </w:r>
    </w:p>
    <w:p>
      <w:pPr>
        <w:spacing w:after="0" w:line="141" w:lineRule="exact"/>
        <w:rPr>
          <w:sz w:val="20"/>
          <w:szCs w:val="20"/>
          <w:color w:val="auto"/>
        </w:rPr>
      </w:pPr>
    </w:p>
    <w:p>
      <w:pPr>
        <w:jc w:val="both"/>
        <w:ind w:firstLine="535"/>
        <w:spacing w:after="0" w:line="249" w:lineRule="auto"/>
        <w:tabs>
          <w:tab w:leader="none" w:pos="1131" w:val="left"/>
        </w:tabs>
        <w:numPr>
          <w:ilvl w:val="0"/>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Zenas desires to grant to Bristol-Myers Squibb Company, a Delaware corporation (the “</w:t>
      </w:r>
      <w:r>
        <w:rPr>
          <w:rFonts w:ascii="Times New Roman" w:cs="Times New Roman" w:eastAsia="Times New Roman" w:hAnsi="Times New Roman"/>
          <w:sz w:val="15"/>
          <w:szCs w:val="15"/>
          <w:u w:val="single" w:color="auto"/>
          <w:color w:val="auto"/>
        </w:rPr>
        <w:t>Proposed Sublicensee</w:t>
      </w:r>
      <w:r>
        <w:rPr>
          <w:rFonts w:ascii="Times New Roman" w:cs="Times New Roman" w:eastAsia="Times New Roman" w:hAnsi="Times New Roman"/>
          <w:sz w:val="15"/>
          <w:szCs w:val="15"/>
          <w:color w:val="auto"/>
        </w:rPr>
        <w:t>”), an exclusive (or non-exclusive, as applicable based on the terms of the Proposed Sublicense), royalty-bearing, sublicensable license and sublicense, as applicable (the “</w:t>
      </w:r>
      <w:r>
        <w:rPr>
          <w:rFonts w:ascii="Times New Roman" w:cs="Times New Roman" w:eastAsia="Times New Roman" w:hAnsi="Times New Roman"/>
          <w:sz w:val="15"/>
          <w:szCs w:val="15"/>
          <w:u w:val="single" w:color="auto"/>
          <w:color w:val="auto"/>
        </w:rPr>
        <w:t>Proposed Sublicense</w:t>
      </w:r>
      <w:r>
        <w:rPr>
          <w:rFonts w:ascii="Times New Roman" w:cs="Times New Roman" w:eastAsia="Times New Roman" w:hAnsi="Times New Roman"/>
          <w:sz w:val="15"/>
          <w:szCs w:val="15"/>
          <w:color w:val="auto"/>
        </w:rPr>
        <w:t>”), under certain Intellectual Property Controlled by Zenas and its Affiliates (including the XENCOR Patent Rights, the Joint Patent Rights, the Specified Joint Patent Rights and the XENCOR Know-How to the extent applicable) to Develop, Manufacture, Commercialize, and otherwise use, have used, sell, have sold, offer for sale, have offered for sale, import and have imported the Licensed Asset, Products and Companion Diagnostics in the Field in and for Japan, South Korea, Taiwan, Singapore, Hong Kong and Australia (the “</w:t>
      </w:r>
      <w:r>
        <w:rPr>
          <w:rFonts w:ascii="Times New Roman" w:cs="Times New Roman" w:eastAsia="Times New Roman" w:hAnsi="Times New Roman"/>
          <w:sz w:val="15"/>
          <w:szCs w:val="15"/>
          <w:u w:val="single" w:color="auto"/>
          <w:color w:val="auto"/>
        </w:rPr>
        <w:t>Proposed Sublicense Territory</w:t>
      </w:r>
      <w:r>
        <w:rPr>
          <w:rFonts w:ascii="Times New Roman" w:cs="Times New Roman" w:eastAsia="Times New Roman" w:hAnsi="Times New Roman"/>
          <w:sz w:val="15"/>
          <w:szCs w:val="15"/>
          <w:color w:val="auto"/>
        </w:rPr>
        <w:t>”). In order to induce the Proposed Sublicensee to enter into the Proposed Sublicense, the Parties have agreed as follows:</w:t>
      </w:r>
    </w:p>
    <w:p>
      <w:pPr>
        <w:spacing w:after="0" w:line="157" w:lineRule="exact"/>
        <w:rPr>
          <w:sz w:val="20"/>
          <w:szCs w:val="20"/>
          <w:color w:val="auto"/>
        </w:rPr>
      </w:pPr>
    </w:p>
    <w:p>
      <w:pPr>
        <w:ind w:left="1060" w:hanging="525"/>
        <w:spacing w:after="0"/>
        <w:tabs>
          <w:tab w:leader="none" w:pos="1060"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Agreement is hereby amended as of the Second Amendment Effective Date to add a new Section 14.5.13 to the Agreement:</w:t>
      </w:r>
    </w:p>
    <w:p>
      <w:pPr>
        <w:spacing w:after="0" w:line="179" w:lineRule="exact"/>
        <w:rPr>
          <w:rFonts w:ascii="Times New Roman" w:cs="Times New Roman" w:eastAsia="Times New Roman" w:hAnsi="Times New Roman"/>
          <w:sz w:val="15"/>
          <w:szCs w:val="15"/>
          <w:color w:val="auto"/>
        </w:rPr>
      </w:pPr>
    </w:p>
    <w:p>
      <w:pPr>
        <w:jc w:val="both"/>
        <w:ind w:left="1060"/>
        <w:spacing w:after="0" w:line="26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“If this Agreement is terminated for any reason, all outstanding Sublicenses with Sublicensees that are not in breach of this Agreement or the applicable sublicense agreement with Licensee will be assigned by Licensee to XENCOR, such assignment will be accepted by XENCOR, and each such Sublicense shall remain in full force and effect with XENCOR as the licensor or sublicensor instead of Licensee, provided that the duties and obligations of XENCOR under the assigned Sublicenses will not be greater than the duties of XENCOR under this Agreement, and the rights of XENCOR under the assigned Sublicenses will not be less than the rights of XENCOR under this Agreement, including all financial consideration and other rights of XENCOR. Notwithstanding the foregoing, with respect to the Proposed Sublicense with the Proposed Sublicensee, if this Agreement is terminated for any reason, (i) the Proposed Sublicense shall automatically terminate and (ii) the Proposed Sublicensee will have the right, at the Proposed Sublicensee’s election, to convert the licenses granted under the Proposed Sublicense by ZENAS to the Proposed Sublicensee to a direct license from XENCOR to the Proposed Sublicensee on the terms and conditions contained in this Agreement (with the Proposed Sublicensee assuming the applicable obligations of Licensee hereunder with respect to the Proposed Sublicense Territory) or such other terms and conditions as may be negotiated by the Proposed Sublicensee and XENCOR.”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57720" cy="698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418" w:name="page419"/>
    <w:bookmarkEnd w:id="418"/>
    <w:p>
      <w:pPr>
        <w:jc w:val="both"/>
        <w:ind w:left="1060" w:hanging="525"/>
        <w:spacing w:after="0" w:line="252" w:lineRule="auto"/>
        <w:tabs>
          <w:tab w:leader="none" w:pos="1060"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Attached hereto as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is a copy of the definitive license agreement for the Proposed Sublicense, which has been redacted for any confidential or proprietary information that is not necessary for XENCOR to determine compliance with the Agreement (the “</w:t>
      </w:r>
      <w:r>
        <w:rPr>
          <w:rFonts w:ascii="Times New Roman" w:cs="Times New Roman" w:eastAsia="Times New Roman" w:hAnsi="Times New Roman"/>
          <w:sz w:val="15"/>
          <w:szCs w:val="15"/>
          <w:u w:val="single" w:color="auto"/>
          <w:color w:val="auto"/>
        </w:rPr>
        <w:t>Proposed Sublicense Agreement</w:t>
      </w:r>
      <w:r>
        <w:rPr>
          <w:rFonts w:ascii="Times New Roman" w:cs="Times New Roman" w:eastAsia="Times New Roman" w:hAnsi="Times New Roman"/>
          <w:sz w:val="15"/>
          <w:szCs w:val="15"/>
          <w:color w:val="auto"/>
        </w:rPr>
        <w:t>”). XENCOR hereby consents to the execution of the Proposed Sublicense Agreement by Zenas and the Proposed Sublicensee in the form attached hereto, and waives any and all rights that it may have under the Agreement that the Proposed Sublicense Agreement does not meet the requirements of the first sentence of Section 2.2.2 of the Agreement. [***].</w:t>
      </w:r>
    </w:p>
    <w:p>
      <w:pPr>
        <w:spacing w:after="0" w:line="154" w:lineRule="exact"/>
        <w:rPr>
          <w:sz w:val="20"/>
          <w:szCs w:val="20"/>
          <w:color w:val="auto"/>
        </w:rPr>
      </w:pPr>
    </w:p>
    <w:p>
      <w:pPr>
        <w:jc w:val="both"/>
        <w:ind w:firstLine="535"/>
        <w:spacing w:after="0" w:line="257" w:lineRule="auto"/>
        <w:tabs>
          <w:tab w:leader="none" w:pos="1142"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 as of August 2, 2023, (a) Zenas BioPharma (Cayman) Limited, an exempted company organized under the Laws of the Cayman Islands, was de-registered in the Cayman Islands and registered by way of continuation in the State of Delaware as Zenas BioPharma, Inc., a Delaware corporation, and (b) all references in the Agreement to Licensee shall refer to Zenas BioPharma, Inc. The notice information for Licensee in Section 16.6.2 of the Agreement is hereby amended as follows:</w:t>
      </w:r>
    </w:p>
    <w:p>
      <w:pPr>
        <w:spacing w:after="0" w:line="14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Licensee</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Zenas BioPharma, Inc.</w:t>
      </w:r>
    </w:p>
    <w:p>
      <w:pPr>
        <w:spacing w:after="0" w:line="1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1000 Winter St</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North Building, Suite 1200</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Waltham, MA 02451</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Attn: [***]</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Email: [***]</w:t>
      </w:r>
    </w:p>
    <w:p>
      <w:pPr>
        <w:spacing w:after="0" w:line="16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With copies to (which shall not constitute notice):</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Sidley Austin LLP</w:t>
      </w:r>
    </w:p>
    <w:p>
      <w:pPr>
        <w:spacing w:after="0" w:line="1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2850 Quarry Lake Drive</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Suite 280</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Baltimore, MD 21209</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Attn: [***]</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Email: [***]</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19" w:name="page420"/>
    <w:bookmarkEnd w:id="419"/>
    <w:p>
      <w:pPr>
        <w:ind w:left="545" w:hanging="545"/>
        <w:spacing w:after="0"/>
        <w:tabs>
          <w:tab w:leader="none" w:pos="545"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expressly set forth in this Second Amendment, the Agreement shall be unchanged and shall remain in full force and effect.</w:t>
      </w:r>
    </w:p>
    <w:p>
      <w:pPr>
        <w:sectPr>
          <w:pgSz w:w="11900" w:h="16838" w:orient="portrait"/>
          <w:cols w:equalWidth="0" w:num="1">
            <w:col w:w="9624"/>
          </w:cols>
          <w:pgMar w:left="835" w:top="762" w:right="1440" w:bottom="1440" w:gutter="0" w:footer="0" w:header="0"/>
        </w:sectPr>
      </w:pPr>
    </w:p>
    <w:p>
      <w:pPr>
        <w:spacing w:after="0" w:line="189" w:lineRule="exact"/>
        <w:rPr>
          <w:sz w:val="20"/>
          <w:szCs w:val="20"/>
          <w:color w:val="auto"/>
        </w:rPr>
      </w:pPr>
    </w:p>
    <w:p>
      <w:pPr>
        <w:ind w:left="3765"/>
        <w:spacing w:after="0"/>
        <w:rPr>
          <w:sz w:val="20"/>
          <w:szCs w:val="20"/>
          <w:color w:val="auto"/>
        </w:rPr>
      </w:pPr>
      <w:r>
        <w:rPr>
          <w:rFonts w:ascii="Times New Roman" w:cs="Times New Roman" w:eastAsia="Times New Roman" w:hAnsi="Times New Roman"/>
          <w:sz w:val="14"/>
          <w:szCs w:val="14"/>
          <w:i w:val="1"/>
          <w:iCs w:val="1"/>
          <w:color w:val="auto"/>
        </w:rPr>
        <w:t>[Remainder of Page Intentionally Left Blank]</w:t>
      </w:r>
    </w:p>
    <w:p>
      <w:pPr>
        <w:spacing w:after="0" w:line="200" w:lineRule="exact"/>
        <w:rPr>
          <w:sz w:val="20"/>
          <w:szCs w:val="20"/>
          <w:color w:val="auto"/>
        </w:rPr>
      </w:pPr>
    </w:p>
    <w:p>
      <w:pPr>
        <w:spacing w:after="0" w:line="344" w:lineRule="exact"/>
        <w:rPr>
          <w:sz w:val="20"/>
          <w:szCs w:val="20"/>
          <w:color w:val="auto"/>
        </w:rPr>
      </w:pPr>
    </w:p>
    <w:p>
      <w:pPr>
        <w:ind w:left="5065"/>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11430</wp:posOffset>
            </wp:positionV>
            <wp:extent cx="7157720" cy="698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9624"/>
          </w:cols>
          <w:pgMar w:left="835" w:top="762" w:right="1440" w:bottom="1440" w:gutter="0" w:footer="0" w:header="0"/>
          <w:type w:val="continuous"/>
        </w:sectPr>
      </w:pPr>
    </w:p>
    <w:bookmarkStart w:id="420" w:name="page421"/>
    <w:bookmarkEnd w:id="420"/>
    <w:p>
      <w:pPr>
        <w:ind w:firstLine="527"/>
        <w:spacing w:after="0" w:line="269" w:lineRule="auto"/>
        <w:rPr>
          <w:sz w:val="20"/>
          <w:szCs w:val="20"/>
          <w:color w:val="auto"/>
        </w:rPr>
      </w:pPr>
      <w:r>
        <w:rPr>
          <w:rFonts w:ascii="Times New Roman" w:cs="Times New Roman" w:eastAsia="Times New Roman" w:hAnsi="Times New Roman"/>
          <w:sz w:val="15"/>
          <w:szCs w:val="15"/>
          <w:color w:val="auto"/>
        </w:rPr>
        <w:t>IN WITNESS WHEREOF, the Parties have caused this Second Amendment to be executed by their duly authorized representatives as of the respective dates set forth below, effective as of the Second Amendment Effective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XENCOR, INC.</w:t>
      </w:r>
    </w:p>
    <w:p>
      <w:pPr>
        <w:spacing w:after="0" w:line="18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18415</wp:posOffset>
            </wp:positionV>
            <wp:extent cx="3362960" cy="698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18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color w:val="auto"/>
        </w:rPr>
        <w:t>/s/ Joe Farmer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11430</wp:posOffset>
            </wp:positionV>
            <wp:extent cx="3362960" cy="698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Name: Joe Farmer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President and Chief Operating Officer</w:t>
      </w:r>
    </w:p>
    <w:p>
      <w:pPr>
        <w:spacing w:after="0" w:line="340"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159"/>
          </w:cols>
          <w:pgMar w:left="300" w:top="760" w:right="1440" w:bottom="1440" w:gutter="0" w:footer="0" w:header="0"/>
        </w:sectPr>
      </w:pPr>
    </w:p>
    <w:bookmarkStart w:id="422" w:name="page423"/>
    <w:bookmarkEnd w:id="422"/>
    <w:p>
      <w:pPr>
        <w:ind w:left="10480"/>
        <w:spacing w:after="0"/>
        <w:rPr>
          <w:sz w:val="20"/>
          <w:szCs w:val="20"/>
          <w:color w:val="auto"/>
        </w:rPr>
      </w:pPr>
      <w:r>
        <w:rPr>
          <w:rFonts w:ascii="Times New Roman" w:cs="Times New Roman" w:eastAsia="Times New Roman" w:hAnsi="Times New Roman"/>
          <w:sz w:val="14"/>
          <w:szCs w:val="14"/>
          <w:b w:val="1"/>
          <w:bCs w:val="1"/>
          <w:color w:val="auto"/>
        </w:rPr>
        <w:t>Exhibit 10.6</w:t>
      </w:r>
    </w:p>
    <w:p>
      <w:pPr>
        <w:spacing w:after="0" w:line="191" w:lineRule="exact"/>
        <w:rPr>
          <w:sz w:val="20"/>
          <w:szCs w:val="20"/>
          <w:color w:val="auto"/>
        </w:rPr>
      </w:pPr>
    </w:p>
    <w:p>
      <w:pPr>
        <w:jc w:val="center"/>
        <w:ind w:right="40"/>
        <w:spacing w:after="0" w:line="272" w:lineRule="auto"/>
        <w:rPr>
          <w:sz w:val="20"/>
          <w:szCs w:val="20"/>
          <w:color w:val="auto"/>
        </w:rPr>
      </w:pPr>
      <w:r>
        <w:rPr>
          <w:rFonts w:ascii="Times New Roman" w:cs="Times New Roman" w:eastAsia="Times New Roman" w:hAnsi="Times New Roman"/>
          <w:sz w:val="15"/>
          <w:szCs w:val="15"/>
          <w:b w:val="1"/>
          <w:bCs w:val="1"/>
          <w:color w:val="auto"/>
        </w:rPr>
        <w:t>CERTAIN INFORMATION IDENTIFIED WITH [***] HAS BEEN EXCLUDED FROM THIS EXHIBIT BECAUSE IT IS (1) NOT MATERIAL AND (II) OF THE TYPE THAT THE REGISTRANT TREATS AS PRIVATE OR CONFIDENTIAL.</w:t>
      </w:r>
    </w:p>
    <w:p>
      <w:pPr>
        <w:spacing w:after="0" w:line="1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Execution Copy</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LICENSE AGREEMENT</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by and between</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BRISTOL-MYERS SQUIBB COMPANY</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Dated as of August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361315</wp:posOffset>
            </wp:positionV>
            <wp:extent cx="7157720" cy="698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40"/>
          </w:cols>
          <w:pgMar w:left="340" w:top="299" w:right="319" w:bottom="1440" w:gutter="0" w:footer="0" w:header="0"/>
        </w:sectPr>
      </w:pPr>
    </w:p>
    <w:bookmarkStart w:id="423" w:name="page424"/>
    <w:bookmarkEnd w:id="423"/>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6940" w:type="dxa"/>
            <w:vAlign w:val="bottom"/>
          </w:tcPr>
          <w:p>
            <w:pPr>
              <w:jc w:val="right"/>
              <w:ind w:right="5007"/>
              <w:spacing w:after="0"/>
              <w:rPr>
                <w:sz w:val="20"/>
                <w:szCs w:val="20"/>
                <w:color w:val="auto"/>
              </w:rPr>
            </w:pPr>
            <w:r>
              <w:rPr>
                <w:rFonts w:ascii="Times New Roman" w:cs="Times New Roman" w:eastAsia="Times New Roman" w:hAnsi="Times New Roman"/>
                <w:sz w:val="15"/>
                <w:szCs w:val="15"/>
                <w:b w:val="1"/>
                <w:bCs w:val="1"/>
                <w:color w:val="auto"/>
              </w:rPr>
              <w:t>Table of Contents</w:t>
            </w:r>
          </w:p>
        </w:tc>
      </w:tr>
      <w:tr>
        <w:trPr>
          <w:trHeight w:val="352"/>
        </w:trPr>
        <w:tc>
          <w:tcPr>
            <w:tcW w:w="540" w:type="dxa"/>
            <w:vAlign w:val="bottom"/>
          </w:tcPr>
          <w:p>
            <w:pPr>
              <w:jc w:val="right"/>
              <w:ind w:right="347"/>
              <w:spacing w:after="0"/>
              <w:rPr>
                <w:sz w:val="20"/>
                <w:szCs w:val="20"/>
                <w:color w:val="auto"/>
              </w:rPr>
            </w:pPr>
            <w:r>
              <w:rPr>
                <w:rFonts w:ascii="Times New Roman" w:cs="Times New Roman" w:eastAsia="Times New Roman" w:hAnsi="Times New Roman"/>
                <w:sz w:val="15"/>
                <w:szCs w:val="15"/>
                <w:b w:val="1"/>
                <w:bCs w:val="1"/>
                <w:color w:val="auto"/>
                <w:w w:val="88"/>
              </w:rPr>
              <w:t>1.</w:t>
            </w:r>
          </w:p>
        </w:tc>
        <w:tc>
          <w:tcPr>
            <w:tcW w:w="38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Definitions and Interpretation</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r>
      <w:tr>
        <w:trPr>
          <w:trHeight w:val="352"/>
        </w:trPr>
        <w:tc>
          <w:tcPr>
            <w:tcW w:w="540" w:type="dxa"/>
            <w:vAlign w:val="bottom"/>
          </w:tcPr>
          <w:p>
            <w:pPr>
              <w:jc w:val="right"/>
              <w:ind w:right="347"/>
              <w:spacing w:after="0"/>
              <w:rPr>
                <w:sz w:val="20"/>
                <w:szCs w:val="20"/>
                <w:color w:val="auto"/>
              </w:rPr>
            </w:pPr>
            <w:r>
              <w:rPr>
                <w:rFonts w:ascii="Times New Roman" w:cs="Times New Roman" w:eastAsia="Times New Roman" w:hAnsi="Times New Roman"/>
                <w:sz w:val="15"/>
                <w:szCs w:val="15"/>
                <w:b w:val="1"/>
                <w:bCs w:val="1"/>
                <w:color w:val="auto"/>
                <w:w w:val="88"/>
              </w:rPr>
              <w:t>2.</w:t>
            </w:r>
          </w:p>
        </w:tc>
        <w:tc>
          <w:tcPr>
            <w:tcW w:w="38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Grant of Rights; Non-Compete</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w:t>
            </w:r>
          </w:p>
        </w:tc>
      </w:tr>
      <w:tr>
        <w:trPr>
          <w:trHeight w:val="335"/>
        </w:trPr>
        <w:tc>
          <w:tcPr>
            <w:tcW w:w="54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2.1</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License Grants</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w:t>
            </w:r>
          </w:p>
        </w:tc>
      </w:tr>
      <w:tr>
        <w:trPr>
          <w:trHeight w:val="176"/>
        </w:trPr>
        <w:tc>
          <w:tcPr>
            <w:tcW w:w="54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2.2</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Sublicensing by Licensee</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16</w:t>
            </w:r>
          </w:p>
        </w:tc>
      </w:tr>
      <w:tr>
        <w:trPr>
          <w:trHeight w:val="176"/>
        </w:trPr>
        <w:tc>
          <w:tcPr>
            <w:tcW w:w="54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2.3</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Retained Rights</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w:t>
            </w:r>
          </w:p>
        </w:tc>
      </w:tr>
      <w:tr>
        <w:trPr>
          <w:trHeight w:val="176"/>
        </w:trPr>
        <w:tc>
          <w:tcPr>
            <w:tcW w:w="54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2.4</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Upstream Licenses</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w:t>
            </w:r>
          </w:p>
        </w:tc>
      </w:tr>
      <w:tr>
        <w:trPr>
          <w:trHeight w:val="176"/>
        </w:trPr>
        <w:tc>
          <w:tcPr>
            <w:tcW w:w="54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2.5</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Non-Compete</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18</w:t>
            </w:r>
          </w:p>
        </w:tc>
      </w:tr>
      <w:tr>
        <w:trPr>
          <w:trHeight w:val="176"/>
        </w:trPr>
        <w:tc>
          <w:tcPr>
            <w:tcW w:w="54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2.6</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No Other Rights</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18</w:t>
            </w:r>
          </w:p>
        </w:tc>
      </w:tr>
      <w:tr>
        <w:trPr>
          <w:trHeight w:val="192"/>
        </w:trPr>
        <w:tc>
          <w:tcPr>
            <w:tcW w:w="54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2.7</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Technology Transfer</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18</w:t>
            </w:r>
          </w:p>
        </w:tc>
      </w:tr>
      <w:tr>
        <w:trPr>
          <w:trHeight w:val="352"/>
        </w:trPr>
        <w:tc>
          <w:tcPr>
            <w:tcW w:w="540" w:type="dxa"/>
            <w:vAlign w:val="bottom"/>
          </w:tcPr>
          <w:p>
            <w:pPr>
              <w:jc w:val="right"/>
              <w:ind w:right="347"/>
              <w:spacing w:after="0"/>
              <w:rPr>
                <w:sz w:val="20"/>
                <w:szCs w:val="20"/>
                <w:color w:val="auto"/>
              </w:rPr>
            </w:pPr>
            <w:r>
              <w:rPr>
                <w:rFonts w:ascii="Times New Roman" w:cs="Times New Roman" w:eastAsia="Times New Roman" w:hAnsi="Times New Roman"/>
                <w:sz w:val="15"/>
                <w:szCs w:val="15"/>
                <w:b w:val="1"/>
                <w:bCs w:val="1"/>
                <w:color w:val="auto"/>
                <w:w w:val="88"/>
              </w:rPr>
              <w:t>3.</w:t>
            </w:r>
          </w:p>
        </w:tc>
        <w:tc>
          <w:tcPr>
            <w:tcW w:w="38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Governance</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19</w:t>
            </w:r>
          </w:p>
        </w:tc>
      </w:tr>
      <w:tr>
        <w:trPr>
          <w:trHeight w:val="335"/>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3.1</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Joint Steering Committee</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19</w:t>
            </w:r>
          </w:p>
        </w:tc>
      </w:tr>
      <w:tr>
        <w:trPr>
          <w:trHeight w:val="176"/>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3.2</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Subcommittees</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w:t>
            </w:r>
          </w:p>
        </w:tc>
      </w:tr>
      <w:tr>
        <w:trPr>
          <w:trHeight w:val="176"/>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3.3</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Limitations on Authority</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w:t>
            </w:r>
          </w:p>
        </w:tc>
      </w:tr>
      <w:tr>
        <w:trPr>
          <w:trHeight w:val="176"/>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3.4</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Minutes</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w:t>
            </w: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3.5</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Alliance Managers</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w:t>
            </w:r>
          </w:p>
        </w:tc>
      </w:tr>
      <w:tr>
        <w:trPr>
          <w:trHeight w:val="352"/>
        </w:trPr>
        <w:tc>
          <w:tcPr>
            <w:tcW w:w="540" w:type="dxa"/>
            <w:vAlign w:val="bottom"/>
          </w:tcPr>
          <w:p>
            <w:pPr>
              <w:jc w:val="right"/>
              <w:ind w:right="347"/>
              <w:spacing w:after="0"/>
              <w:rPr>
                <w:sz w:val="20"/>
                <w:szCs w:val="20"/>
                <w:color w:val="auto"/>
              </w:rPr>
            </w:pPr>
            <w:r>
              <w:rPr>
                <w:rFonts w:ascii="Times New Roman" w:cs="Times New Roman" w:eastAsia="Times New Roman" w:hAnsi="Times New Roman"/>
                <w:sz w:val="15"/>
                <w:szCs w:val="15"/>
                <w:b w:val="1"/>
                <w:bCs w:val="1"/>
                <w:color w:val="auto"/>
                <w:w w:val="88"/>
              </w:rPr>
              <w:t>4.</w:t>
            </w:r>
          </w:p>
        </w:tc>
        <w:tc>
          <w:tcPr>
            <w:tcW w:w="38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Development</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w:t>
            </w:r>
          </w:p>
        </w:tc>
      </w:tr>
      <w:tr>
        <w:trPr>
          <w:trHeight w:val="335"/>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4.1</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General</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w:t>
            </w:r>
          </w:p>
        </w:tc>
      </w:tr>
      <w:tr>
        <w:trPr>
          <w:trHeight w:val="176"/>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4.2</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Development Plan</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22</w:t>
            </w:r>
          </w:p>
        </w:tc>
      </w:tr>
      <w:tr>
        <w:trPr>
          <w:trHeight w:val="176"/>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4.3</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Local Studies</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22</w:t>
            </w:r>
          </w:p>
        </w:tc>
      </w:tr>
      <w:tr>
        <w:trPr>
          <w:trHeight w:val="176"/>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4.4</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Global Studies</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22</w:t>
            </w:r>
          </w:p>
        </w:tc>
      </w:tr>
      <w:tr>
        <w:trPr>
          <w:trHeight w:val="176"/>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4.5</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Development Records</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26</w:t>
            </w:r>
          </w:p>
        </w:tc>
      </w:tr>
      <w:tr>
        <w:trPr>
          <w:trHeight w:val="176"/>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4.6</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Right to Subcontract Development Activities</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27</w:t>
            </w:r>
          </w:p>
        </w:tc>
      </w:tr>
      <w:tr>
        <w:trPr>
          <w:trHeight w:val="176"/>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4.7</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Reports of Development Activities</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27</w:t>
            </w: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4.8</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Access to Data</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27</w:t>
            </w:r>
          </w:p>
        </w:tc>
      </w:tr>
      <w:tr>
        <w:trPr>
          <w:trHeight w:val="352"/>
        </w:trPr>
        <w:tc>
          <w:tcPr>
            <w:tcW w:w="540" w:type="dxa"/>
            <w:vAlign w:val="bottom"/>
          </w:tcPr>
          <w:p>
            <w:pPr>
              <w:jc w:val="right"/>
              <w:ind w:right="347"/>
              <w:spacing w:after="0"/>
              <w:rPr>
                <w:sz w:val="20"/>
                <w:szCs w:val="20"/>
                <w:color w:val="auto"/>
              </w:rPr>
            </w:pPr>
            <w:r>
              <w:rPr>
                <w:rFonts w:ascii="Times New Roman" w:cs="Times New Roman" w:eastAsia="Times New Roman" w:hAnsi="Times New Roman"/>
                <w:sz w:val="15"/>
                <w:szCs w:val="15"/>
                <w:b w:val="1"/>
                <w:bCs w:val="1"/>
                <w:color w:val="auto"/>
                <w:w w:val="88"/>
              </w:rPr>
              <w:t>5.</w:t>
            </w:r>
          </w:p>
        </w:tc>
        <w:tc>
          <w:tcPr>
            <w:tcW w:w="38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Regulatory Matters</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27</w:t>
            </w:r>
          </w:p>
        </w:tc>
      </w:tr>
      <w:tr>
        <w:trPr>
          <w:trHeight w:val="335"/>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5.1</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General</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27</w:t>
            </w:r>
          </w:p>
        </w:tc>
      </w:tr>
      <w:tr>
        <w:trPr>
          <w:trHeight w:val="176"/>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5.2</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Regulatory Expenses</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28</w:t>
            </w:r>
          </w:p>
        </w:tc>
      </w:tr>
      <w:tr>
        <w:trPr>
          <w:trHeight w:val="176"/>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5.3</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Regulatory Filings</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28</w:t>
            </w:r>
          </w:p>
        </w:tc>
      </w:tr>
      <w:tr>
        <w:trPr>
          <w:trHeight w:val="176"/>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5.4</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Right of Reference</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28</w:t>
            </w:r>
          </w:p>
        </w:tc>
      </w:tr>
      <w:tr>
        <w:trPr>
          <w:trHeight w:val="176"/>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5.5</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Notice of Meetings</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28</w:t>
            </w:r>
          </w:p>
        </w:tc>
      </w:tr>
      <w:tr>
        <w:trPr>
          <w:trHeight w:val="176"/>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5.6</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Remedial Actions</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29</w:t>
            </w:r>
          </w:p>
        </w:tc>
      </w:tr>
      <w:tr>
        <w:trPr>
          <w:trHeight w:val="176"/>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5.7</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Safety Database</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29</w:t>
            </w: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5.8</w:t>
            </w:r>
          </w:p>
        </w:tc>
        <w:tc>
          <w:tcPr>
            <w:tcW w:w="380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No Harmful Actions</w:t>
            </w:r>
          </w:p>
        </w:tc>
        <w:tc>
          <w:tcPr>
            <w:tcW w:w="6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30</w:t>
            </w:r>
          </w:p>
        </w:tc>
      </w:tr>
    </w:tbl>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24" w:name="page425"/>
    <w:bookmarkEnd w:id="424"/>
    <w:tbl>
      <w:tblPr>
        <w:tblLayout w:type="fixed"/>
        <w:tblInd w:w="0" w:type="dxa"/>
        <w:tblCellMar>
          <w:top w:w="0" w:type="dxa"/>
          <w:left w:w="0" w:type="dxa"/>
          <w:bottom w:w="0" w:type="dxa"/>
          <w:right w:w="0" w:type="dxa"/>
        </w:tblCellMar>
      </w:tblPr>
      <w:tr>
        <w:trPr>
          <w:trHeight w:val="192"/>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5.9</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Notification of Threatened Action</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30</w:t>
            </w:r>
          </w:p>
        </w:tc>
      </w:tr>
      <w:tr>
        <w:trPr>
          <w:trHeight w:val="352"/>
        </w:trPr>
        <w:tc>
          <w:tcPr>
            <w:tcW w:w="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6.</w:t>
            </w:r>
          </w:p>
        </w:tc>
        <w:tc>
          <w:tcPr>
            <w:tcW w:w="7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Manufacture and Supply</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30</w:t>
            </w:r>
          </w:p>
        </w:tc>
      </w:tr>
      <w:tr>
        <w:trPr>
          <w:trHeight w:val="335"/>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6.1</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Clinical Supply</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30</w:t>
            </w:r>
          </w:p>
        </w:tc>
      </w:tr>
      <w:tr>
        <w:trPr>
          <w:trHeight w:val="176"/>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6.2</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Commercial Supply</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31</w:t>
            </w:r>
          </w:p>
        </w:tc>
      </w:tr>
      <w:tr>
        <w:trPr>
          <w:trHeight w:val="176"/>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6.3</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Shortfall</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32</w:t>
            </w:r>
          </w:p>
        </w:tc>
      </w:tr>
      <w:tr>
        <w:trPr>
          <w:trHeight w:val="176"/>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6.4</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Quality Agreements</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32</w:t>
            </w:r>
          </w:p>
        </w:tc>
      </w:tr>
      <w:tr>
        <w:trPr>
          <w:trHeight w:val="192"/>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6.5</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Licensee Right to Manufacture the Products</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33</w:t>
            </w:r>
          </w:p>
        </w:tc>
      </w:tr>
      <w:tr>
        <w:trPr>
          <w:trHeight w:val="352"/>
        </w:trPr>
        <w:tc>
          <w:tcPr>
            <w:tcW w:w="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7.</w:t>
            </w:r>
          </w:p>
        </w:tc>
        <w:tc>
          <w:tcPr>
            <w:tcW w:w="7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Commercialization</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33</w:t>
            </w:r>
          </w:p>
        </w:tc>
      </w:tr>
      <w:tr>
        <w:trPr>
          <w:trHeight w:val="335"/>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7.1</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Commercialization Activities</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33</w:t>
            </w:r>
          </w:p>
        </w:tc>
      </w:tr>
      <w:tr>
        <w:trPr>
          <w:trHeight w:val="176"/>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7.2</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Commercialization Plan</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34</w:t>
            </w:r>
          </w:p>
        </w:tc>
      </w:tr>
      <w:tr>
        <w:trPr>
          <w:trHeight w:val="176"/>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7.3</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Commercialization Reports</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34</w:t>
            </w:r>
          </w:p>
        </w:tc>
      </w:tr>
      <w:tr>
        <w:trPr>
          <w:trHeight w:val="192"/>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7.4</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Diversion</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34</w:t>
            </w:r>
          </w:p>
        </w:tc>
      </w:tr>
      <w:tr>
        <w:trPr>
          <w:trHeight w:val="352"/>
        </w:trPr>
        <w:tc>
          <w:tcPr>
            <w:tcW w:w="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8.</w:t>
            </w:r>
          </w:p>
        </w:tc>
        <w:tc>
          <w:tcPr>
            <w:tcW w:w="7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34</w:t>
            </w:r>
          </w:p>
        </w:tc>
      </w:tr>
      <w:tr>
        <w:trPr>
          <w:trHeight w:val="335"/>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8.1</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Upfront Payment</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34</w:t>
            </w:r>
          </w:p>
        </w:tc>
      </w:tr>
      <w:tr>
        <w:trPr>
          <w:trHeight w:val="176"/>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8.2</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Milestones</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35</w:t>
            </w:r>
          </w:p>
        </w:tc>
      </w:tr>
      <w:tr>
        <w:trPr>
          <w:trHeight w:val="176"/>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8.3</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Royalty</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36</w:t>
            </w:r>
          </w:p>
        </w:tc>
      </w:tr>
      <w:tr>
        <w:trPr>
          <w:trHeight w:val="176"/>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8.4</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Royalty Reduction</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37</w:t>
            </w:r>
          </w:p>
        </w:tc>
      </w:tr>
      <w:tr>
        <w:trPr>
          <w:trHeight w:val="176"/>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8.5</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Taxes and Withholding</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37</w:t>
            </w:r>
          </w:p>
        </w:tc>
      </w:tr>
      <w:tr>
        <w:trPr>
          <w:trHeight w:val="176"/>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8.6</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Currency; Exchange Rate</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38</w:t>
            </w:r>
          </w:p>
        </w:tc>
      </w:tr>
      <w:tr>
        <w:trPr>
          <w:trHeight w:val="176"/>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8.7</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Method of Payment; Payment Terms</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38</w:t>
            </w:r>
          </w:p>
        </w:tc>
      </w:tr>
      <w:tr>
        <w:trPr>
          <w:trHeight w:val="176"/>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8.8</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Record Keeping</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38</w:t>
            </w:r>
          </w:p>
        </w:tc>
      </w:tr>
      <w:tr>
        <w:trPr>
          <w:trHeight w:val="176"/>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8.9</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Audits</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39</w:t>
            </w:r>
          </w:p>
        </w:tc>
      </w:tr>
      <w:tr>
        <w:trPr>
          <w:trHeight w:val="176"/>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8"/>
              </w:rPr>
              <w:t>8.10</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Underpayments/Overpayments</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39</w:t>
            </w:r>
          </w:p>
        </w:tc>
      </w:tr>
      <w:tr>
        <w:trPr>
          <w:trHeight w:val="176"/>
        </w:trPr>
        <w:tc>
          <w:tcPr>
            <w:tcW w:w="560" w:type="dxa"/>
            <w:vAlign w:val="bottom"/>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1"/>
              </w:rPr>
              <w:t>8.11</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39</w:t>
            </w:r>
          </w:p>
        </w:tc>
      </w:tr>
      <w:tr>
        <w:trPr>
          <w:trHeight w:val="192"/>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8"/>
              </w:rPr>
              <w:t>8.12</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Offset Rights</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39</w:t>
            </w:r>
          </w:p>
        </w:tc>
      </w:tr>
      <w:tr>
        <w:trPr>
          <w:trHeight w:val="352"/>
        </w:trPr>
        <w:tc>
          <w:tcPr>
            <w:tcW w:w="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9.</w:t>
            </w:r>
          </w:p>
        </w:tc>
        <w:tc>
          <w:tcPr>
            <w:tcW w:w="7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Covenants</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40</w:t>
            </w:r>
          </w:p>
        </w:tc>
      </w:tr>
      <w:tr>
        <w:trPr>
          <w:trHeight w:val="335"/>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9.1</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Confidentiality</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40</w:t>
            </w:r>
          </w:p>
        </w:tc>
      </w:tr>
      <w:tr>
        <w:trPr>
          <w:trHeight w:val="176"/>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9.2</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Compliance with Law</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43</w:t>
            </w:r>
          </w:p>
        </w:tc>
      </w:tr>
      <w:tr>
        <w:trPr>
          <w:trHeight w:val="176"/>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9.3</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Compliance with Anti-Corruption Policies and Anti-Corruption Laws</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43</w:t>
            </w:r>
          </w:p>
        </w:tc>
      </w:tr>
      <w:tr>
        <w:trPr>
          <w:trHeight w:val="192"/>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5"/>
              </w:rPr>
              <w:t>9.4</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Agreement</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44</w:t>
            </w:r>
          </w:p>
        </w:tc>
      </w:tr>
      <w:tr>
        <w:trPr>
          <w:trHeight w:val="352"/>
        </w:trPr>
        <w:tc>
          <w:tcPr>
            <w:tcW w:w="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10.</w:t>
            </w:r>
          </w:p>
        </w:tc>
        <w:tc>
          <w:tcPr>
            <w:tcW w:w="7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Representations and Warranties</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45</w:t>
            </w:r>
          </w:p>
        </w:tc>
      </w:tr>
      <w:tr>
        <w:trPr>
          <w:trHeight w:val="335"/>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8"/>
              </w:rPr>
              <w:t>10.1</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Representations and Warranties of Each Party</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45</w:t>
            </w:r>
          </w:p>
        </w:tc>
      </w:tr>
      <w:tr>
        <w:trPr>
          <w:trHeight w:val="176"/>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8"/>
              </w:rPr>
              <w:t>10.2</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Additional Representations, Warranties and Covenants</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46</w:t>
            </w:r>
          </w:p>
        </w:tc>
      </w:tr>
      <w:tr>
        <w:trPr>
          <w:trHeight w:val="192"/>
        </w:trPr>
        <w:tc>
          <w:tcPr>
            <w:tcW w:w="560" w:type="dxa"/>
            <w:vAlign w:val="bottom"/>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8"/>
              </w:rPr>
              <w:t>10.3</w:t>
            </w:r>
          </w:p>
        </w:tc>
        <w:tc>
          <w:tcPr>
            <w:tcW w:w="76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Representation by Legal Counsel</w:t>
            </w:r>
          </w:p>
        </w:tc>
        <w:tc>
          <w:tcPr>
            <w:tcW w:w="3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49</w:t>
            </w:r>
          </w:p>
        </w:tc>
      </w:tr>
    </w:tbl>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25" w:name="page426"/>
    <w:bookmarkEnd w:id="425"/>
    <w:tbl>
      <w:tblPr>
        <w:tblLayout w:type="fixed"/>
        <w:tblInd w:w="0" w:type="dxa"/>
        <w:tblCellMar>
          <w:top w:w="0" w:type="dxa"/>
          <w:left w:w="0" w:type="dxa"/>
          <w:bottom w:w="0" w:type="dxa"/>
          <w:right w:w="0" w:type="dxa"/>
        </w:tblCellMar>
      </w:tblPr>
      <w:tr>
        <w:trPr>
          <w:trHeight w:val="176"/>
        </w:trPr>
        <w:tc>
          <w:tcPr>
            <w:tcW w:w="580" w:type="dxa"/>
            <w:vAlign w:val="bottom"/>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8"/>
              </w:rPr>
              <w:t>10.4</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No Inconsistent Agreements</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49</w:t>
            </w:r>
          </w:p>
        </w:tc>
      </w:tr>
      <w:tr>
        <w:trPr>
          <w:trHeight w:val="192"/>
        </w:trPr>
        <w:tc>
          <w:tcPr>
            <w:tcW w:w="580" w:type="dxa"/>
            <w:vAlign w:val="bottom"/>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8"/>
              </w:rPr>
              <w:t>10.5</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Disclaimer</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50</w:t>
            </w:r>
          </w:p>
        </w:tc>
      </w:tr>
      <w:tr>
        <w:trPr>
          <w:trHeight w:val="352"/>
        </w:trPr>
        <w:tc>
          <w:tcPr>
            <w:tcW w:w="5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11.</w:t>
            </w:r>
          </w:p>
        </w:tc>
        <w:tc>
          <w:tcPr>
            <w:tcW w:w="6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Intellectual Property</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50</w:t>
            </w:r>
          </w:p>
        </w:tc>
      </w:tr>
      <w:tr>
        <w:trPr>
          <w:trHeight w:val="335"/>
        </w:trPr>
        <w:tc>
          <w:tcPr>
            <w:tcW w:w="580" w:type="dxa"/>
            <w:vAlign w:val="bottom"/>
          </w:tcPr>
          <w:p>
            <w:pPr>
              <w:jc w:val="center"/>
              <w:ind w:left="147"/>
              <w:spacing w:after="0"/>
              <w:rPr>
                <w:sz w:val="20"/>
                <w:szCs w:val="20"/>
                <w:color w:val="auto"/>
              </w:rPr>
            </w:pPr>
            <w:r>
              <w:rPr>
                <w:rFonts w:ascii="Times New Roman" w:cs="Times New Roman" w:eastAsia="Times New Roman" w:hAnsi="Times New Roman"/>
                <w:sz w:val="15"/>
                <w:szCs w:val="15"/>
                <w:b w:val="1"/>
                <w:bCs w:val="1"/>
                <w:color w:val="auto"/>
                <w:w w:val="91"/>
              </w:rPr>
              <w:t>11.1</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Disclosure</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50</w:t>
            </w:r>
          </w:p>
        </w:tc>
      </w:tr>
      <w:tr>
        <w:trPr>
          <w:trHeight w:val="176"/>
        </w:trPr>
        <w:tc>
          <w:tcPr>
            <w:tcW w:w="580" w:type="dxa"/>
            <w:vAlign w:val="bottom"/>
          </w:tcPr>
          <w:p>
            <w:pPr>
              <w:jc w:val="center"/>
              <w:ind w:left="147"/>
              <w:spacing w:after="0"/>
              <w:rPr>
                <w:sz w:val="20"/>
                <w:szCs w:val="20"/>
                <w:color w:val="auto"/>
              </w:rPr>
            </w:pPr>
            <w:r>
              <w:rPr>
                <w:rFonts w:ascii="Times New Roman" w:cs="Times New Roman" w:eastAsia="Times New Roman" w:hAnsi="Times New Roman"/>
                <w:sz w:val="15"/>
                <w:szCs w:val="15"/>
                <w:b w:val="1"/>
                <w:bCs w:val="1"/>
                <w:color w:val="auto"/>
                <w:w w:val="91"/>
              </w:rPr>
              <w:t>11.2</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50</w:t>
            </w:r>
          </w:p>
        </w:tc>
      </w:tr>
      <w:tr>
        <w:trPr>
          <w:trHeight w:val="176"/>
        </w:trPr>
        <w:tc>
          <w:tcPr>
            <w:tcW w:w="580" w:type="dxa"/>
            <w:vAlign w:val="bottom"/>
          </w:tcPr>
          <w:p>
            <w:pPr>
              <w:jc w:val="center"/>
              <w:ind w:left="147"/>
              <w:spacing w:after="0"/>
              <w:rPr>
                <w:sz w:val="20"/>
                <w:szCs w:val="20"/>
                <w:color w:val="auto"/>
              </w:rPr>
            </w:pPr>
            <w:r>
              <w:rPr>
                <w:rFonts w:ascii="Times New Roman" w:cs="Times New Roman" w:eastAsia="Times New Roman" w:hAnsi="Times New Roman"/>
                <w:sz w:val="15"/>
                <w:szCs w:val="15"/>
                <w:b w:val="1"/>
                <w:bCs w:val="1"/>
                <w:color w:val="auto"/>
                <w:w w:val="91"/>
              </w:rPr>
              <w:t>11.3</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Prosecution and Maintenance of Patent Rights</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52</w:t>
            </w:r>
          </w:p>
        </w:tc>
      </w:tr>
      <w:tr>
        <w:trPr>
          <w:trHeight w:val="176"/>
        </w:trPr>
        <w:tc>
          <w:tcPr>
            <w:tcW w:w="580" w:type="dxa"/>
            <w:vAlign w:val="bottom"/>
          </w:tcPr>
          <w:p>
            <w:pPr>
              <w:jc w:val="center"/>
              <w:ind w:left="147"/>
              <w:spacing w:after="0"/>
              <w:rPr>
                <w:sz w:val="20"/>
                <w:szCs w:val="20"/>
                <w:color w:val="auto"/>
              </w:rPr>
            </w:pPr>
            <w:r>
              <w:rPr>
                <w:rFonts w:ascii="Times New Roman" w:cs="Times New Roman" w:eastAsia="Times New Roman" w:hAnsi="Times New Roman"/>
                <w:sz w:val="15"/>
                <w:szCs w:val="15"/>
                <w:b w:val="1"/>
                <w:bCs w:val="1"/>
                <w:color w:val="auto"/>
                <w:w w:val="91"/>
              </w:rPr>
              <w:t>11.4</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Product Trademarks</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52</w:t>
            </w:r>
          </w:p>
        </w:tc>
      </w:tr>
      <w:tr>
        <w:trPr>
          <w:trHeight w:val="176"/>
        </w:trPr>
        <w:tc>
          <w:tcPr>
            <w:tcW w:w="580" w:type="dxa"/>
            <w:vAlign w:val="bottom"/>
          </w:tcPr>
          <w:p>
            <w:pPr>
              <w:jc w:val="center"/>
              <w:ind w:left="147"/>
              <w:spacing w:after="0"/>
              <w:rPr>
                <w:sz w:val="20"/>
                <w:szCs w:val="20"/>
                <w:color w:val="auto"/>
              </w:rPr>
            </w:pPr>
            <w:r>
              <w:rPr>
                <w:rFonts w:ascii="Times New Roman" w:cs="Times New Roman" w:eastAsia="Times New Roman" w:hAnsi="Times New Roman"/>
                <w:sz w:val="15"/>
                <w:szCs w:val="15"/>
                <w:b w:val="1"/>
                <w:bCs w:val="1"/>
                <w:color w:val="auto"/>
                <w:w w:val="91"/>
              </w:rPr>
              <w:t>11.5</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Enforcement of Intellectual Property</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53</w:t>
            </w:r>
          </w:p>
        </w:tc>
      </w:tr>
      <w:tr>
        <w:trPr>
          <w:trHeight w:val="176"/>
        </w:trPr>
        <w:tc>
          <w:tcPr>
            <w:tcW w:w="580" w:type="dxa"/>
            <w:vAlign w:val="bottom"/>
          </w:tcPr>
          <w:p>
            <w:pPr>
              <w:jc w:val="center"/>
              <w:ind w:left="147"/>
              <w:spacing w:after="0"/>
              <w:rPr>
                <w:sz w:val="20"/>
                <w:szCs w:val="20"/>
                <w:color w:val="auto"/>
              </w:rPr>
            </w:pPr>
            <w:r>
              <w:rPr>
                <w:rFonts w:ascii="Times New Roman" w:cs="Times New Roman" w:eastAsia="Times New Roman" w:hAnsi="Times New Roman"/>
                <w:sz w:val="15"/>
                <w:szCs w:val="15"/>
                <w:b w:val="1"/>
                <w:bCs w:val="1"/>
                <w:color w:val="auto"/>
                <w:w w:val="91"/>
              </w:rPr>
              <w:t>11.6</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Third Party Claims</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53</w:t>
            </w:r>
          </w:p>
        </w:tc>
      </w:tr>
      <w:tr>
        <w:trPr>
          <w:trHeight w:val="176"/>
        </w:trPr>
        <w:tc>
          <w:tcPr>
            <w:tcW w:w="580" w:type="dxa"/>
            <w:vAlign w:val="bottom"/>
          </w:tcPr>
          <w:p>
            <w:pPr>
              <w:jc w:val="center"/>
              <w:ind w:left="147"/>
              <w:spacing w:after="0"/>
              <w:rPr>
                <w:sz w:val="20"/>
                <w:szCs w:val="20"/>
                <w:color w:val="auto"/>
              </w:rPr>
            </w:pPr>
            <w:r>
              <w:rPr>
                <w:rFonts w:ascii="Times New Roman" w:cs="Times New Roman" w:eastAsia="Times New Roman" w:hAnsi="Times New Roman"/>
                <w:sz w:val="15"/>
                <w:szCs w:val="15"/>
                <w:b w:val="1"/>
                <w:bCs w:val="1"/>
                <w:color w:val="auto"/>
                <w:w w:val="91"/>
              </w:rPr>
              <w:t>11.7</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Third Party Patent Challenge</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53</w:t>
            </w:r>
          </w:p>
        </w:tc>
      </w:tr>
      <w:tr>
        <w:trPr>
          <w:trHeight w:val="176"/>
        </w:trPr>
        <w:tc>
          <w:tcPr>
            <w:tcW w:w="580" w:type="dxa"/>
            <w:vAlign w:val="bottom"/>
          </w:tcPr>
          <w:p>
            <w:pPr>
              <w:jc w:val="center"/>
              <w:ind w:left="147"/>
              <w:spacing w:after="0"/>
              <w:rPr>
                <w:sz w:val="20"/>
                <w:szCs w:val="20"/>
                <w:color w:val="auto"/>
              </w:rPr>
            </w:pPr>
            <w:r>
              <w:rPr>
                <w:rFonts w:ascii="Times New Roman" w:cs="Times New Roman" w:eastAsia="Times New Roman" w:hAnsi="Times New Roman"/>
                <w:sz w:val="15"/>
                <w:szCs w:val="15"/>
                <w:b w:val="1"/>
                <w:bCs w:val="1"/>
                <w:color w:val="auto"/>
                <w:w w:val="91"/>
              </w:rPr>
              <w:t>11.8</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Patent Term Extensions</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54</w:t>
            </w:r>
          </w:p>
        </w:tc>
      </w:tr>
      <w:tr>
        <w:trPr>
          <w:trHeight w:val="176"/>
        </w:trPr>
        <w:tc>
          <w:tcPr>
            <w:tcW w:w="580" w:type="dxa"/>
            <w:vAlign w:val="bottom"/>
          </w:tcPr>
          <w:p>
            <w:pPr>
              <w:jc w:val="center"/>
              <w:ind w:left="147"/>
              <w:spacing w:after="0"/>
              <w:rPr>
                <w:sz w:val="20"/>
                <w:szCs w:val="20"/>
                <w:color w:val="auto"/>
              </w:rPr>
            </w:pPr>
            <w:r>
              <w:rPr>
                <w:rFonts w:ascii="Times New Roman" w:cs="Times New Roman" w:eastAsia="Times New Roman" w:hAnsi="Times New Roman"/>
                <w:sz w:val="15"/>
                <w:szCs w:val="15"/>
                <w:b w:val="1"/>
                <w:bCs w:val="1"/>
                <w:color w:val="auto"/>
                <w:w w:val="91"/>
              </w:rPr>
              <w:t>11.9</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Patent Marking</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54</w:t>
            </w:r>
          </w:p>
        </w:tc>
      </w:tr>
      <w:tr>
        <w:trPr>
          <w:trHeight w:val="176"/>
        </w:trPr>
        <w:tc>
          <w:tcPr>
            <w:tcW w:w="580" w:type="dxa"/>
            <w:vAlign w:val="bottom"/>
          </w:tcPr>
          <w:p>
            <w:pPr>
              <w:jc w:val="center"/>
              <w:ind w:left="147"/>
              <w:spacing w:after="0"/>
              <w:rPr>
                <w:sz w:val="20"/>
                <w:szCs w:val="20"/>
                <w:color w:val="auto"/>
              </w:rPr>
            </w:pPr>
            <w:r>
              <w:rPr>
                <w:rFonts w:ascii="Times New Roman" w:cs="Times New Roman" w:eastAsia="Times New Roman" w:hAnsi="Times New Roman"/>
                <w:sz w:val="15"/>
                <w:szCs w:val="15"/>
                <w:b w:val="1"/>
                <w:bCs w:val="1"/>
                <w:color w:val="auto"/>
                <w:w w:val="94"/>
              </w:rPr>
              <w:t>11.10</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Publication Strategy</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54</w:t>
            </w:r>
          </w:p>
        </w:tc>
      </w:tr>
      <w:tr>
        <w:trPr>
          <w:trHeight w:val="176"/>
        </w:trPr>
        <w:tc>
          <w:tcPr>
            <w:tcW w:w="580" w:type="dxa"/>
            <w:vAlign w:val="bottom"/>
          </w:tcPr>
          <w:p>
            <w:pPr>
              <w:jc w:val="center"/>
              <w:ind w:left="147"/>
              <w:spacing w:after="0"/>
              <w:rPr>
                <w:sz w:val="20"/>
                <w:szCs w:val="20"/>
                <w:color w:val="auto"/>
              </w:rPr>
            </w:pPr>
            <w:r>
              <w:rPr>
                <w:rFonts w:ascii="Times New Roman" w:cs="Times New Roman" w:eastAsia="Times New Roman" w:hAnsi="Times New Roman"/>
                <w:sz w:val="15"/>
                <w:szCs w:val="15"/>
                <w:b w:val="1"/>
                <w:bCs w:val="1"/>
                <w:color w:val="auto"/>
                <w:w w:val="94"/>
              </w:rPr>
              <w:t>11.11</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Privileged Communications</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54</w:t>
            </w:r>
          </w:p>
        </w:tc>
      </w:tr>
      <w:tr>
        <w:trPr>
          <w:trHeight w:val="192"/>
        </w:trPr>
        <w:tc>
          <w:tcPr>
            <w:tcW w:w="580" w:type="dxa"/>
            <w:vAlign w:val="bottom"/>
          </w:tcPr>
          <w:p>
            <w:pPr>
              <w:jc w:val="center"/>
              <w:ind w:left="147"/>
              <w:spacing w:after="0"/>
              <w:rPr>
                <w:sz w:val="20"/>
                <w:szCs w:val="20"/>
                <w:color w:val="auto"/>
              </w:rPr>
            </w:pPr>
            <w:r>
              <w:rPr>
                <w:rFonts w:ascii="Times New Roman" w:cs="Times New Roman" w:eastAsia="Times New Roman" w:hAnsi="Times New Roman"/>
                <w:sz w:val="15"/>
                <w:szCs w:val="15"/>
                <w:b w:val="1"/>
                <w:bCs w:val="1"/>
                <w:color w:val="auto"/>
                <w:w w:val="94"/>
              </w:rPr>
              <w:t>11.12</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Patent Challenge</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54</w:t>
            </w:r>
          </w:p>
        </w:tc>
      </w:tr>
      <w:tr>
        <w:trPr>
          <w:trHeight w:val="352"/>
        </w:trPr>
        <w:tc>
          <w:tcPr>
            <w:tcW w:w="5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12.</w:t>
            </w:r>
          </w:p>
        </w:tc>
        <w:tc>
          <w:tcPr>
            <w:tcW w:w="6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Government Approvals</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55</w:t>
            </w:r>
          </w:p>
        </w:tc>
      </w:tr>
      <w:tr>
        <w:trPr>
          <w:trHeight w:val="335"/>
        </w:trPr>
        <w:tc>
          <w:tcPr>
            <w:tcW w:w="580" w:type="dxa"/>
            <w:vAlign w:val="bottom"/>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8"/>
              </w:rPr>
              <w:t>12.1</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Zenas’s and Licensee’s Obligations</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55</w:t>
            </w:r>
          </w:p>
        </w:tc>
      </w:tr>
      <w:tr>
        <w:trPr>
          <w:trHeight w:val="192"/>
        </w:trPr>
        <w:tc>
          <w:tcPr>
            <w:tcW w:w="580" w:type="dxa"/>
            <w:vAlign w:val="bottom"/>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8"/>
              </w:rPr>
              <w:t>12.2</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Additional Approvals</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55</w:t>
            </w:r>
          </w:p>
        </w:tc>
      </w:tr>
      <w:tr>
        <w:trPr>
          <w:trHeight w:val="352"/>
        </w:trPr>
        <w:tc>
          <w:tcPr>
            <w:tcW w:w="5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13.</w:t>
            </w:r>
          </w:p>
        </w:tc>
        <w:tc>
          <w:tcPr>
            <w:tcW w:w="6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Term and Termination</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55</w:t>
            </w:r>
          </w:p>
        </w:tc>
      </w:tr>
      <w:tr>
        <w:trPr>
          <w:trHeight w:val="335"/>
        </w:trPr>
        <w:tc>
          <w:tcPr>
            <w:tcW w:w="580" w:type="dxa"/>
            <w:vAlign w:val="bottom"/>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8"/>
              </w:rPr>
              <w:t>13.1</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Term</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55</w:t>
            </w:r>
          </w:p>
        </w:tc>
      </w:tr>
      <w:tr>
        <w:trPr>
          <w:trHeight w:val="176"/>
        </w:trPr>
        <w:tc>
          <w:tcPr>
            <w:tcW w:w="580" w:type="dxa"/>
            <w:vAlign w:val="bottom"/>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8"/>
              </w:rPr>
              <w:t>13.2</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General Termination Rights</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55</w:t>
            </w:r>
          </w:p>
        </w:tc>
      </w:tr>
      <w:tr>
        <w:trPr>
          <w:trHeight w:val="176"/>
        </w:trPr>
        <w:tc>
          <w:tcPr>
            <w:tcW w:w="580" w:type="dxa"/>
            <w:vAlign w:val="bottom"/>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8"/>
              </w:rPr>
              <w:t>13.3</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Termination by Licensee</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56</w:t>
            </w:r>
          </w:p>
        </w:tc>
      </w:tr>
      <w:tr>
        <w:trPr>
          <w:trHeight w:val="176"/>
        </w:trPr>
        <w:tc>
          <w:tcPr>
            <w:tcW w:w="580" w:type="dxa"/>
            <w:vAlign w:val="bottom"/>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8"/>
              </w:rPr>
              <w:t>13.4</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Termination of Xencor Agreement</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56</w:t>
            </w:r>
          </w:p>
        </w:tc>
      </w:tr>
      <w:tr>
        <w:trPr>
          <w:trHeight w:val="192"/>
        </w:trPr>
        <w:tc>
          <w:tcPr>
            <w:tcW w:w="580" w:type="dxa"/>
            <w:vAlign w:val="bottom"/>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8"/>
              </w:rPr>
              <w:t>13.5</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Effects of Termination</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56</w:t>
            </w:r>
          </w:p>
        </w:tc>
      </w:tr>
      <w:tr>
        <w:trPr>
          <w:trHeight w:val="352"/>
        </w:trPr>
        <w:tc>
          <w:tcPr>
            <w:tcW w:w="5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14.</w:t>
            </w:r>
          </w:p>
        </w:tc>
        <w:tc>
          <w:tcPr>
            <w:tcW w:w="6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Indemnification and Insurance</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60</w:t>
            </w:r>
          </w:p>
        </w:tc>
      </w:tr>
      <w:tr>
        <w:trPr>
          <w:trHeight w:val="335"/>
        </w:trPr>
        <w:tc>
          <w:tcPr>
            <w:tcW w:w="580" w:type="dxa"/>
            <w:vAlign w:val="bottom"/>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8"/>
              </w:rPr>
              <w:t>14.1</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Indemnification by Zenas</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60</w:t>
            </w:r>
          </w:p>
        </w:tc>
      </w:tr>
      <w:tr>
        <w:trPr>
          <w:trHeight w:val="176"/>
        </w:trPr>
        <w:tc>
          <w:tcPr>
            <w:tcW w:w="580" w:type="dxa"/>
            <w:vAlign w:val="bottom"/>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8"/>
              </w:rPr>
              <w:t>14.2</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Indemnification by Licensee</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60</w:t>
            </w:r>
          </w:p>
        </w:tc>
      </w:tr>
      <w:tr>
        <w:trPr>
          <w:trHeight w:val="176"/>
        </w:trPr>
        <w:tc>
          <w:tcPr>
            <w:tcW w:w="580" w:type="dxa"/>
            <w:vAlign w:val="bottom"/>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8"/>
              </w:rPr>
              <w:t>14.3</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Procedure</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61</w:t>
            </w:r>
          </w:p>
        </w:tc>
      </w:tr>
      <w:tr>
        <w:trPr>
          <w:trHeight w:val="176"/>
        </w:trPr>
        <w:tc>
          <w:tcPr>
            <w:tcW w:w="580" w:type="dxa"/>
            <w:vAlign w:val="bottom"/>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8"/>
              </w:rPr>
              <w:t>14.4</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Insurance</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61</w:t>
            </w:r>
          </w:p>
        </w:tc>
      </w:tr>
      <w:tr>
        <w:trPr>
          <w:trHeight w:val="192"/>
        </w:trPr>
        <w:tc>
          <w:tcPr>
            <w:tcW w:w="580" w:type="dxa"/>
            <w:vAlign w:val="bottom"/>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8"/>
              </w:rPr>
              <w:t>14.5</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No Consequential Damages</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62</w:t>
            </w:r>
          </w:p>
        </w:tc>
      </w:tr>
      <w:tr>
        <w:trPr>
          <w:trHeight w:val="352"/>
        </w:trPr>
        <w:tc>
          <w:tcPr>
            <w:tcW w:w="5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15.</w:t>
            </w:r>
          </w:p>
        </w:tc>
        <w:tc>
          <w:tcPr>
            <w:tcW w:w="6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Miscellaneous</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62</w:t>
            </w:r>
          </w:p>
        </w:tc>
      </w:tr>
      <w:tr>
        <w:trPr>
          <w:trHeight w:val="335"/>
        </w:trPr>
        <w:tc>
          <w:tcPr>
            <w:tcW w:w="580" w:type="dxa"/>
            <w:vAlign w:val="bottom"/>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8"/>
              </w:rPr>
              <w:t>15.1</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Assignment</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62</w:t>
            </w:r>
          </w:p>
        </w:tc>
      </w:tr>
      <w:tr>
        <w:trPr>
          <w:trHeight w:val="176"/>
        </w:trPr>
        <w:tc>
          <w:tcPr>
            <w:tcW w:w="580" w:type="dxa"/>
            <w:vAlign w:val="bottom"/>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8"/>
              </w:rPr>
              <w:t>15.2</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Governing Law</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62</w:t>
            </w:r>
          </w:p>
        </w:tc>
      </w:tr>
      <w:tr>
        <w:trPr>
          <w:trHeight w:val="192"/>
        </w:trPr>
        <w:tc>
          <w:tcPr>
            <w:tcW w:w="580" w:type="dxa"/>
            <w:vAlign w:val="bottom"/>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8"/>
              </w:rPr>
              <w:t>15.3</w:t>
            </w:r>
          </w:p>
        </w:tc>
        <w:tc>
          <w:tcPr>
            <w:tcW w:w="6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Dispute Resolution</w:t>
            </w:r>
          </w:p>
        </w:tc>
        <w:tc>
          <w:tcPr>
            <w:tcW w:w="3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62</w:t>
            </w:r>
          </w:p>
        </w:tc>
      </w:tr>
    </w:tbl>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936" w:right="319" w:bottom="1440" w:gutter="0" w:footer="0" w:header="0"/>
        </w:sectPr>
      </w:pPr>
    </w:p>
    <w:bookmarkStart w:id="426" w:name="page427"/>
    <w:bookmarkEnd w:id="426"/>
    <w:tbl>
      <w:tblPr>
        <w:tblLayout w:type="fixed"/>
        <w:tblInd w:w="0" w:type="dxa"/>
        <w:tblCellMar>
          <w:top w:w="0" w:type="dxa"/>
          <w:left w:w="0" w:type="dxa"/>
          <w:bottom w:w="0" w:type="dxa"/>
          <w:right w:w="0" w:type="dxa"/>
        </w:tblCellMar>
      </w:tblPr>
      <w:tr>
        <w:trPr>
          <w:trHeight w:val="176"/>
        </w:trPr>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15.4</w:t>
            </w: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Force Majeure</w:t>
            </w:r>
          </w:p>
        </w:tc>
        <w:tc>
          <w:tcPr>
            <w:tcW w:w="3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64</w:t>
            </w:r>
          </w:p>
        </w:tc>
      </w:tr>
      <w:tr>
        <w:trPr>
          <w:trHeight w:val="176"/>
        </w:trPr>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15.5</w:t>
            </w:r>
          </w:p>
        </w:tc>
        <w:tc>
          <w:tcPr>
            <w:tcW w:w="9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Waiver</w:t>
            </w:r>
          </w:p>
        </w:tc>
        <w:tc>
          <w:tcPr>
            <w:tcW w:w="5980" w:type="dxa"/>
            <w:vAlign w:val="bottom"/>
          </w:tcPr>
          <w:p>
            <w:pPr>
              <w:spacing w:after="0"/>
              <w:rPr>
                <w:sz w:val="15"/>
                <w:szCs w:val="15"/>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65</w:t>
            </w:r>
          </w:p>
        </w:tc>
      </w:tr>
      <w:tr>
        <w:trPr>
          <w:trHeight w:val="176"/>
        </w:trPr>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15.6</w:t>
            </w:r>
          </w:p>
        </w:tc>
        <w:tc>
          <w:tcPr>
            <w:tcW w:w="9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Notices</w:t>
            </w:r>
          </w:p>
        </w:tc>
        <w:tc>
          <w:tcPr>
            <w:tcW w:w="5980" w:type="dxa"/>
            <w:vAlign w:val="bottom"/>
          </w:tcPr>
          <w:p>
            <w:pPr>
              <w:spacing w:after="0"/>
              <w:rPr>
                <w:sz w:val="15"/>
                <w:szCs w:val="15"/>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65</w:t>
            </w:r>
          </w:p>
        </w:tc>
      </w:tr>
      <w:tr>
        <w:trPr>
          <w:trHeight w:val="176"/>
        </w:trPr>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15.7</w:t>
            </w: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Entire Agreement</w:t>
            </w:r>
          </w:p>
        </w:tc>
        <w:tc>
          <w:tcPr>
            <w:tcW w:w="3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66</w:t>
            </w:r>
          </w:p>
        </w:tc>
      </w:tr>
      <w:tr>
        <w:trPr>
          <w:trHeight w:val="176"/>
        </w:trPr>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15.8</w:t>
            </w:r>
          </w:p>
        </w:tc>
        <w:tc>
          <w:tcPr>
            <w:tcW w:w="9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Schedules</w:t>
            </w:r>
          </w:p>
        </w:tc>
        <w:tc>
          <w:tcPr>
            <w:tcW w:w="5980" w:type="dxa"/>
            <w:vAlign w:val="bottom"/>
          </w:tcPr>
          <w:p>
            <w:pPr>
              <w:spacing w:after="0"/>
              <w:rPr>
                <w:sz w:val="15"/>
                <w:szCs w:val="15"/>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66</w:t>
            </w:r>
          </w:p>
        </w:tc>
      </w:tr>
      <w:tr>
        <w:trPr>
          <w:trHeight w:val="176"/>
        </w:trPr>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15.9</w:t>
            </w: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No Benefit to Others</w:t>
            </w:r>
          </w:p>
        </w:tc>
        <w:tc>
          <w:tcPr>
            <w:tcW w:w="3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66</w:t>
            </w:r>
          </w:p>
        </w:tc>
      </w:tr>
      <w:tr>
        <w:trPr>
          <w:trHeight w:val="176"/>
        </w:trPr>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15.10</w:t>
            </w:r>
          </w:p>
        </w:tc>
        <w:tc>
          <w:tcPr>
            <w:tcW w:w="9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Severability</w:t>
            </w:r>
          </w:p>
        </w:tc>
        <w:tc>
          <w:tcPr>
            <w:tcW w:w="5980" w:type="dxa"/>
            <w:vAlign w:val="bottom"/>
          </w:tcPr>
          <w:p>
            <w:pPr>
              <w:spacing w:after="0"/>
              <w:rPr>
                <w:sz w:val="15"/>
                <w:szCs w:val="15"/>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66</w:t>
            </w:r>
          </w:p>
        </w:tc>
      </w:tr>
      <w:tr>
        <w:trPr>
          <w:trHeight w:val="176"/>
        </w:trPr>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15.11</w:t>
            </w: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Further Assurance</w:t>
            </w:r>
          </w:p>
        </w:tc>
        <w:tc>
          <w:tcPr>
            <w:tcW w:w="3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67</w:t>
            </w:r>
          </w:p>
        </w:tc>
      </w:tr>
      <w:tr>
        <w:trPr>
          <w:trHeight w:val="176"/>
        </w:trPr>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15.12</w:t>
            </w:r>
          </w:p>
        </w:tc>
        <w:tc>
          <w:tcPr>
            <w:tcW w:w="9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Publicity</w:t>
            </w:r>
          </w:p>
        </w:tc>
        <w:tc>
          <w:tcPr>
            <w:tcW w:w="5980" w:type="dxa"/>
            <w:vAlign w:val="bottom"/>
          </w:tcPr>
          <w:p>
            <w:pPr>
              <w:spacing w:after="0"/>
              <w:rPr>
                <w:sz w:val="15"/>
                <w:szCs w:val="15"/>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67</w:t>
            </w:r>
          </w:p>
        </w:tc>
      </w:tr>
      <w:tr>
        <w:trPr>
          <w:trHeight w:val="176"/>
        </w:trPr>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15.13</w:t>
            </w: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Relationship of the Parties</w:t>
            </w:r>
          </w:p>
        </w:tc>
        <w:tc>
          <w:tcPr>
            <w:tcW w:w="3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67</w:t>
            </w:r>
          </w:p>
        </w:tc>
      </w:tr>
      <w:tr>
        <w:trPr>
          <w:trHeight w:val="176"/>
        </w:trPr>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15.14</w:t>
            </w:r>
          </w:p>
        </w:tc>
        <w:tc>
          <w:tcPr>
            <w:tcW w:w="9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Affiliates</w:t>
            </w:r>
          </w:p>
        </w:tc>
        <w:tc>
          <w:tcPr>
            <w:tcW w:w="5980" w:type="dxa"/>
            <w:vAlign w:val="bottom"/>
          </w:tcPr>
          <w:p>
            <w:pPr>
              <w:spacing w:after="0"/>
              <w:rPr>
                <w:sz w:val="15"/>
                <w:szCs w:val="15"/>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67</w:t>
            </w:r>
          </w:p>
        </w:tc>
      </w:tr>
      <w:tr>
        <w:trPr>
          <w:trHeight w:val="176"/>
        </w:trPr>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15.15</w:t>
            </w:r>
          </w:p>
        </w:tc>
        <w:tc>
          <w:tcPr>
            <w:tcW w:w="9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5980" w:type="dxa"/>
            <w:vAlign w:val="bottom"/>
          </w:tcPr>
          <w:p>
            <w:pPr>
              <w:spacing w:after="0"/>
              <w:rPr>
                <w:sz w:val="15"/>
                <w:szCs w:val="15"/>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67</w:t>
            </w:r>
          </w:p>
        </w:tc>
      </w:tr>
      <w:tr>
        <w:trPr>
          <w:trHeight w:val="192"/>
        </w:trPr>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15.16</w:t>
            </w:r>
          </w:p>
        </w:tc>
        <w:tc>
          <w:tcPr>
            <w:tcW w:w="9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w w:val="99"/>
              </w:rPr>
              <w:t>Counterparts</w:t>
            </w:r>
          </w:p>
        </w:tc>
        <w:tc>
          <w:tcPr>
            <w:tcW w:w="5980" w:type="dxa"/>
            <w:vAlign w:val="bottom"/>
          </w:tcPr>
          <w:p>
            <w:pPr>
              <w:spacing w:after="0"/>
              <w:rPr>
                <w:sz w:val="16"/>
                <w:szCs w:val="16"/>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67</w:t>
            </w:r>
          </w:p>
        </w:tc>
      </w:tr>
      <w:tr>
        <w:trPr>
          <w:trHeight w:val="337"/>
        </w:trPr>
        <w:tc>
          <w:tcPr>
            <w:tcW w:w="1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Schedule 1.21</w:t>
            </w:r>
          </w:p>
        </w:tc>
        <w:tc>
          <w:tcPr>
            <w:tcW w:w="5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Obexelimab</w:t>
            </w:r>
          </w:p>
        </w:tc>
        <w:tc>
          <w:tcPr>
            <w:tcW w:w="3620" w:type="dxa"/>
            <w:vAlign w:val="bottom"/>
          </w:tcPr>
          <w:p>
            <w:pPr>
              <w:spacing w:after="0"/>
              <w:rPr>
                <w:sz w:val="24"/>
                <w:szCs w:val="24"/>
                <w:color w:val="auto"/>
              </w:rPr>
            </w:pPr>
          </w:p>
        </w:tc>
      </w:tr>
      <w:tr>
        <w:trPr>
          <w:trHeight w:val="176"/>
        </w:trPr>
        <w:tc>
          <w:tcPr>
            <w:tcW w:w="1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Schedule 1.81</w:t>
            </w:r>
          </w:p>
        </w:tc>
        <w:tc>
          <w:tcPr>
            <w:tcW w:w="5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Specified Joint Patent Rights Biomarkers</w:t>
            </w:r>
          </w:p>
        </w:tc>
        <w:tc>
          <w:tcPr>
            <w:tcW w:w="3620" w:type="dxa"/>
            <w:vAlign w:val="bottom"/>
          </w:tcPr>
          <w:p>
            <w:pPr>
              <w:spacing w:after="0"/>
              <w:rPr>
                <w:sz w:val="15"/>
                <w:szCs w:val="15"/>
                <w:color w:val="auto"/>
              </w:rPr>
            </w:pPr>
          </w:p>
        </w:tc>
      </w:tr>
      <w:tr>
        <w:trPr>
          <w:trHeight w:val="176"/>
        </w:trPr>
        <w:tc>
          <w:tcPr>
            <w:tcW w:w="1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Schedule 1.95</w:t>
            </w:r>
          </w:p>
        </w:tc>
        <w:tc>
          <w:tcPr>
            <w:tcW w:w="5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Zenas Patent Rights</w:t>
            </w:r>
          </w:p>
        </w:tc>
        <w:tc>
          <w:tcPr>
            <w:tcW w:w="3620" w:type="dxa"/>
            <w:vAlign w:val="bottom"/>
          </w:tcPr>
          <w:p>
            <w:pPr>
              <w:spacing w:after="0"/>
              <w:rPr>
                <w:sz w:val="15"/>
                <w:szCs w:val="15"/>
                <w:color w:val="auto"/>
              </w:rPr>
            </w:pPr>
          </w:p>
        </w:tc>
      </w:tr>
      <w:tr>
        <w:trPr>
          <w:trHeight w:val="176"/>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w w:val="98"/>
              </w:rPr>
              <w:t>Schedule 2.4</w:t>
            </w:r>
          </w:p>
        </w:tc>
        <w:tc>
          <w:tcPr>
            <w:tcW w:w="900" w:type="dxa"/>
            <w:vAlign w:val="bottom"/>
          </w:tcPr>
          <w:p>
            <w:pPr>
              <w:spacing w:after="0"/>
              <w:rPr>
                <w:sz w:val="15"/>
                <w:szCs w:val="15"/>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Upstream Licenses</w:t>
            </w:r>
          </w:p>
        </w:tc>
        <w:tc>
          <w:tcPr>
            <w:tcW w:w="3620" w:type="dxa"/>
            <w:vAlign w:val="bottom"/>
          </w:tcPr>
          <w:p>
            <w:pPr>
              <w:spacing w:after="0"/>
              <w:rPr>
                <w:sz w:val="15"/>
                <w:szCs w:val="15"/>
                <w:color w:val="auto"/>
              </w:rPr>
            </w:pPr>
          </w:p>
        </w:tc>
      </w:tr>
      <w:tr>
        <w:trPr>
          <w:trHeight w:val="190"/>
        </w:trPr>
        <w:tc>
          <w:tcPr>
            <w:tcW w:w="1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Schedule 4.4.2(g)</w:t>
            </w:r>
          </w:p>
        </w:tc>
        <w:tc>
          <w:tcPr>
            <w:tcW w:w="5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Joint Development Plan and Budget [***]</w:t>
            </w:r>
          </w:p>
        </w:tc>
        <w:tc>
          <w:tcPr>
            <w:tcW w:w="3620" w:type="dxa"/>
            <w:vAlign w:val="bottom"/>
          </w:tcPr>
          <w:p>
            <w:pPr>
              <w:spacing w:after="0"/>
              <w:rPr>
                <w:sz w:val="16"/>
                <w:szCs w:val="16"/>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27" w:name="page428"/>
    <w:bookmarkEnd w:id="427"/>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LICENSE AGREEMENT</w:t>
      </w:r>
    </w:p>
    <w:p>
      <w:pPr>
        <w:spacing w:after="0" w:line="179" w:lineRule="exact"/>
        <w:rPr>
          <w:sz w:val="20"/>
          <w:szCs w:val="20"/>
          <w:color w:val="auto"/>
        </w:rPr>
      </w:pPr>
    </w:p>
    <w:p>
      <w:pPr>
        <w:jc w:val="both"/>
        <w:ind w:firstLine="527"/>
        <w:spacing w:after="0" w:line="258" w:lineRule="auto"/>
        <w:rPr>
          <w:sz w:val="20"/>
          <w:szCs w:val="20"/>
          <w:color w:val="auto"/>
        </w:rPr>
      </w:pPr>
      <w:r>
        <w:rPr>
          <w:rFonts w:ascii="Times New Roman" w:cs="Times New Roman" w:eastAsia="Times New Roman" w:hAnsi="Times New Roman"/>
          <w:sz w:val="15"/>
          <w:szCs w:val="15"/>
          <w:color w:val="auto"/>
        </w:rPr>
        <w:t>THIS LICENSE AGREEMENT (this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is made and entered into on August 30, 2023 (the “</w:t>
      </w:r>
      <w:r>
        <w:rPr>
          <w:rFonts w:ascii="Times New Roman" w:cs="Times New Roman" w:eastAsia="Times New Roman" w:hAnsi="Times New Roman"/>
          <w:sz w:val="15"/>
          <w:szCs w:val="15"/>
          <w:b w:val="1"/>
          <w:bCs w:val="1"/>
          <w:color w:val="auto"/>
        </w:rPr>
        <w:t>Effective Date</w:t>
      </w:r>
      <w:r>
        <w:rPr>
          <w:rFonts w:ascii="Times New Roman" w:cs="Times New Roman" w:eastAsia="Times New Roman" w:hAnsi="Times New Roman"/>
          <w:sz w:val="15"/>
          <w:szCs w:val="15"/>
          <w:color w:val="auto"/>
        </w:rPr>
        <w:t xml:space="preserve">”), by and between Zenas BioPharma, Inc., </w:t>
      </w:r>
      <w:r>
        <w:rPr>
          <w:rFonts w:ascii="Times New Roman" w:cs="Times New Roman" w:eastAsia="Times New Roman" w:hAnsi="Times New Roman"/>
          <w:sz w:val="15"/>
          <w:szCs w:val="15"/>
          <w:color w:val="232323"/>
        </w:rPr>
        <w:t>a Delaware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32323"/>
        </w:rPr>
        <w:t xml:space="preserve">corporation (formerly known as </w:t>
      </w:r>
      <w:r>
        <w:rPr>
          <w:rFonts w:ascii="Times New Roman" w:cs="Times New Roman" w:eastAsia="Times New Roman" w:hAnsi="Times New Roman"/>
          <w:sz w:val="15"/>
          <w:szCs w:val="15"/>
          <w:color w:val="000000"/>
        </w:rPr>
        <w:t>Zenas BioPharma (Cayman) Limited, an exempted company organized under the laws of the Cayman Islands) (“</w:t>
      </w:r>
      <w:r>
        <w:rPr>
          <w:rFonts w:ascii="Times New Roman" w:cs="Times New Roman" w:eastAsia="Times New Roman" w:hAnsi="Times New Roman"/>
          <w:sz w:val="15"/>
          <w:szCs w:val="15"/>
          <w:b w:val="1"/>
          <w:bCs w:val="1"/>
          <w:color w:val="000000"/>
        </w:rPr>
        <w:t>Zenas</w:t>
      </w:r>
      <w:r>
        <w:rPr>
          <w:rFonts w:ascii="Times New Roman" w:cs="Times New Roman" w:eastAsia="Times New Roman" w:hAnsi="Times New Roman"/>
          <w:sz w:val="15"/>
          <w:szCs w:val="15"/>
          <w:color w:val="000000"/>
        </w:rPr>
        <w:t>”), and</w:t>
      </w:r>
      <w:r>
        <w:rPr>
          <w:rFonts w:ascii="Times New Roman" w:cs="Times New Roman" w:eastAsia="Times New Roman" w:hAnsi="Times New Roman"/>
          <w:sz w:val="15"/>
          <w:szCs w:val="15"/>
          <w:color w:val="232323"/>
        </w:rPr>
        <w:t xml:space="preserve"> Bristol-Myers Squibb Company, a Delaware corporation </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b w:val="1"/>
          <w:bCs w:val="1"/>
          <w:color w:val="000000"/>
        </w:rPr>
        <w:t>Licensee</w:t>
      </w:r>
      <w:r>
        <w:rPr>
          <w:rFonts w:ascii="Times New Roman" w:cs="Times New Roman" w:eastAsia="Times New Roman" w:hAnsi="Times New Roman"/>
          <w:sz w:val="15"/>
          <w:szCs w:val="15"/>
          <w:color w:val="000000"/>
        </w:rPr>
        <w:t>”). Zenas and Licensee may each be referred to herein individually as a “</w:t>
      </w:r>
      <w:r>
        <w:rPr>
          <w:rFonts w:ascii="Times New Roman" w:cs="Times New Roman" w:eastAsia="Times New Roman" w:hAnsi="Times New Roman"/>
          <w:sz w:val="15"/>
          <w:szCs w:val="15"/>
          <w:b w:val="1"/>
          <w:bCs w:val="1"/>
          <w:color w:val="000000"/>
        </w:rPr>
        <w:t>Party</w:t>
      </w:r>
      <w:r>
        <w:rPr>
          <w:rFonts w:ascii="Times New Roman" w:cs="Times New Roman" w:eastAsia="Times New Roman" w:hAnsi="Times New Roman"/>
          <w:sz w:val="15"/>
          <w:szCs w:val="15"/>
          <w:color w:val="000000"/>
        </w:rPr>
        <w:t>” and collectively as the “</w:t>
      </w:r>
      <w:r>
        <w:rPr>
          <w:rFonts w:ascii="Times New Roman" w:cs="Times New Roman" w:eastAsia="Times New Roman" w:hAnsi="Times New Roman"/>
          <w:sz w:val="15"/>
          <w:szCs w:val="15"/>
          <w:b w:val="1"/>
          <w:bCs w:val="1"/>
          <w:color w:val="000000"/>
        </w:rPr>
        <w:t>Parties</w:t>
      </w:r>
      <w:r>
        <w:rPr>
          <w:rFonts w:ascii="Times New Roman" w:cs="Times New Roman" w:eastAsia="Times New Roman" w:hAnsi="Times New Roman"/>
          <w:sz w:val="15"/>
          <w:szCs w:val="15"/>
          <w:color w:val="000000"/>
        </w:rPr>
        <w: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181" w:lineRule="exact"/>
        <w:rPr>
          <w:sz w:val="20"/>
          <w:szCs w:val="20"/>
          <w:color w:val="auto"/>
        </w:rPr>
      </w:pPr>
    </w:p>
    <w:p>
      <w:pPr>
        <w:jc w:val="both"/>
        <w:ind w:firstLine="527"/>
        <w:spacing w:after="0" w:line="269" w:lineRule="auto"/>
        <w:rPr>
          <w:sz w:val="20"/>
          <w:szCs w:val="20"/>
          <w:color w:val="auto"/>
        </w:rPr>
      </w:pPr>
      <w:r>
        <w:rPr>
          <w:rFonts w:ascii="Times New Roman" w:cs="Times New Roman" w:eastAsia="Times New Roman" w:hAnsi="Times New Roman"/>
          <w:sz w:val="15"/>
          <w:szCs w:val="15"/>
          <w:color w:val="auto"/>
        </w:rPr>
        <w:t>Zenas owns or otherwise controls certain patents, patent applications, technology, know-how, scientific and technical information and other proprietary rights and information relating to the research, development and manufacture of the Compound (as defined below); and</w:t>
      </w:r>
    </w:p>
    <w:p>
      <w:pPr>
        <w:spacing w:after="0" w:line="141" w:lineRule="exact"/>
        <w:rPr>
          <w:sz w:val="20"/>
          <w:szCs w:val="20"/>
          <w:color w:val="auto"/>
        </w:rPr>
      </w:pPr>
    </w:p>
    <w:p>
      <w:pPr>
        <w:jc w:val="both"/>
        <w:ind w:firstLine="527"/>
        <w:spacing w:after="0" w:line="269" w:lineRule="auto"/>
        <w:rPr>
          <w:sz w:val="20"/>
          <w:szCs w:val="20"/>
          <w:color w:val="auto"/>
        </w:rPr>
      </w:pPr>
      <w:r>
        <w:rPr>
          <w:rFonts w:ascii="Times New Roman" w:cs="Times New Roman" w:eastAsia="Times New Roman" w:hAnsi="Times New Roman"/>
          <w:sz w:val="15"/>
          <w:szCs w:val="15"/>
          <w:color w:val="auto"/>
        </w:rPr>
        <w:t>Subject to the terms and conditions of this Agreement, Zenas wishes to grant to Licensee, and Licensee wishes to receive from Zenas, an exclusive license to develop, commercialize and manufacture the Compound and Products in the Field in the Territory.</w:t>
      </w:r>
    </w:p>
    <w:p>
      <w:pPr>
        <w:spacing w:after="0" w:line="141" w:lineRule="exact"/>
        <w:rPr>
          <w:sz w:val="20"/>
          <w:szCs w:val="20"/>
          <w:color w:val="auto"/>
        </w:rPr>
      </w:pPr>
    </w:p>
    <w:p>
      <w:pPr>
        <w:jc w:val="both"/>
        <w:ind w:right="20" w:firstLine="527"/>
        <w:spacing w:after="0" w:line="269" w:lineRule="auto"/>
        <w:rPr>
          <w:sz w:val="20"/>
          <w:szCs w:val="20"/>
          <w:color w:val="auto"/>
        </w:rPr>
      </w:pPr>
      <w:r>
        <w:rPr>
          <w:rFonts w:ascii="Times New Roman" w:cs="Times New Roman" w:eastAsia="Times New Roman" w:hAnsi="Times New Roman"/>
          <w:sz w:val="15"/>
          <w:szCs w:val="15"/>
          <w:color w:val="auto"/>
        </w:rPr>
        <w:t>NOW, THEREFORE, in consideration of the foregoing recitals, the mutual promises hereinafter set forth, and other good and valuable consideration, the receipt and sufficiency of which are hereby acknowledged, the Parties intending to be legally bound hereto hereby agree as follows:</w:t>
      </w:r>
    </w:p>
    <w:p>
      <w:pPr>
        <w:spacing w:after="0" w:line="1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1.     </w:t>
      </w:r>
      <w:r>
        <w:rPr>
          <w:rFonts w:ascii="Times New Roman" w:cs="Times New Roman" w:eastAsia="Times New Roman" w:hAnsi="Times New Roman"/>
          <w:sz w:val="15"/>
          <w:szCs w:val="15"/>
          <w:b w:val="1"/>
          <w:bCs w:val="1"/>
          <w:u w:val="single" w:color="auto"/>
          <w:color w:val="auto"/>
        </w:rPr>
        <w:t>  Definitions and Interpretation</w:t>
      </w:r>
      <w:r>
        <w:rPr>
          <w:rFonts w:ascii="Times New Roman" w:cs="Times New Roman" w:eastAsia="Times New Roman" w:hAnsi="Times New Roman"/>
          <w:sz w:val="15"/>
          <w:szCs w:val="15"/>
          <w:b w:val="1"/>
          <w:bCs w:val="1"/>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terms shall have the meanings ascribed to them below:</w:t>
      </w:r>
    </w:p>
    <w:p>
      <w:pPr>
        <w:spacing w:after="0" w:line="177"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Accounting Standard</w:t>
      </w:r>
      <w:r>
        <w:rPr>
          <w:rFonts w:ascii="Times New Roman" w:cs="Times New Roman" w:eastAsia="Times New Roman" w:hAnsi="Times New Roman"/>
          <w:sz w:val="15"/>
          <w:szCs w:val="15"/>
          <w:color w:val="auto"/>
        </w:rPr>
        <w:t>” means United States generally accepted accounting principles (“</w:t>
      </w:r>
      <w:r>
        <w:rPr>
          <w:rFonts w:ascii="Times New Roman" w:cs="Times New Roman" w:eastAsia="Times New Roman" w:hAnsi="Times New Roman"/>
          <w:sz w:val="15"/>
          <w:szCs w:val="15"/>
          <w:b w:val="1"/>
          <w:bCs w:val="1"/>
          <w:color w:val="auto"/>
        </w:rPr>
        <w:t>GAAP</w:t>
      </w:r>
      <w:r>
        <w:rPr>
          <w:rFonts w:ascii="Times New Roman" w:cs="Times New Roman" w:eastAsia="Times New Roman" w:hAnsi="Times New Roman"/>
          <w:sz w:val="15"/>
          <w:szCs w:val="15"/>
          <w:color w:val="auto"/>
        </w:rPr>
        <w:t>”) or International Financial Reporting Standards, as consistently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applied by Licensee, its Affiliates or Sublicensees, or Zenas or its Affiliates, as applicable.</w:t>
      </w:r>
    </w:p>
    <w:p>
      <w:pPr>
        <w:spacing w:after="0" w:line="136"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Active Ingredient</w:t>
      </w:r>
      <w:r>
        <w:rPr>
          <w:rFonts w:ascii="Times New Roman" w:cs="Times New Roman" w:eastAsia="Times New Roman" w:hAnsi="Times New Roman"/>
          <w:sz w:val="15"/>
          <w:szCs w:val="15"/>
          <w:color w:val="auto"/>
        </w:rPr>
        <w:t>” means the clinically active material(s) that provide pharmacological activity in a pharmaceutical product (excluding, for the avoidance of doubt,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formulation components such as coatings, stabilizers, excipients or solvents, adjuvants or controlled release technologies).</w:t>
      </w:r>
    </w:p>
    <w:p>
      <w:pPr>
        <w:spacing w:after="0" w:line="136"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Adverse Event</w:t>
      </w:r>
      <w:r>
        <w:rPr>
          <w:rFonts w:ascii="Times New Roman" w:cs="Times New Roman" w:eastAsia="Times New Roman" w:hAnsi="Times New Roman"/>
          <w:sz w:val="15"/>
          <w:szCs w:val="15"/>
          <w:color w:val="auto"/>
        </w:rPr>
        <w:t>” means any adverse medical occurrence in a patient or clinical investigation subject that is administered a Product, as designated in any Applicable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Laws and that is required to be reported to a Regulatory Authority.</w:t>
      </w:r>
    </w:p>
    <w:p>
      <w:pPr>
        <w:spacing w:after="0" w:line="136" w:lineRule="exact"/>
        <w:rPr>
          <w:sz w:val="20"/>
          <w:szCs w:val="20"/>
          <w:color w:val="auto"/>
        </w:rPr>
      </w:pPr>
    </w:p>
    <w:p>
      <w:pPr>
        <w:jc w:val="both"/>
        <w:ind w:firstLine="1055"/>
        <w:spacing w:after="0" w:line="273" w:lineRule="auto"/>
        <w:rPr>
          <w:sz w:val="20"/>
          <w:szCs w:val="20"/>
          <w:color w:val="auto"/>
        </w:rPr>
      </w:pPr>
      <w:r>
        <w:rPr>
          <w:rFonts w:ascii="Times New Roman" w:cs="Times New Roman" w:eastAsia="Times New Roman" w:hAnsi="Times New Roman"/>
          <w:sz w:val="14"/>
          <w:szCs w:val="14"/>
          <w:b w:val="1"/>
          <w:bCs w:val="1"/>
          <w:color w:val="auto"/>
        </w:rPr>
        <w:t>1.4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Affiliate(s)</w:t>
      </w:r>
      <w:r>
        <w:rPr>
          <w:rFonts w:ascii="Times New Roman" w:cs="Times New Roman" w:eastAsia="Times New Roman" w:hAnsi="Times New Roman"/>
          <w:sz w:val="14"/>
          <w:szCs w:val="14"/>
          <w:color w:val="auto"/>
        </w:rPr>
        <w:t>” means any entity directly or indirectly controlled by, controlling, or under common control with, a Person, at any time (and regardless of whether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Affiliate is or becomes an Affiliate on or after the Effective Date) but only for so long as such control exists. For purposes of this definition, “control” (including, with correlative meanings, “controlled by,” “controlling” and “under common control with”) means (a) possession, direct or indirect, of the power to direct or cause direction of the management or policies of an entity (whether through ownership of securities or other ownership interests, by contract or otherwise), or (b) to own, directly or indirectly, more than fifty percent (50%) of the voting securities or other ownership or general partnership interest (whether directly or pursuant to any option, warrant or other similar arrangement) or other comparable equity interests of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57720" cy="698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28" w:name="page429"/>
    <w:bookmarkEnd w:id="428"/>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Anti-Corruption Laws</w:t>
      </w:r>
      <w:r>
        <w:rPr>
          <w:rFonts w:ascii="Times New Roman" w:cs="Times New Roman" w:eastAsia="Times New Roman" w:hAnsi="Times New Roman"/>
          <w:sz w:val="15"/>
          <w:szCs w:val="15"/>
          <w:color w:val="auto"/>
        </w:rPr>
        <w:t>” means the U.S. Foreign Corrupt Practices Act, as amended, the UK Bribery Act 2010, as amended, and any other applicable anti-corruption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laws and laws for the prevention of fraud, racketeering, money laundering or terrorism.</w:t>
      </w:r>
    </w:p>
    <w:p>
      <w:pPr>
        <w:spacing w:after="0" w:line="136" w:lineRule="exact"/>
        <w:rPr>
          <w:sz w:val="20"/>
          <w:szCs w:val="20"/>
          <w:color w:val="auto"/>
        </w:rPr>
      </w:pPr>
    </w:p>
    <w:p>
      <w:pPr>
        <w:jc w:val="both"/>
        <w:ind w:firstLine="1055"/>
        <w:spacing w:after="0" w:line="285" w:lineRule="auto"/>
        <w:rPr>
          <w:sz w:val="20"/>
          <w:szCs w:val="20"/>
          <w:color w:val="auto"/>
        </w:rPr>
      </w:pPr>
      <w:r>
        <w:rPr>
          <w:rFonts w:ascii="Times New Roman" w:cs="Times New Roman" w:eastAsia="Times New Roman" w:hAnsi="Times New Roman"/>
          <w:sz w:val="14"/>
          <w:szCs w:val="14"/>
          <w:b w:val="1"/>
          <w:bCs w:val="1"/>
          <w:color w:val="auto"/>
        </w:rPr>
        <w:t>1.6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Antibody</w:t>
      </w:r>
      <w:r>
        <w:rPr>
          <w:rFonts w:ascii="Times New Roman" w:cs="Times New Roman" w:eastAsia="Times New Roman" w:hAnsi="Times New Roman"/>
          <w:sz w:val="14"/>
          <w:szCs w:val="14"/>
          <w:color w:val="auto"/>
        </w:rPr>
        <w:t>” means any antibody, whether naturally occurring, artificially produced, raised in an artificial system, or created through modification of another antibody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otherwise; any fragment of any of the foregoing; and any chemically modified versions of the foregoing antibodies (including versions that are conjugated with another chemical entity, such as a drug or toxin; pegylated versions (regardless of whether containing amino acid substitutions in order to achieve pegylation); and other chemically modified versions).</w:t>
      </w:r>
    </w:p>
    <w:p>
      <w:pPr>
        <w:spacing w:after="0" w:line="130"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Applicable Laws</w:t>
      </w:r>
      <w:r>
        <w:rPr>
          <w:rFonts w:ascii="Times New Roman" w:cs="Times New Roman" w:eastAsia="Times New Roman" w:hAnsi="Times New Roman"/>
          <w:sz w:val="15"/>
          <w:szCs w:val="15"/>
          <w:color w:val="auto"/>
        </w:rPr>
        <w:t>” means all applicable laws, statutes, ordinances, regulations, rules, mandatory guidelines or orders of any kind whatsoever of any Government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Authority or Regulatory Authority in any country or regulatory jurisdiction that may be in effect from time-to-time.</w:t>
      </w:r>
    </w:p>
    <w:p>
      <w:pPr>
        <w:spacing w:after="0" w:line="136"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Biosimilar Product</w:t>
      </w:r>
      <w:r>
        <w:rPr>
          <w:rFonts w:ascii="Times New Roman" w:cs="Times New Roman" w:eastAsia="Times New Roman" w:hAnsi="Times New Roman"/>
          <w:sz w:val="15"/>
          <w:szCs w:val="15"/>
          <w:color w:val="auto"/>
        </w:rPr>
        <w:t>” means, with respect to a Product that has received Regulatory Approval in the Territory, a biologic therapeutic sold by a Third Party not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authorized by or on behalf of Licensee, its Affiliates or Sublicensees containing the same amino acid sequence as such Product, to permit such biologic therapeutic, on the basis of such prior Regulatory Approval granted to such Product, to be marketed in the Territory as a “biosimilar” or “interchangeable” product pursuant to Applicable Laws in the Territory.</w:t>
      </w:r>
    </w:p>
    <w:p>
      <w:pPr>
        <w:spacing w:after="0" w:line="147"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Day</w:t>
      </w:r>
      <w:r>
        <w:rPr>
          <w:rFonts w:ascii="Times New Roman" w:cs="Times New Roman" w:eastAsia="Times New Roman" w:hAnsi="Times New Roman"/>
          <w:sz w:val="15"/>
          <w:szCs w:val="15"/>
          <w:color w:val="auto"/>
        </w:rPr>
        <w:t>” means any day other than a Saturday, Sunday or other day on which commercial banks in Tokyo, Japan, Boston, Massachusetts or New York, New</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York are required or authorized by law or executive order to be closed.</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1.10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Calendar Quarter</w:t>
      </w:r>
      <w:r>
        <w:rPr>
          <w:rFonts w:ascii="Times New Roman" w:cs="Times New Roman" w:eastAsia="Times New Roman" w:hAnsi="Times New Roman"/>
          <w:sz w:val="14"/>
          <w:szCs w:val="14"/>
          <w:color w:val="auto"/>
        </w:rPr>
        <w:t>” means each of the three (3) consecutive month periods ending on March 31, June 30, September 30 and December 31;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w:t>
      </w:r>
    </w:p>
    <w:p>
      <w:pPr>
        <w:spacing w:after="0" w:line="32" w:lineRule="exact"/>
        <w:rPr>
          <w:sz w:val="20"/>
          <w:szCs w:val="20"/>
          <w:color w:val="auto"/>
        </w:rPr>
      </w:pPr>
    </w:p>
    <w:p>
      <w:pPr>
        <w:ind w:firstLine="8"/>
        <w:spacing w:after="0" w:line="249" w:lineRule="auto"/>
        <w:tabs>
          <w:tab w:leader="none" w:pos="207" w:val="left"/>
        </w:tabs>
        <w:numPr>
          <w:ilvl w:val="0"/>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first Calendar Quarter of the Term shall extend from the Effective Date to the end of the first full Calendar Quarter thereafter, and (b) the last Calendar Quarter of the Term shall end upon the expiration or termination of this Agreement.</w:t>
      </w:r>
    </w:p>
    <w:p>
      <w:pPr>
        <w:spacing w:after="0" w:line="153"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1.11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Calendar Year</w:t>
      </w:r>
      <w:r>
        <w:rPr>
          <w:rFonts w:ascii="Times New Roman" w:cs="Times New Roman" w:eastAsia="Times New Roman" w:hAnsi="Times New Roman"/>
          <w:sz w:val="15"/>
          <w:szCs w:val="15"/>
          <w:color w:val="auto"/>
        </w:rPr>
        <w:t>” means each twelve (12) month period ending December 31st;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 the first Calendar Year of the Term shall commence on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Effective Date and end on December 31 of the same year, and (b) the last Calendar Year of the Term shall commence on January 1 of the Calendar Year in which this Agreement terminates or expires and end on the date of termination or expiration of this Agreement.</w:t>
      </w:r>
    </w:p>
    <w:p>
      <w:pPr>
        <w:spacing w:after="0" w:line="1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1.12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Agreement</w:t>
      </w:r>
      <w:r>
        <w:rPr>
          <w:rFonts w:ascii="Times New Roman" w:cs="Times New Roman" w:eastAsia="Times New Roman" w:hAnsi="Times New Roman"/>
          <w:sz w:val="14"/>
          <w:szCs w:val="14"/>
          <w:color w:val="auto"/>
        </w:rPr>
        <w:t>” means the [***] as such agreement may be amended or restated from time to time, certain obligations under which were assumed by Zenas [***].</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29" w:name="page430"/>
    <w:bookmarkEnd w:id="429"/>
    <w:p>
      <w:pPr>
        <w:jc w:val="both"/>
        <w:ind w:firstLine="1055"/>
        <w:spacing w:after="0" w:line="249" w:lineRule="auto"/>
        <w:rPr>
          <w:sz w:val="20"/>
          <w:szCs w:val="20"/>
          <w:color w:val="auto"/>
        </w:rPr>
      </w:pPr>
      <w:r>
        <w:rPr>
          <w:rFonts w:ascii="Times New Roman" w:cs="Times New Roman" w:eastAsia="Times New Roman" w:hAnsi="Times New Roman"/>
          <w:sz w:val="15"/>
          <w:szCs w:val="15"/>
          <w:b w:val="1"/>
          <w:bCs w:val="1"/>
          <w:color w:val="auto"/>
        </w:rPr>
        <w:t>1.13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Change of Control</w:t>
      </w:r>
      <w:r>
        <w:rPr>
          <w:rFonts w:ascii="Times New Roman" w:cs="Times New Roman" w:eastAsia="Times New Roman" w:hAnsi="Times New Roman"/>
          <w:sz w:val="15"/>
          <w:szCs w:val="15"/>
          <w:color w:val="auto"/>
        </w:rPr>
        <w:t>” means, with respect to a Party, that: (a) any Third Party acquires directly or indirectly the beneficial ownership of any voting security of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Party, or if the percentage ownership of such Third Party in the voting securities of such Party is increased through stock redemption, cancellation, or other recapitalization, and immediately after such acquisition or increase such Third Party is, directly or indirectly, the beneficial owner of voting securities representing at least fifty percent (50%) of the total voting power of all of the then outstanding voting securities of such Party; (b) a merger, consolidation, recapitalization, or reorganization of such Party is consummated which would result in shareholders or equity holders of such Party immediately prior to such transaction, no longer owning at least fifty percent (50%) of the outstanding voting securities of the surviving entity (or its parent entity) immediately following such transaction; or (c) there is a sale or transfer to a Third Party of all or substantially all of such Party’s consolidated assets taken as a whole, through one or more related transactions.</w:t>
      </w:r>
    </w:p>
    <w:p>
      <w:pPr>
        <w:spacing w:after="0" w:line="154"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1.14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Clinical Data</w:t>
      </w:r>
      <w:r>
        <w:rPr>
          <w:rFonts w:ascii="Times New Roman" w:cs="Times New Roman" w:eastAsia="Times New Roman" w:hAnsi="Times New Roman"/>
          <w:sz w:val="15"/>
          <w:szCs w:val="15"/>
          <w:color w:val="auto"/>
        </w:rPr>
        <w:t>” means any and all data (together with all clinical trial reports and the results of analyses thereof, including case report forms) derived or generated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any Clinical Study involving the Compound or Product conducted by or on behalf of either Party.</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1.15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Clinical Study</w:t>
      </w:r>
      <w:r>
        <w:rPr>
          <w:rFonts w:ascii="Times New Roman" w:cs="Times New Roman" w:eastAsia="Times New Roman" w:hAnsi="Times New Roman"/>
          <w:sz w:val="15"/>
          <w:szCs w:val="15"/>
          <w:color w:val="auto"/>
        </w:rPr>
        <w:t>” means a human clinical trial for the Compound or a Product and any other tests and studies for the Compound or a Product in human subjects.</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1.16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CMC</w:t>
      </w:r>
      <w:r>
        <w:rPr>
          <w:rFonts w:ascii="Times New Roman" w:cs="Times New Roman" w:eastAsia="Times New Roman" w:hAnsi="Times New Roman"/>
          <w:sz w:val="15"/>
          <w:szCs w:val="15"/>
          <w:color w:val="auto"/>
        </w:rPr>
        <w:t>” means chemistry, manufacturing and controls.</w:t>
      </w:r>
    </w:p>
    <w:p>
      <w:pPr>
        <w:spacing w:after="0" w:line="179"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1.17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Commercialization</w:t>
      </w:r>
      <w:r>
        <w:rPr>
          <w:rFonts w:ascii="Times New Roman" w:cs="Times New Roman" w:eastAsia="Times New Roman" w:hAnsi="Times New Roman"/>
          <w:sz w:val="15"/>
          <w:szCs w:val="15"/>
          <w:color w:val="auto"/>
        </w:rPr>
        <w:t>” means any and all activities directed to marketing, promoting, distributing, importing or selling a product, including obtaining pricing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reimbursement approvals. When used as a verb, “</w:t>
      </w:r>
      <w:r>
        <w:rPr>
          <w:rFonts w:ascii="Times New Roman" w:cs="Times New Roman" w:eastAsia="Times New Roman" w:hAnsi="Times New Roman"/>
          <w:sz w:val="15"/>
          <w:szCs w:val="15"/>
          <w:b w:val="1"/>
          <w:bCs w:val="1"/>
          <w:color w:val="auto"/>
        </w:rPr>
        <w:t>Commercialize</w:t>
      </w:r>
      <w:r>
        <w:rPr>
          <w:rFonts w:ascii="Times New Roman" w:cs="Times New Roman" w:eastAsia="Times New Roman" w:hAnsi="Times New Roman"/>
          <w:sz w:val="15"/>
          <w:szCs w:val="15"/>
          <w:color w:val="auto"/>
        </w:rPr>
        <w:t>” means to engage in Commercialization. For the avoidance of doubt, Commercialization does not include Development and Manufacturing.</w:t>
      </w:r>
    </w:p>
    <w:p>
      <w:pPr>
        <w:spacing w:after="0" w:line="147" w:lineRule="exact"/>
        <w:rPr>
          <w:sz w:val="20"/>
          <w:szCs w:val="20"/>
          <w:color w:val="auto"/>
        </w:rPr>
      </w:pPr>
    </w:p>
    <w:p>
      <w:pPr>
        <w:jc w:val="both"/>
        <w:ind w:firstLine="1055"/>
        <w:spacing w:after="0" w:line="253" w:lineRule="auto"/>
        <w:rPr>
          <w:sz w:val="20"/>
          <w:szCs w:val="20"/>
          <w:color w:val="auto"/>
        </w:rPr>
      </w:pPr>
      <w:r>
        <w:rPr>
          <w:rFonts w:ascii="Times New Roman" w:cs="Times New Roman" w:eastAsia="Times New Roman" w:hAnsi="Times New Roman"/>
          <w:sz w:val="15"/>
          <w:szCs w:val="15"/>
          <w:b w:val="1"/>
          <w:bCs w:val="1"/>
          <w:color w:val="auto"/>
        </w:rPr>
        <w:t>1.18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Commercially Reasonable Efforts</w:t>
      </w:r>
      <w:r>
        <w:rPr>
          <w:rFonts w:ascii="Times New Roman" w:cs="Times New Roman" w:eastAsia="Times New Roman" w:hAnsi="Times New Roman"/>
          <w:sz w:val="15"/>
          <w:szCs w:val="15"/>
          <w:color w:val="auto"/>
        </w:rPr>
        <w:t>” means, with respect to the efforts to be expended by a Party with respect to any objective, those [***] efforts to accomplish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objective that [***] would use to accomplish a similar objective under similar circumstances exercising reasonable business judgment. With respect to Licensee’s efforts in connection with the Development, Manufacture or Commercialization of the Compound or a Product hereunder, Licensee shall be deemed to have exercised Commercially Reasonable Efforts [***]. Without limiting the foregoing, Commercially Reasonable Efforts [***].</w:t>
      </w:r>
    </w:p>
    <w:p>
      <w:pPr>
        <w:spacing w:after="0" w:line="152" w:lineRule="exact"/>
        <w:rPr>
          <w:sz w:val="20"/>
          <w:szCs w:val="20"/>
          <w:color w:val="auto"/>
        </w:rPr>
      </w:pPr>
    </w:p>
    <w:p>
      <w:pPr>
        <w:jc w:val="both"/>
        <w:ind w:firstLine="1055"/>
        <w:spacing w:after="0" w:line="250" w:lineRule="auto"/>
        <w:rPr>
          <w:sz w:val="20"/>
          <w:szCs w:val="20"/>
          <w:color w:val="auto"/>
        </w:rPr>
      </w:pPr>
      <w:r>
        <w:rPr>
          <w:rFonts w:ascii="Times New Roman" w:cs="Times New Roman" w:eastAsia="Times New Roman" w:hAnsi="Times New Roman"/>
          <w:sz w:val="15"/>
          <w:szCs w:val="15"/>
          <w:b w:val="1"/>
          <w:bCs w:val="1"/>
          <w:color w:val="auto"/>
        </w:rPr>
        <w:t>1.19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Companion Diagnostic</w:t>
      </w:r>
      <w:r>
        <w:rPr>
          <w:rFonts w:ascii="Times New Roman" w:cs="Times New Roman" w:eastAsia="Times New Roman" w:hAnsi="Times New Roman"/>
          <w:sz w:val="15"/>
          <w:szCs w:val="15"/>
          <w:color w:val="auto"/>
        </w:rPr>
        <w:t>” means any product or service that: (a) identifies a person having a disease or condition or a molecular genotype or phenotype that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predisposes a person to such disease or condition, in each case, for which a Compound or Product could be used to treat or prevent such disease or condition; (b) defines the prognosis or monitors the progress of a disease or condition in a person for which a Compound or Product could be used to treat or prevent such disease or condition; (c) is used to select a therapeutic or prophylactic regimen, wherein at least one (1) potential such therapeutic or prophylactic regimen involves a Compound or Product, and where the selected regimen is determined to likely be effective or to be safe for a person, based on the use of such product or service; or (d) is used to confirm a biological activity or to optimize dosing or the scheduled administration of a Compound or Product.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30" w:name="page431"/>
    <w:bookmarkEnd w:id="430"/>
    <w:p>
      <w:pPr>
        <w:ind w:left="1060"/>
        <w:spacing w:after="0"/>
        <w:rPr>
          <w:sz w:val="20"/>
          <w:szCs w:val="20"/>
          <w:color w:val="auto"/>
        </w:rPr>
      </w:pPr>
      <w:r>
        <w:rPr>
          <w:rFonts w:ascii="Times New Roman" w:cs="Times New Roman" w:eastAsia="Times New Roman" w:hAnsi="Times New Roman"/>
          <w:sz w:val="15"/>
          <w:szCs w:val="15"/>
          <w:b w:val="1"/>
          <w:bCs w:val="1"/>
          <w:color w:val="auto"/>
        </w:rPr>
        <w:t>1.20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Competing Product</w:t>
      </w:r>
      <w:r>
        <w:rPr>
          <w:rFonts w:ascii="Times New Roman" w:cs="Times New Roman" w:eastAsia="Times New Roman" w:hAnsi="Times New Roman"/>
          <w:sz w:val="15"/>
          <w:szCs w:val="15"/>
          <w:color w:val="auto"/>
        </w:rPr>
        <w:t>” means [***].</w:t>
      </w:r>
    </w:p>
    <w:p>
      <w:pPr>
        <w:spacing w:after="0" w:line="179" w:lineRule="exact"/>
        <w:rPr>
          <w:sz w:val="20"/>
          <w:szCs w:val="20"/>
          <w:color w:val="auto"/>
        </w:rPr>
      </w:pPr>
    </w:p>
    <w:p>
      <w:pPr>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1.21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Compound</w:t>
      </w:r>
      <w:r>
        <w:rPr>
          <w:rFonts w:ascii="Times New Roman" w:cs="Times New Roman" w:eastAsia="Times New Roman" w:hAnsi="Times New Roman"/>
          <w:sz w:val="15"/>
          <w:szCs w:val="15"/>
          <w:color w:val="auto"/>
        </w:rPr>
        <w:t>” means (a) Zenas’s proprietary CD19 antibody known as obexelimab, having the amino acid sequences set forth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Schedule 1.21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Obexelimab</w:t>
      </w:r>
      <w:r>
        <w:rPr>
          <w:rFonts w:ascii="Times New Roman" w:cs="Times New Roman" w:eastAsia="Times New Roman" w:hAnsi="Times New Roman"/>
          <w:sz w:val="15"/>
          <w:szCs w:val="15"/>
          <w:color w:val="auto"/>
        </w:rPr>
        <w:t>”),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 any Derivative.</w:t>
      </w:r>
    </w:p>
    <w:p>
      <w:pPr>
        <w:spacing w:after="0" w:line="136" w:lineRule="exact"/>
        <w:rPr>
          <w:sz w:val="20"/>
          <w:szCs w:val="20"/>
          <w:color w:val="auto"/>
        </w:rPr>
      </w:pPr>
    </w:p>
    <w:p>
      <w:pPr>
        <w:jc w:val="both"/>
        <w:ind w:firstLine="1055"/>
        <w:spacing w:after="0" w:line="251" w:lineRule="auto"/>
        <w:rPr>
          <w:sz w:val="20"/>
          <w:szCs w:val="20"/>
          <w:color w:val="auto"/>
        </w:rPr>
      </w:pPr>
      <w:r>
        <w:rPr>
          <w:rFonts w:ascii="Times New Roman" w:cs="Times New Roman" w:eastAsia="Times New Roman" w:hAnsi="Times New Roman"/>
          <w:sz w:val="15"/>
          <w:szCs w:val="15"/>
          <w:b w:val="1"/>
          <w:bCs w:val="1"/>
          <w:color w:val="auto"/>
        </w:rPr>
        <w:t>1.22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Confidential Information</w:t>
      </w:r>
      <w:r>
        <w:rPr>
          <w:rFonts w:ascii="Times New Roman" w:cs="Times New Roman" w:eastAsia="Times New Roman" w:hAnsi="Times New Roman"/>
          <w:sz w:val="15"/>
          <w:szCs w:val="15"/>
          <w:color w:val="auto"/>
        </w:rPr>
        <w:t>” means, with respect to a Party, all confidential and proprietary information (and all tangible and intangible embodiments thereof), that 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disclosed by such Party to the other Party under this Agreement whether in writing, orally, electronically, visually, or by other means and whether or not designated as confidential in writing by such Party, whether by letter or by use of an appropriate stamp or legend, prior to or at the time any such information is disclosed by such Party to the other Party. For clarity, any information, including Know-How, developed or generated in the course of a Receiving Party’s performance under this Agreement based, in whole or in part, on Confidential Information of the Disclosing Party will constitute Confidential Information of both the Receiving Party and the Disclosing Party, unless otherwise specified.</w:t>
      </w:r>
    </w:p>
    <w:p>
      <w:pPr>
        <w:spacing w:after="0" w:line="153" w:lineRule="exact"/>
        <w:rPr>
          <w:sz w:val="20"/>
          <w:szCs w:val="20"/>
          <w:color w:val="auto"/>
        </w:rPr>
      </w:pPr>
    </w:p>
    <w:p>
      <w:pPr>
        <w:jc w:val="both"/>
        <w:ind w:firstLine="1055"/>
        <w:spacing w:after="0" w:line="246" w:lineRule="auto"/>
        <w:rPr>
          <w:sz w:val="20"/>
          <w:szCs w:val="20"/>
          <w:color w:val="auto"/>
        </w:rPr>
      </w:pPr>
      <w:r>
        <w:rPr>
          <w:rFonts w:ascii="Times New Roman" w:cs="Times New Roman" w:eastAsia="Times New Roman" w:hAnsi="Times New Roman"/>
          <w:sz w:val="15"/>
          <w:szCs w:val="15"/>
          <w:b w:val="1"/>
          <w:bCs w:val="1"/>
          <w:color w:val="auto"/>
        </w:rPr>
        <w:t>1.23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Control</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Controlled</w:t>
      </w:r>
      <w:r>
        <w:rPr>
          <w:rFonts w:ascii="Times New Roman" w:cs="Times New Roman" w:eastAsia="Times New Roman" w:hAnsi="Times New Roman"/>
          <w:sz w:val="15"/>
          <w:szCs w:val="15"/>
          <w:color w:val="auto"/>
        </w:rPr>
        <w:t>” means, (a) with respect to any Intellectual Property right of a Party, that the Party owns or has a license to such Intellectual Property right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(other than pursuant to this Agreement) and has the ability to grant access, a license, or a sublicense to such Intellectual Property right to any other Party as provided in this Agreement without violating an agreement with or other rights of any Third Party; provided, however, that, with respect to any Intellectual Property right obtained by a Party from a Third Party after the Effective Date, such Party shall be deemed to Control such Intellectual Property right only if it possesses the right to grant such license, sublicense, or other right thereto without being obligated to pay any royalties or other consideration therefor, unless the other Party agrees in advance of any grant of rights thereto to pay such royalties or other consideration arising as a result such Party’s or its Affiliate’s or Sublicensee’s use or practice of such Intellectual Property right under this Agreement, or (b) with respect to any materials or other tangible Know-How, the legal authority or right to physical possession of such materials or tangible Know-How, with the right to provide such materials or tangible Know-How to the other Party on the terms set forth herein. Notwithstanding the foregoing, a Party and its Affiliates will not be deemed to “Control” any of the foregoing (a)-(b) that, prior to the consummation of a Change of Control of such Party, is owned or in-licensed by a Third Party that becomes an Affiliate of such acquired Party (or that merges or consolidates with such Party) after the Effective Date as a result of such Change of Control, unless (i) prior to the consummation of such Change of Control, such acquired Party or any of its Affiliates also Controlled such Intellectual Property or proprietary rights towards a product, or (ii) after the consummation of such Change of Control, such acquired Party or any of its Affiliates uses any such Intellectual Property or proprietary rights towards a product in the performance of its obligations or exercise of its rights under this Agreement, in each of which cases ((i) and (ii)), such Intellectual Property or proprietary rights towards a product will be deemed to be “Controlled” by such Party for purposes of this Agreement.</w:t>
      </w:r>
    </w:p>
    <w:p>
      <w:pPr>
        <w:spacing w:after="0" w:line="16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1.24      </w:t>
      </w:r>
      <w:r>
        <w:rPr>
          <w:rFonts w:ascii="Times New Roman" w:cs="Times New Roman" w:eastAsia="Times New Roman" w:hAnsi="Times New Roman"/>
          <w:sz w:val="15"/>
          <w:szCs w:val="15"/>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31" w:name="page432"/>
    <w:bookmarkEnd w:id="431"/>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1.25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Cover</w:t>
      </w:r>
      <w:r>
        <w:rPr>
          <w:rFonts w:ascii="Times New Roman" w:cs="Times New Roman" w:eastAsia="Times New Roman" w:hAnsi="Times New Roman"/>
          <w:sz w:val="15"/>
          <w:szCs w:val="15"/>
          <w:color w:val="auto"/>
        </w:rPr>
        <w:t>” means, with respect to a particular subject matter at issue and a Patent Right, that, but for rights granted to a Person under such Patent Right, the manufacture,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use, sale, offer for sale, importation or exportation of such subject matter would infringe a Valid Claim (including, if applicable, in the case of an application that has not issued, if such Valid Claim were issued without amendment) included in such Patent Right.</w:t>
      </w:r>
    </w:p>
    <w:p>
      <w:pPr>
        <w:spacing w:after="0" w:line="1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1.26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Derivative</w:t>
      </w:r>
      <w:r>
        <w:rPr>
          <w:rFonts w:ascii="Times New Roman" w:cs="Times New Roman" w:eastAsia="Times New Roman" w:hAnsi="Times New Roman"/>
          <w:sz w:val="15"/>
          <w:szCs w:val="15"/>
          <w:color w:val="auto"/>
        </w:rPr>
        <w:t>” means a modified or derivative form of [***].</w:t>
      </w:r>
    </w:p>
    <w:p>
      <w:pPr>
        <w:spacing w:after="0" w:line="179" w:lineRule="exact"/>
        <w:rPr>
          <w:sz w:val="20"/>
          <w:szCs w:val="20"/>
          <w:color w:val="auto"/>
        </w:rPr>
      </w:pPr>
    </w:p>
    <w:p>
      <w:pPr>
        <w:jc w:val="both"/>
        <w:ind w:firstLine="1055"/>
        <w:spacing w:after="0" w:line="251" w:lineRule="auto"/>
        <w:rPr>
          <w:sz w:val="20"/>
          <w:szCs w:val="20"/>
          <w:color w:val="auto"/>
        </w:rPr>
      </w:pPr>
      <w:r>
        <w:rPr>
          <w:rFonts w:ascii="Times New Roman" w:cs="Times New Roman" w:eastAsia="Times New Roman" w:hAnsi="Times New Roman"/>
          <w:sz w:val="15"/>
          <w:szCs w:val="15"/>
          <w:b w:val="1"/>
          <w:bCs w:val="1"/>
          <w:color w:val="auto"/>
        </w:rPr>
        <w:t>1.27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Development</w:t>
      </w:r>
      <w:r>
        <w:rPr>
          <w:rFonts w:ascii="Times New Roman" w:cs="Times New Roman" w:eastAsia="Times New Roman" w:hAnsi="Times New Roman"/>
          <w:sz w:val="15"/>
          <w:szCs w:val="15"/>
          <w:color w:val="auto"/>
        </w:rPr>
        <w:t>” means, with respect to a product, all activities relating to the pre-clinical and clinical development of such product, and all development activities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relating to applying for and obtaining Regulatory Approval for such product, including preclinical testing, test method development and stability testing, toxicology, formulation, clinical trials, statistical analysis and report writing. Development shall not include Manufacturing, Commercialization, or scientific research not intended for inclusion in a Regulatory Filing, but with respect to Licensee, shall specifically include activities relating to research and creation of Derivatives and Companion Diagnostics. When used as a verb, “</w:t>
      </w:r>
      <w:r>
        <w:rPr>
          <w:rFonts w:ascii="Times New Roman" w:cs="Times New Roman" w:eastAsia="Times New Roman" w:hAnsi="Times New Roman"/>
          <w:sz w:val="15"/>
          <w:szCs w:val="15"/>
          <w:b w:val="1"/>
          <w:bCs w:val="1"/>
          <w:color w:val="auto"/>
        </w:rPr>
        <w:t>Develop</w:t>
      </w:r>
      <w:r>
        <w:rPr>
          <w:rFonts w:ascii="Times New Roman" w:cs="Times New Roman" w:eastAsia="Times New Roman" w:hAnsi="Times New Roman"/>
          <w:sz w:val="15"/>
          <w:szCs w:val="15"/>
          <w:color w:val="auto"/>
        </w:rPr>
        <w:t>” means to engage in Development.</w:t>
      </w:r>
    </w:p>
    <w:p>
      <w:pPr>
        <w:spacing w:after="0" w:line="15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1.28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Development Costs</w:t>
      </w:r>
      <w:r>
        <w:rPr>
          <w:rFonts w:ascii="Times New Roman" w:cs="Times New Roman" w:eastAsia="Times New Roman" w:hAnsi="Times New Roman"/>
          <w:sz w:val="14"/>
          <w:szCs w:val="14"/>
          <w:color w:val="auto"/>
        </w:rPr>
        <w:t>” means with respect to any Joint Global Study for any period, the direct out-of-pocket costs (including non-recoverable indirect taxes) [***].</w:t>
      </w:r>
    </w:p>
    <w:p>
      <w:pPr>
        <w:spacing w:after="0" w:line="191"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1.29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Ex-Territory Development Activities</w:t>
      </w:r>
      <w:r>
        <w:rPr>
          <w:rFonts w:ascii="Times New Roman" w:cs="Times New Roman" w:eastAsia="Times New Roman" w:hAnsi="Times New Roman"/>
          <w:sz w:val="15"/>
          <w:szCs w:val="15"/>
          <w:color w:val="auto"/>
        </w:rPr>
        <w:t>” means Development activities (other than Clinical Studies) conducted by Licensee or its Affiliate outside the Territory that are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necessary to support Local Studies or activities assigned to Licensee under a Joint Global Study.</w:t>
      </w:r>
    </w:p>
    <w:p>
      <w:pPr>
        <w:spacing w:after="0" w:line="136"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1.30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Executive Officers</w:t>
      </w:r>
      <w:r>
        <w:rPr>
          <w:rFonts w:ascii="Times New Roman" w:cs="Times New Roman" w:eastAsia="Times New Roman" w:hAnsi="Times New Roman"/>
          <w:sz w:val="15"/>
          <w:szCs w:val="15"/>
          <w:color w:val="auto"/>
        </w:rPr>
        <w:t>” means (a) with respect to Zenas, the Chief Executive Officer of Zenas or his or her designee, and (b) with respect to Licensee, (i) for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Development-related issue, its Executive Vice President and Chief Medical Officer or his or her designee, (ii) for a Commercialization-related issue, its Executive Vice President, Chief Commercial Officer or his or her designee and (iii) for a Manufacturing-related issue, its Executive Vice President, Global Product Development and Supply or his or her designee.</w:t>
      </w:r>
    </w:p>
    <w:p>
      <w:pPr>
        <w:spacing w:after="0" w:line="147"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1.31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Exploit</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Exploitation</w:t>
      </w:r>
      <w:r>
        <w:rPr>
          <w:rFonts w:ascii="Times New Roman" w:cs="Times New Roman" w:eastAsia="Times New Roman" w:hAnsi="Times New Roman"/>
          <w:sz w:val="15"/>
          <w:szCs w:val="15"/>
          <w:color w:val="auto"/>
        </w:rPr>
        <w:t>” means to make, have made, import, have imported, export, have exported, use, have used, sell, have sold, offer for sale or have offered for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sale, including to Develop, Commercialize, register, Manufacture, have Manufactured, hold, or keep (whether for disposal or otherwise), or otherwise dispose of.</w:t>
      </w:r>
    </w:p>
    <w:p>
      <w:pPr>
        <w:spacing w:after="0" w:line="136"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1.32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FD&amp;C Act</w:t>
      </w:r>
      <w:r>
        <w:rPr>
          <w:rFonts w:ascii="Times New Roman" w:cs="Times New Roman" w:eastAsia="Times New Roman" w:hAnsi="Times New Roman"/>
          <w:sz w:val="15"/>
          <w:szCs w:val="15"/>
          <w:color w:val="auto"/>
        </w:rPr>
        <w:t>” means the Federal Food, Drug and Cosmetic Act under United States Code, Title 21, as amended from time to time, together with any rules, regulations,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requirements promulgated thereunder (including all additions, supplements, extensions, and modifications thereto).</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1.33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Field</w:t>
      </w:r>
      <w:r>
        <w:rPr>
          <w:rFonts w:ascii="Times New Roman" w:cs="Times New Roman" w:eastAsia="Times New Roman" w:hAnsi="Times New Roman"/>
          <w:sz w:val="15"/>
          <w:szCs w:val="15"/>
          <w:color w:val="auto"/>
        </w:rPr>
        <w:t>” means all uses in any treatment, palliation, diagnosis or prevention of any disease, disorder or condition or symptoms adverse to human or animal health.</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1.34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Finished Product</w:t>
      </w:r>
      <w:r>
        <w:rPr>
          <w:rFonts w:ascii="Times New Roman" w:cs="Times New Roman" w:eastAsia="Times New Roman" w:hAnsi="Times New Roman"/>
          <w:sz w:val="15"/>
          <w:szCs w:val="15"/>
          <w:color w:val="auto"/>
        </w:rPr>
        <w:t>” means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232323"/>
        </w:rPr>
        <w:t>Product packaged and labelled for a country or jurisdiction in the Territory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1.35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First Commercial Sale</w:t>
      </w:r>
      <w:r>
        <w:rPr>
          <w:rFonts w:ascii="Times New Roman" w:cs="Times New Roman" w:eastAsia="Times New Roman" w:hAnsi="Times New Roman"/>
          <w:sz w:val="15"/>
          <w:szCs w:val="15"/>
          <w:color w:val="auto"/>
        </w:rPr>
        <w:t>” means, with respect to a Product in the Territory, the first sale of such Product by a Party, its Affiliate or its Sublicensee under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to a Third Party in the Territory for end use or consumption in the Field in an arms’ length transaction, after such Product has been granted Regulatory Approval [***] by the applicable Government Authority in the Territory. [***].</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32" w:name="page433"/>
    <w:bookmarkEnd w:id="432"/>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1.36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Global Study</w:t>
      </w:r>
      <w:r>
        <w:rPr>
          <w:rFonts w:ascii="Times New Roman" w:cs="Times New Roman" w:eastAsia="Times New Roman" w:hAnsi="Times New Roman"/>
          <w:sz w:val="15"/>
          <w:szCs w:val="15"/>
          <w:color w:val="auto"/>
        </w:rPr>
        <w:t>” means a Clinical Study designed to obtain Regulatory Approvals for a Product in multiple jurisdictions through the conduct of such Clinical Study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multiple jurisdictions in accordance with a common protocol.</w:t>
      </w:r>
    </w:p>
    <w:p>
      <w:pPr>
        <w:spacing w:after="0" w:line="136"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1.37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Global Non-Registrational Trial</w:t>
      </w:r>
      <w:r>
        <w:rPr>
          <w:rFonts w:ascii="Times New Roman" w:cs="Times New Roman" w:eastAsia="Times New Roman" w:hAnsi="Times New Roman"/>
          <w:sz w:val="15"/>
          <w:szCs w:val="15"/>
          <w:color w:val="auto"/>
        </w:rPr>
        <w:t>” means a Global Study that includes clinical sites in the Territory and outside the Territory that is not intended by Zenas to be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Registrational Trial for any jurisdiction where clinical sites are located.</w:t>
      </w:r>
    </w:p>
    <w:p>
      <w:pPr>
        <w:spacing w:after="0" w:line="136"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1.38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Global Registrational Trial</w:t>
      </w:r>
      <w:r>
        <w:rPr>
          <w:rFonts w:ascii="Times New Roman" w:cs="Times New Roman" w:eastAsia="Times New Roman" w:hAnsi="Times New Roman"/>
          <w:sz w:val="15"/>
          <w:szCs w:val="15"/>
          <w:color w:val="auto"/>
        </w:rPr>
        <w:t>” means a Global Study that includes clinical sites in the Territory and outside the Territory that is intended by Zenas to be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Registrational Trial for a jurisdiction outside the Territory but is not intended to be a Registrational Trial for any jurisdiction in the Territory.</w:t>
      </w:r>
    </w:p>
    <w:p>
      <w:pPr>
        <w:spacing w:after="0" w:line="136"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1.39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Good Clinical Practice</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GCP</w:t>
      </w:r>
      <w:r>
        <w:rPr>
          <w:rFonts w:ascii="Times New Roman" w:cs="Times New Roman" w:eastAsia="Times New Roman" w:hAnsi="Times New Roman"/>
          <w:sz w:val="15"/>
          <w:szCs w:val="15"/>
          <w:color w:val="auto"/>
        </w:rPr>
        <w:t>” means Applicable Laws and applicable ICH guidelines for the design, conduct, performance, monitoring, auditing, recording,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analysis and reporting of clinical trials, including (a) 21 C.F.R. Parts 11, 50, 54, 56, 312, 314 and 320, and (b) any analogous Applicable Laws and guidelines in the Territory.</w:t>
      </w:r>
    </w:p>
    <w:p>
      <w:pPr>
        <w:spacing w:after="0" w:line="136"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1.40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Good Laboratory Practice</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GLP</w:t>
      </w:r>
      <w:r>
        <w:rPr>
          <w:rFonts w:ascii="Times New Roman" w:cs="Times New Roman" w:eastAsia="Times New Roman" w:hAnsi="Times New Roman"/>
          <w:sz w:val="15"/>
          <w:szCs w:val="15"/>
          <w:color w:val="auto"/>
        </w:rPr>
        <w:t>” means the applicable then-current standards for laboratory activities for pharmaceuticals or biopharmaceuticals, including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set forth in (a) the then-current good laboratory practice standards promulgated or endorsed by the US FDA, as defined in 21 C.F.R. Part 58, and (b) in any analogous Applicable Laws and standards in the Territory.</w:t>
      </w:r>
    </w:p>
    <w:p>
      <w:pPr>
        <w:spacing w:after="0" w:line="147"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1.41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Good Manufacturing Practice</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GMP</w:t>
      </w:r>
      <w:r>
        <w:rPr>
          <w:rFonts w:ascii="Times New Roman" w:cs="Times New Roman" w:eastAsia="Times New Roman" w:hAnsi="Times New Roman"/>
          <w:sz w:val="15"/>
          <w:szCs w:val="15"/>
          <w:color w:val="auto"/>
        </w:rPr>
        <w:t>” means Good Manufacturing Practice and General Biological Products Standards, as promulgated under and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accordance with (a) the FD&amp;C Act (including 21 C.F.R. Parts 210, 211 and 600-680), and (b) any analogous Applicable Laws and guidelines in the Territory.</w:t>
      </w:r>
    </w:p>
    <w:p>
      <w:pPr>
        <w:spacing w:after="0" w:line="136"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1.42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Government Authority</w:t>
      </w:r>
      <w:r>
        <w:rPr>
          <w:rFonts w:ascii="Times New Roman" w:cs="Times New Roman" w:eastAsia="Times New Roman" w:hAnsi="Times New Roman"/>
          <w:sz w:val="15"/>
          <w:szCs w:val="15"/>
          <w:color w:val="auto"/>
        </w:rPr>
        <w:t>” means any court or government body, whether national, supra-national, federal, state, local, foreign or provincial, including any political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subdivision thereof, including any department, commission, board, bureau, agency, or other regulatory or administrative governmental authority or instrumentality, and further including any governmental Person or entity exercising the functions of any of these. For clarity, any Regulatory Authority shall be a Government Authority.</w:t>
      </w:r>
    </w:p>
    <w:p>
      <w:pPr>
        <w:spacing w:after="0" w:line="147"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1.43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Government Official</w:t>
      </w:r>
      <w:r>
        <w:rPr>
          <w:rFonts w:ascii="Times New Roman" w:cs="Times New Roman" w:eastAsia="Times New Roman" w:hAnsi="Times New Roman"/>
          <w:sz w:val="15"/>
          <w:szCs w:val="15"/>
          <w:color w:val="auto"/>
        </w:rPr>
        <w:t>” means any Person employed by or acting in an official capacity on behalf of a Government Authority, Government Authority-controlled entity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 public international organization; any political party, party official or candidate; any Person who holds or performs the duties of an appointment, office or position created by custom or convention; and any Person who is an authorized intermediary of any of the foregoing.</w:t>
      </w:r>
    </w:p>
    <w:p>
      <w:pPr>
        <w:spacing w:after="0" w:line="1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1.44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ICH</w:t>
      </w:r>
      <w:r>
        <w:rPr>
          <w:rFonts w:ascii="Times New Roman" w:cs="Times New Roman" w:eastAsia="Times New Roman" w:hAnsi="Times New Roman"/>
          <w:sz w:val="15"/>
          <w:szCs w:val="15"/>
          <w:color w:val="auto"/>
        </w:rPr>
        <w:t>” means the International Conference on Harmonisation of Technical Requirements for Registration of Pharmaceuticals for Human Use.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33" w:name="page434"/>
    <w:bookmarkEnd w:id="433"/>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1.45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w:t>
      </w:r>
      <w:r>
        <w:rPr>
          <w:rFonts w:ascii="Times New Roman" w:cs="Times New Roman" w:eastAsia="Times New Roman" w:hAnsi="Times New Roman"/>
          <w:sz w:val="15"/>
          <w:szCs w:val="15"/>
          <w:color w:val="auto"/>
        </w:rPr>
        <w:t>” means an Investigational New Drug application as defined in the FD&amp;C Act, or a clinical trial authorization application for a pharmaceutical product filed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 Regulatory Authority in any other regulatory jurisdiction outside the U.S., the filing of which is necessary to commence or conduct clinical testing of such pharmaceutical product in humans in such jurisdiction.</w:t>
      </w:r>
    </w:p>
    <w:p>
      <w:pPr>
        <w:spacing w:after="0" w:line="1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1.46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Indication</w:t>
      </w:r>
      <w:r>
        <w:rPr>
          <w:rFonts w:ascii="Times New Roman" w:cs="Times New Roman" w:eastAsia="Times New Roman" w:hAnsi="Times New Roman"/>
          <w:sz w:val="15"/>
          <w:szCs w:val="15"/>
          <w:color w:val="auto"/>
        </w:rPr>
        <w:t>” means a separate and distinct disease or medical condition in humans (including having a separate histology) [***]. For clarity, if Licensee obtains 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6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1.47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Intellectual Property</w:t>
      </w:r>
      <w:r>
        <w:rPr>
          <w:rFonts w:ascii="Times New Roman" w:cs="Times New Roman" w:eastAsia="Times New Roman" w:hAnsi="Times New Roman"/>
          <w:sz w:val="15"/>
          <w:szCs w:val="15"/>
          <w:color w:val="auto"/>
        </w:rPr>
        <w:t>” means all proprietary rights of any kind or nature, including Patent Rights, Know-How, Trademarks and copyrights.</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1.48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Invented</w:t>
      </w:r>
      <w:r>
        <w:rPr>
          <w:rFonts w:ascii="Times New Roman" w:cs="Times New Roman" w:eastAsia="Times New Roman" w:hAnsi="Times New Roman"/>
          <w:sz w:val="15"/>
          <w:szCs w:val="15"/>
          <w:color w:val="auto"/>
        </w:rPr>
        <w:t>” means the act of invention by inventors, as determined in accordance with the patent laws of the United States.</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1.49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Joint Intellectual Property</w:t>
      </w:r>
      <w:r>
        <w:rPr>
          <w:rFonts w:ascii="Times New Roman" w:cs="Times New Roman" w:eastAsia="Times New Roman" w:hAnsi="Times New Roman"/>
          <w:sz w:val="15"/>
          <w:szCs w:val="15"/>
          <w:color w:val="auto"/>
        </w:rPr>
        <w:t>” means the Joint Know-How, the Joint Patent Rights, and all intellectual property rights therein.</w:t>
      </w:r>
    </w:p>
    <w:p>
      <w:pPr>
        <w:spacing w:after="0" w:line="179"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1.50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Joint Know-How</w:t>
      </w:r>
      <w:r>
        <w:rPr>
          <w:rFonts w:ascii="Times New Roman" w:cs="Times New Roman" w:eastAsia="Times New Roman" w:hAnsi="Times New Roman"/>
          <w:sz w:val="15"/>
          <w:szCs w:val="15"/>
          <w:color w:val="auto"/>
        </w:rPr>
        <w:t>” means any Know-How that is identified, discovered, authored or developed jointly by or on behalf of Zenas or any of its Affiliates, on the one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hand, and Licensee or any of its Affiliates, on the other hand under this Agreement, in each case other than Know-How included within the Product Inventions.</w:t>
      </w:r>
    </w:p>
    <w:p>
      <w:pPr>
        <w:spacing w:after="0" w:line="136"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1.51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Joint Patent Rights</w:t>
      </w:r>
      <w:r>
        <w:rPr>
          <w:rFonts w:ascii="Times New Roman" w:cs="Times New Roman" w:eastAsia="Times New Roman" w:hAnsi="Times New Roman"/>
          <w:sz w:val="15"/>
          <w:szCs w:val="15"/>
          <w:color w:val="auto"/>
        </w:rPr>
        <w:t>” means all Patent Rights that claim (i) inventions Invented under this Agreement that are made jointly by or on behalf of Zenas or any of its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Affiliates, on the one hand, and Licensee or any of its Affiliates, on the other hand, during the Term, or (ii) Joint Know-How, in each case other than Patent Rights included within the Product Inventions.</w:t>
      </w:r>
    </w:p>
    <w:p>
      <w:pPr>
        <w:spacing w:after="0" w:line="147" w:lineRule="exact"/>
        <w:rPr>
          <w:sz w:val="20"/>
          <w:szCs w:val="20"/>
          <w:color w:val="auto"/>
        </w:rPr>
      </w:pPr>
    </w:p>
    <w:p>
      <w:pPr>
        <w:jc w:val="both"/>
        <w:ind w:firstLine="1055"/>
        <w:spacing w:after="0" w:line="253" w:lineRule="auto"/>
        <w:rPr>
          <w:sz w:val="20"/>
          <w:szCs w:val="20"/>
          <w:color w:val="auto"/>
        </w:rPr>
      </w:pPr>
      <w:r>
        <w:rPr>
          <w:rFonts w:ascii="Times New Roman" w:cs="Times New Roman" w:eastAsia="Times New Roman" w:hAnsi="Times New Roman"/>
          <w:sz w:val="15"/>
          <w:szCs w:val="15"/>
          <w:b w:val="1"/>
          <w:bCs w:val="1"/>
          <w:color w:val="auto"/>
        </w:rPr>
        <w:t>1.52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Know-How</w:t>
      </w:r>
      <w:r>
        <w:rPr>
          <w:rFonts w:ascii="Times New Roman" w:cs="Times New Roman" w:eastAsia="Times New Roman" w:hAnsi="Times New Roman"/>
          <w:sz w:val="15"/>
          <w:szCs w:val="15"/>
          <w:color w:val="auto"/>
        </w:rPr>
        <w:t>” means all discoveries, data, information (including scientific, technical or regulatory information), trade secrets, processes, methods, techniques,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materials, technology, results, analyses, laboratory, pre-clinical and clinical data, or other know-how, including pharmacology, toxicology, drug stability, manufacturing and formulation methodologies and techniques, clinical and non-clinical safety and efficacy studies, marketing studies, absorption, distribution, metabolism and excretion studies. Know-How does not include Patent Rights.</w:t>
      </w:r>
    </w:p>
    <w:p>
      <w:pPr>
        <w:spacing w:after="0" w:line="152"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1.53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Knowledge</w:t>
      </w:r>
      <w:r>
        <w:rPr>
          <w:rFonts w:ascii="Times New Roman" w:cs="Times New Roman" w:eastAsia="Times New Roman" w:hAnsi="Times New Roman"/>
          <w:sz w:val="15"/>
          <w:szCs w:val="15"/>
          <w:color w:val="auto"/>
        </w:rPr>
        <w:t>” means, the actual knowledge, after reasonable inquiry, of Zenas’s officers as defined under Rule 16a-1(f) of the Securities Exchange Act of 1934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amendment thereto or replacement or successor law) as of the Effective Date.</w:t>
      </w:r>
    </w:p>
    <w:p>
      <w:pPr>
        <w:spacing w:after="0" w:line="136"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1.54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Licensee Flow-Through Patent Rights</w:t>
      </w:r>
      <w:r>
        <w:rPr>
          <w:rFonts w:ascii="Times New Roman" w:cs="Times New Roman" w:eastAsia="Times New Roman" w:hAnsi="Times New Roman"/>
          <w:sz w:val="15"/>
          <w:szCs w:val="15"/>
          <w:color w:val="auto"/>
        </w:rPr>
        <w:t>” means any and all Licensed Patents (as defined in the [***] Agreement) and Post-Sublicensing Licensed Patents (as defined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the [***] Agreement) Controlled by Licensee or its Affiliates or Sublicensees after the Effective Date.</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1.55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Licensee Intellectual Property</w:t>
      </w:r>
      <w:r>
        <w:rPr>
          <w:rFonts w:ascii="Times New Roman" w:cs="Times New Roman" w:eastAsia="Times New Roman" w:hAnsi="Times New Roman"/>
          <w:sz w:val="14"/>
          <w:szCs w:val="14"/>
          <w:color w:val="auto"/>
        </w:rPr>
        <w:t>” means the Licensee Know-How, the Licensee Patent Rights, the Licensee Product Marks, and all intellectual property rights therein.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34" w:name="page435"/>
    <w:bookmarkEnd w:id="434"/>
    <w:p>
      <w:pPr>
        <w:jc w:val="both"/>
        <w:ind w:firstLine="1055"/>
        <w:spacing w:after="0" w:line="253" w:lineRule="auto"/>
        <w:rPr>
          <w:sz w:val="20"/>
          <w:szCs w:val="20"/>
          <w:color w:val="auto"/>
        </w:rPr>
      </w:pPr>
      <w:r>
        <w:rPr>
          <w:rFonts w:ascii="Times New Roman" w:cs="Times New Roman" w:eastAsia="Times New Roman" w:hAnsi="Times New Roman"/>
          <w:sz w:val="15"/>
          <w:szCs w:val="15"/>
          <w:b w:val="1"/>
          <w:bCs w:val="1"/>
          <w:color w:val="auto"/>
        </w:rPr>
        <w:t>1.56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Licensee Know-How</w:t>
      </w:r>
      <w:r>
        <w:rPr>
          <w:rFonts w:ascii="Times New Roman" w:cs="Times New Roman" w:eastAsia="Times New Roman" w:hAnsi="Times New Roman"/>
          <w:sz w:val="15"/>
          <w:szCs w:val="15"/>
          <w:color w:val="auto"/>
        </w:rPr>
        <w:t>” means all Know-How that is Controlled by Licensee or its Affiliates as of the Effective Date or during the Term that (a) is actually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incorporated by Licensee or its Affiliates into the Compound or Products, and (b) is necessary for the Development, Manufacture, or Commercialization of the Compound or Product in the applicable territory. For clarity, Know-How that is used by Licensee only to Commercialize and not to Develop or Manufacture the Compound and Product will not be regarded as Licensee Know-How.</w:t>
      </w:r>
    </w:p>
    <w:p>
      <w:pPr>
        <w:spacing w:after="0" w:line="152"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1.57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Licensee Patent Rights</w:t>
      </w:r>
      <w:r>
        <w:rPr>
          <w:rFonts w:ascii="Times New Roman" w:cs="Times New Roman" w:eastAsia="Times New Roman" w:hAnsi="Times New Roman"/>
          <w:sz w:val="15"/>
          <w:szCs w:val="15"/>
          <w:color w:val="auto"/>
        </w:rPr>
        <w:t>” means all Patent Rights Controlled by Licensee or its Affiliates as of the Effective Date or during the Term that (a) Cover the Compound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Products as Commercialized by Licensee in the Territory, together with foreign equivalents of such Patent Rights outside the Territory, or (b) Cover Licensee Know-How in the applicable territory.</w:t>
      </w:r>
    </w:p>
    <w:p>
      <w:pPr>
        <w:spacing w:after="0" w:line="147"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1.58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Lien</w:t>
      </w:r>
      <w:r>
        <w:rPr>
          <w:rFonts w:ascii="Times New Roman" w:cs="Times New Roman" w:eastAsia="Times New Roman" w:hAnsi="Times New Roman"/>
          <w:sz w:val="15"/>
          <w:szCs w:val="15"/>
          <w:color w:val="auto"/>
        </w:rPr>
        <w:t>” means any mortgage, pledge, assignment (as security), deposit arrangement, encumbrance, lien (statutory or other), charge or other security interest, or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preference, priority or other security agreement or preferential arrangement of any kind or nature whatsoever having substantially the same economic effect as any of the foregoing (including any conditional sale or other title retention agreement and any capital lease).</w:t>
      </w:r>
    </w:p>
    <w:p>
      <w:pPr>
        <w:spacing w:after="0" w:line="147"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1.59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Local Study</w:t>
      </w:r>
      <w:r>
        <w:rPr>
          <w:rFonts w:ascii="Times New Roman" w:cs="Times New Roman" w:eastAsia="Times New Roman" w:hAnsi="Times New Roman"/>
          <w:sz w:val="15"/>
          <w:szCs w:val="15"/>
          <w:color w:val="auto"/>
        </w:rPr>
        <w:t>” means any Clinical Study for the Product in the Field and which (a) Licensee elects to conduct and is conducted by or on behalf of Licensee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Territory, and (b) does not include clinical sites in any country or jurisdiction outside the Territory.</w:t>
      </w:r>
    </w:p>
    <w:p>
      <w:pPr>
        <w:spacing w:after="0" w:line="136"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1.60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Manufacturing</w:t>
      </w:r>
      <w:r>
        <w:rPr>
          <w:rFonts w:ascii="Times New Roman" w:cs="Times New Roman" w:eastAsia="Times New Roman" w:hAnsi="Times New Roman"/>
          <w:sz w:val="15"/>
          <w:szCs w:val="15"/>
          <w:color w:val="auto"/>
        </w:rPr>
        <w:t>” means any and all activities directed to making, producing, manufacturing, processing, filling, finishing, packaging, labeling, quality assurance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testing and release, shipping or storage of a product (or any ingredient thereof). When used as a verb, “</w:t>
      </w:r>
      <w:r>
        <w:rPr>
          <w:rFonts w:ascii="Times New Roman" w:cs="Times New Roman" w:eastAsia="Times New Roman" w:hAnsi="Times New Roman"/>
          <w:sz w:val="15"/>
          <w:szCs w:val="15"/>
          <w:b w:val="1"/>
          <w:bCs w:val="1"/>
          <w:color w:val="auto"/>
        </w:rPr>
        <w:t>Manufacture</w:t>
      </w:r>
      <w:r>
        <w:rPr>
          <w:rFonts w:ascii="Times New Roman" w:cs="Times New Roman" w:eastAsia="Times New Roman" w:hAnsi="Times New Roman"/>
          <w:sz w:val="15"/>
          <w:szCs w:val="15"/>
          <w:color w:val="auto"/>
        </w:rPr>
        <w:t>” means to engage in Manufacturing. For the avoidance of doubt, Manufacturing does not include Commercialization or Development.</w:t>
      </w:r>
    </w:p>
    <w:p>
      <w:pPr>
        <w:spacing w:after="0" w:line="1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1.61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Marketing Authorization Application</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MAA</w:t>
      </w:r>
      <w:r>
        <w:rPr>
          <w:rFonts w:ascii="Times New Roman" w:cs="Times New Roman" w:eastAsia="Times New Roman" w:hAnsi="Times New Roman"/>
          <w:sz w:val="15"/>
          <w:szCs w:val="15"/>
          <w:color w:val="auto"/>
        </w:rPr>
        <w:t>” means an application for Regulatory Approval in the Territory.</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1.62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MHLW</w:t>
      </w:r>
      <w:r>
        <w:rPr>
          <w:rFonts w:ascii="Times New Roman" w:cs="Times New Roman" w:eastAsia="Times New Roman" w:hAnsi="Times New Roman"/>
          <w:sz w:val="15"/>
          <w:szCs w:val="15"/>
          <w:color w:val="auto"/>
        </w:rPr>
        <w:t>” means the Ministry of Health, Labour and Welfare of Japan, and any successor agency(ies) or authority thereto having substantially the same function.</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1.63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Agreement</w:t>
      </w:r>
      <w:r>
        <w:rPr>
          <w:rFonts w:ascii="Times New Roman" w:cs="Times New Roman" w:eastAsia="Times New Roman" w:hAnsi="Times New Roman"/>
          <w:sz w:val="15"/>
          <w:szCs w:val="15"/>
          <w:color w:val="auto"/>
        </w:rPr>
        <w:t>” means the Collaboration and License Agreement entered into by [***], as such agreement may be amended or restated from time to time.</w:t>
      </w:r>
    </w:p>
    <w:p>
      <w:pPr>
        <w:spacing w:after="0" w:line="179"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1.64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Net Sales</w:t>
      </w:r>
      <w:r>
        <w:rPr>
          <w:rFonts w:ascii="Times New Roman" w:cs="Times New Roman" w:eastAsia="Times New Roman" w:hAnsi="Times New Roman"/>
          <w:sz w:val="15"/>
          <w:szCs w:val="15"/>
          <w:color w:val="auto"/>
        </w:rPr>
        <w:t>” means, with respect to a Product for any period, the gross amount invoiced for sales of such Product during such period by Licensee, its Affiliates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Sublicensees to Third Parties (including distributors) in the Territory, in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arm’s length transactions, less the following deductions, in each case related specifically to such Product and actually incurred, paid or accrued by, and not otherwise recovered by or reimbursed to, Licensee, its Affiliates or Sublicensees:</w:t>
      </w:r>
    </w:p>
    <w:p>
      <w:pPr>
        <w:spacing w:after="0" w:line="1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1.64.1       [***]</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35" w:name="page436"/>
    <w:bookmarkEnd w:id="435"/>
    <w:p>
      <w:pPr>
        <w:ind w:left="1600"/>
        <w:spacing w:after="0"/>
        <w:rPr>
          <w:sz w:val="20"/>
          <w:szCs w:val="20"/>
          <w:color w:val="auto"/>
        </w:rPr>
      </w:pPr>
      <w:r>
        <w:rPr>
          <w:rFonts w:ascii="Times New Roman" w:cs="Times New Roman" w:eastAsia="Times New Roman" w:hAnsi="Times New Roman"/>
          <w:sz w:val="15"/>
          <w:szCs w:val="15"/>
          <w:color w:val="auto"/>
        </w:rPr>
        <w:t>1.64.2       [***]</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1.64.3       [***]</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1.64.4       [***]</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1.64.5       [***]</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1.64.6       [***]</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1.64.7       [***]</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1.64.8       [***]</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(a)       [***]</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(b)       [***]</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(c)       [***]</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(d)       [***]</w:t>
      </w:r>
    </w:p>
    <w:p>
      <w:pPr>
        <w:spacing w:after="0" w:line="177" w:lineRule="exact"/>
        <w:rPr>
          <w:sz w:val="20"/>
          <w:szCs w:val="20"/>
          <w:color w:val="auto"/>
        </w:rPr>
      </w:pPr>
    </w:p>
    <w:p>
      <w:pPr>
        <w:jc w:val="both"/>
        <w:ind w:firstLine="1055"/>
        <w:spacing w:after="0" w:line="253" w:lineRule="auto"/>
        <w:rPr>
          <w:sz w:val="20"/>
          <w:szCs w:val="20"/>
          <w:color w:val="auto"/>
        </w:rPr>
      </w:pPr>
      <w:r>
        <w:rPr>
          <w:rFonts w:ascii="Times New Roman" w:cs="Times New Roman" w:eastAsia="Times New Roman" w:hAnsi="Times New Roman"/>
          <w:sz w:val="15"/>
          <w:szCs w:val="15"/>
          <w:b w:val="1"/>
          <w:bCs w:val="1"/>
          <w:color w:val="auto"/>
        </w:rPr>
        <w:t>1.65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Patent Right</w:t>
      </w:r>
      <w:r>
        <w:rPr>
          <w:rFonts w:ascii="Times New Roman" w:cs="Times New Roman" w:eastAsia="Times New Roman" w:hAnsi="Times New Roman"/>
          <w:sz w:val="15"/>
          <w:szCs w:val="15"/>
          <w:color w:val="auto"/>
        </w:rPr>
        <w:t>” means any and all: (a) patent applications filed under Applicable Laws in any jurisdiction, including all provisional applications, substitutions,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continuations, continuations-in-part, divisions, renewals, and all patents granted thereon; (b) all patents-of-addition, reissues, reexaminations and adjustments, extensions or restorations by existing or future extension or restoration mechanisms, including supplementary protection certificates or the equivalent thereof; (c) inventor’s certificates; (d) any other form of government-issued right substantially similar to any of the foregoing; and (e) United States and foreign counterparts of any of the foregoing.</w:t>
      </w:r>
    </w:p>
    <w:p>
      <w:pPr>
        <w:spacing w:after="0" w:line="152"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1.66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Patent Term Extension</w:t>
      </w:r>
      <w:r>
        <w:rPr>
          <w:rFonts w:ascii="Times New Roman" w:cs="Times New Roman" w:eastAsia="Times New Roman" w:hAnsi="Times New Roman"/>
          <w:sz w:val="15"/>
          <w:szCs w:val="15"/>
          <w:color w:val="auto"/>
        </w:rPr>
        <w:t>” means any term extensions, supplementary protection certificates and equivalents thereof offering Patent Right protection beyond the initial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 with respect to any granted Patent Rights.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1.67      </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firstLine="1055"/>
        <w:spacing w:after="0" w:line="309" w:lineRule="auto"/>
        <w:rPr>
          <w:sz w:val="20"/>
          <w:szCs w:val="20"/>
          <w:color w:val="auto"/>
        </w:rPr>
      </w:pPr>
      <w:r>
        <w:rPr>
          <w:rFonts w:ascii="Times New Roman" w:cs="Times New Roman" w:eastAsia="Times New Roman" w:hAnsi="Times New Roman"/>
          <w:sz w:val="14"/>
          <w:szCs w:val="14"/>
          <w:b w:val="1"/>
          <w:bCs w:val="1"/>
          <w:color w:val="auto"/>
        </w:rPr>
        <w:t>1.68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means an individual, sole proprietorship, partnership, limited partnership, limited liability partnership, corporation, limited liability company, business trust,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joint stock company, trust, incorporated association, joint venture, or similar entity or organization, including a government or political subdivision or department or agency of a government.</w:t>
      </w:r>
    </w:p>
    <w:p>
      <w:pPr>
        <w:spacing w:after="0" w:line="113" w:lineRule="exact"/>
        <w:rPr>
          <w:sz w:val="20"/>
          <w:szCs w:val="20"/>
          <w:color w:val="auto"/>
        </w:rPr>
      </w:pPr>
    </w:p>
    <w:p>
      <w:pPr>
        <w:jc w:val="both"/>
        <w:ind w:firstLine="1055"/>
        <w:spacing w:after="0" w:line="250" w:lineRule="auto"/>
        <w:rPr>
          <w:sz w:val="20"/>
          <w:szCs w:val="20"/>
          <w:color w:val="auto"/>
        </w:rPr>
      </w:pPr>
      <w:r>
        <w:rPr>
          <w:rFonts w:ascii="Times New Roman" w:cs="Times New Roman" w:eastAsia="Times New Roman" w:hAnsi="Times New Roman"/>
          <w:sz w:val="15"/>
          <w:szCs w:val="15"/>
          <w:b w:val="1"/>
          <w:bCs w:val="1"/>
          <w:color w:val="auto"/>
        </w:rPr>
        <w:t>1.69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Phase I Clinical Trial</w:t>
      </w:r>
      <w:r>
        <w:rPr>
          <w:rFonts w:ascii="Times New Roman" w:cs="Times New Roman" w:eastAsia="Times New Roman" w:hAnsi="Times New Roman"/>
          <w:sz w:val="15"/>
          <w:szCs w:val="15"/>
          <w:color w:val="auto"/>
        </w:rPr>
        <w:t>” means a human clinical trial in a country, the principal purpose of which is preliminary determination of the safety, metabolism,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pharmacokinetic properties and clinical pharmacology of a compound alone or in combination with other agents, in healthy individuals or patients, and to determine that such compound elicits reproducible and sustained pharmacodynamic changes in biopsy samples of tissues intended to be the site of action to satisfy the requirements of 21 C.F.R. §312.21(a), or similar clinical study in a country other than the U.S. and in order to support advancement to Phase II Clinical Trials. Portions of the “Phase I Clinical Trial” may necessitate study in a reasonably well defined, homogeneous population of subjects with respect to a particular Indication to better understand pharmacodynamic changes and potential preliminary clinical activity but in a relatively small group of subjects.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36" w:name="page437"/>
    <w:bookmarkEnd w:id="436"/>
    <w:p>
      <w:pPr>
        <w:jc w:val="both"/>
        <w:ind w:firstLine="1055"/>
        <w:spacing w:after="0" w:line="250" w:lineRule="auto"/>
        <w:rPr>
          <w:sz w:val="20"/>
          <w:szCs w:val="20"/>
          <w:color w:val="auto"/>
        </w:rPr>
      </w:pPr>
      <w:r>
        <w:rPr>
          <w:rFonts w:ascii="Times New Roman" w:cs="Times New Roman" w:eastAsia="Times New Roman" w:hAnsi="Times New Roman"/>
          <w:sz w:val="15"/>
          <w:szCs w:val="15"/>
          <w:b w:val="1"/>
          <w:bCs w:val="1"/>
          <w:color w:val="auto"/>
        </w:rPr>
        <w:t>1.70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Phase II Clinical Trial</w:t>
      </w:r>
      <w:r>
        <w:rPr>
          <w:rFonts w:ascii="Times New Roman" w:cs="Times New Roman" w:eastAsia="Times New Roman" w:hAnsi="Times New Roman"/>
          <w:sz w:val="15"/>
          <w:szCs w:val="15"/>
          <w:color w:val="auto"/>
        </w:rPr>
        <w:t>” means a human clinical trial in a country, the principal purpose of which is a preliminary determination of the efficacy and safety of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compound or product either alone or in combination with other agents for an Indication in a in a well-defined, homogeneous population of patients being studied, at the intended clinical dose or doses or range of doses, on a sufficient number of subjects and for a sufficient period of time to confirm the optimal manner of use of such compound or product (dose and dose regimen) for such Indication, as described in 21 C.F.R. §312.21(b), or similar clinical study in a country other than the U.S. A Phase II Clinical Trial is prospectively designed, including with standard of care comparator control group(s), if available or recommended by an applicable Regulatory Authority, to generate data to support commencing a Phase III Clinical Trial. For clarity, “Phase II Clinical Trial” excludes any Phase I Clinical Trial.</w:t>
      </w:r>
    </w:p>
    <w:p>
      <w:pPr>
        <w:spacing w:after="0" w:line="152" w:lineRule="exact"/>
        <w:rPr>
          <w:sz w:val="20"/>
          <w:szCs w:val="20"/>
          <w:color w:val="auto"/>
        </w:rPr>
      </w:pPr>
    </w:p>
    <w:p>
      <w:pPr>
        <w:jc w:val="both"/>
        <w:ind w:firstLine="1055"/>
        <w:spacing w:after="0" w:line="251" w:lineRule="auto"/>
        <w:rPr>
          <w:sz w:val="20"/>
          <w:szCs w:val="20"/>
          <w:color w:val="auto"/>
        </w:rPr>
      </w:pPr>
      <w:r>
        <w:rPr>
          <w:rFonts w:ascii="Times New Roman" w:cs="Times New Roman" w:eastAsia="Times New Roman" w:hAnsi="Times New Roman"/>
          <w:sz w:val="15"/>
          <w:szCs w:val="15"/>
          <w:b w:val="1"/>
          <w:bCs w:val="1"/>
          <w:color w:val="auto"/>
        </w:rPr>
        <w:t>1.71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Phase III Clinical Trial</w:t>
      </w:r>
      <w:r>
        <w:rPr>
          <w:rFonts w:ascii="Times New Roman" w:cs="Times New Roman" w:eastAsia="Times New Roman" w:hAnsi="Times New Roman"/>
          <w:sz w:val="15"/>
          <w:szCs w:val="15"/>
          <w:color w:val="auto"/>
        </w:rPr>
        <w:t>” means a human clinical trial in a country prospectively designed the principal purpose of which is to demonstrate statistically that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compound or product is safe and efficacious either alone or in combination with other agents, in a well-defined, homogeneous population of subjects for its intended use for an Indication, and to determine warnings, precautions, and adverse reactions that are associated with such compound or product in the dosage range to be prescribed, and in a manner sufficient (whether alone or together with data from a planned second Phase III Clinical Trial) to support Regulatory Approval of the compound or product for such Indication or label expansion of the compound or product as described in 21 C.F.R. §312.21(c), or similar clinical study in a country other than the U.S.</w:t>
      </w:r>
    </w:p>
    <w:p>
      <w:pPr>
        <w:spacing w:after="0" w:line="15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1.72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PMDA</w:t>
      </w:r>
      <w:r>
        <w:rPr>
          <w:rFonts w:ascii="Times New Roman" w:cs="Times New Roman" w:eastAsia="Times New Roman" w:hAnsi="Times New Roman"/>
          <w:sz w:val="14"/>
          <w:szCs w:val="14"/>
          <w:color w:val="auto"/>
        </w:rPr>
        <w:t>” means the Pharmaceuticals and Medical Devices Agency of Japan, and any successor agency(ies) or authority thereto having substantially the same function.</w:t>
      </w:r>
    </w:p>
    <w:p>
      <w:pPr>
        <w:spacing w:after="0" w:line="191"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1.73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Post-Study Drug Access Plan</w:t>
      </w:r>
      <w:r>
        <w:rPr>
          <w:rFonts w:ascii="Times New Roman" w:cs="Times New Roman" w:eastAsia="Times New Roman" w:hAnsi="Times New Roman"/>
          <w:sz w:val="15"/>
          <w:szCs w:val="15"/>
          <w:color w:val="auto"/>
        </w:rPr>
        <w:t>” means, with respect to a Clinical Study, a plan to make the Product, subject to Applicable Law, available to trial patients after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completion or termination of such Clinical Study through which such Product has been found to be beneficial to such trial patients during such Clinical Study.</w:t>
      </w:r>
    </w:p>
    <w:p>
      <w:pPr>
        <w:spacing w:after="0" w:line="136"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1.74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Product</w:t>
      </w:r>
      <w:r>
        <w:rPr>
          <w:rFonts w:ascii="Times New Roman" w:cs="Times New Roman" w:eastAsia="Times New Roman" w:hAnsi="Times New Roman"/>
          <w:sz w:val="15"/>
          <w:szCs w:val="15"/>
          <w:color w:val="auto"/>
        </w:rPr>
        <w:t>” means, in relation to the Compound, any biological product in finished form that contains the Compound and all presentations, formulations, dosages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dosage forms thereof;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 Product does not include any proprietary Active Ingredient of Zenas or any of its Affiliates (or any product containing such an Active Ingredient) other than the Compound.</w:t>
      </w:r>
    </w:p>
    <w:p>
      <w:pPr>
        <w:spacing w:after="0" w:line="147"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1.75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Reference Data</w:t>
      </w:r>
      <w:r>
        <w:rPr>
          <w:rFonts w:ascii="Times New Roman" w:cs="Times New Roman" w:eastAsia="Times New Roman" w:hAnsi="Times New Roman"/>
          <w:sz w:val="15"/>
          <w:szCs w:val="15"/>
          <w:color w:val="auto"/>
        </w:rPr>
        <w:t>” means all data generated relating to the Compound or Products in the Field, including preclinical data, Clinical Data, safety data and CMC data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contained in or referenced in any Regulatory Filings pertaining to the Product in the Field submitted by or on behalf of a Party, its Affiliates, or licensees, and all corresponding documentation Controlled by such Party as of the Effective Date or at any time during the Term.</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37" w:name="page438"/>
    <w:bookmarkEnd w:id="437"/>
    <w:p>
      <w:pPr>
        <w:jc w:val="both"/>
        <w:ind w:firstLine="1055"/>
        <w:spacing w:after="0" w:line="253" w:lineRule="auto"/>
        <w:rPr>
          <w:sz w:val="20"/>
          <w:szCs w:val="20"/>
          <w:color w:val="auto"/>
        </w:rPr>
      </w:pPr>
      <w:r>
        <w:rPr>
          <w:rFonts w:ascii="Times New Roman" w:cs="Times New Roman" w:eastAsia="Times New Roman" w:hAnsi="Times New Roman"/>
          <w:sz w:val="15"/>
          <w:szCs w:val="15"/>
          <w:b w:val="1"/>
          <w:bCs w:val="1"/>
          <w:color w:val="auto"/>
        </w:rPr>
        <w:t>1.76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Registrational Trial</w:t>
      </w:r>
      <w:r>
        <w:rPr>
          <w:rFonts w:ascii="Times New Roman" w:cs="Times New Roman" w:eastAsia="Times New Roman" w:hAnsi="Times New Roman"/>
          <w:sz w:val="15"/>
          <w:szCs w:val="15"/>
          <w:color w:val="auto"/>
        </w:rPr>
        <w:t>” means a human clinical trial of a compound or product in any country that (a) is a Phase III Clinical Trial or (b) is otherwise intended to provide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sufficient efficacy and safety data to support the filing of an MAA that the applicable Regulatory Authority has agreed (as evidenced by definitive written correspondence, which may include meeting minutes, letters, email correspondence or other written correspondence) could serve as the basis for a Regulatory Approval (which may include an accelerated Regulatory Approval) even if such trial is a Phase I Clinical Trial or Phase II Clinical Trial.</w:t>
      </w:r>
    </w:p>
    <w:p>
      <w:pPr>
        <w:spacing w:after="0" w:line="152"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1.77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Regulatory Approval</w:t>
      </w:r>
      <w:r>
        <w:rPr>
          <w:rFonts w:ascii="Times New Roman" w:cs="Times New Roman" w:eastAsia="Times New Roman" w:hAnsi="Times New Roman"/>
          <w:sz w:val="15"/>
          <w:szCs w:val="15"/>
          <w:color w:val="auto"/>
        </w:rPr>
        <w:t>” means the approval(s) and authorization(s) of a Regulatory Authority in a country or regulatory jurisdiction necessary to Develop,</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Manufacture or Commercialize a product in such country or regulatory jurisdiction (including pricing and reimbursement approval, where required), prior to the commencement of manufacture, sales, and distribution in such country or regulatory jurisdiction (excluding compassionate use sales and other similar sales for which a limited approval is granted).</w:t>
      </w:r>
    </w:p>
    <w:p>
      <w:pPr>
        <w:spacing w:after="0" w:line="147"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1.78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Regulatory Authority</w:t>
      </w:r>
      <w:r>
        <w:rPr>
          <w:rFonts w:ascii="Times New Roman" w:cs="Times New Roman" w:eastAsia="Times New Roman" w:hAnsi="Times New Roman"/>
          <w:sz w:val="15"/>
          <w:szCs w:val="15"/>
          <w:color w:val="auto"/>
        </w:rPr>
        <w:t>” means the MHLW, PMDA, US FDA, or any Government Authority with similar regulatory authority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involved in granting Regulatory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Approvals) in any other country or regulatory jurisdiction anywhere in the world.</w:t>
      </w:r>
    </w:p>
    <w:p>
      <w:pPr>
        <w:spacing w:after="0" w:line="136"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1.79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Regulatory Exclusivity</w:t>
      </w:r>
      <w:r>
        <w:rPr>
          <w:rFonts w:ascii="Times New Roman" w:cs="Times New Roman" w:eastAsia="Times New Roman" w:hAnsi="Times New Roman"/>
          <w:sz w:val="15"/>
          <w:szCs w:val="15"/>
          <w:color w:val="auto"/>
        </w:rPr>
        <w:t>” means any exclusive marketing rights or data exclusivity rights conferred by any Regulatory Authority with respect to a Product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Territory, other than a Patent Right (potentially including new clinical data exclusivity, orphan drug exclusivity, pediatric exclusivity, or rights similar thereto in other Regions), in each case, that confers exclusive rights to Licensee, its Affiliates or Sublicensees, as applicable to market such Product in the Territory.</w:t>
      </w:r>
    </w:p>
    <w:p>
      <w:pPr>
        <w:spacing w:after="0" w:line="147" w:lineRule="exact"/>
        <w:rPr>
          <w:sz w:val="20"/>
          <w:szCs w:val="20"/>
          <w:color w:val="auto"/>
        </w:rPr>
      </w:pPr>
    </w:p>
    <w:p>
      <w:pPr>
        <w:jc w:val="both"/>
        <w:ind w:firstLine="1055"/>
        <w:spacing w:after="0" w:line="251" w:lineRule="auto"/>
        <w:rPr>
          <w:sz w:val="20"/>
          <w:szCs w:val="20"/>
          <w:color w:val="auto"/>
        </w:rPr>
      </w:pPr>
      <w:r>
        <w:rPr>
          <w:rFonts w:ascii="Times New Roman" w:cs="Times New Roman" w:eastAsia="Times New Roman" w:hAnsi="Times New Roman"/>
          <w:sz w:val="15"/>
          <w:szCs w:val="15"/>
          <w:b w:val="1"/>
          <w:bCs w:val="1"/>
          <w:color w:val="auto"/>
        </w:rPr>
        <w:t>1.80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Regulatory Filings</w:t>
      </w:r>
      <w:r>
        <w:rPr>
          <w:rFonts w:ascii="Times New Roman" w:cs="Times New Roman" w:eastAsia="Times New Roman" w:hAnsi="Times New Roman"/>
          <w:sz w:val="15"/>
          <w:szCs w:val="15"/>
          <w:color w:val="auto"/>
        </w:rPr>
        <w:t>” means applications for Regulatory Approval, notifications, communications, correspondence, meeting minutes, registrations, and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submissions made to or with a Regulatory Authority that are necessary or reasonably desirable to Develop, Manufacture or Commercialize a product in a country or regulatory jurisdiction, whether obtained before or after a Regulatory Approval in such country or regulatory jurisdiction, including investigative new drug applications and MAAs, and amendments, renewals and supplements to any of the foregoing and their foreign counterparts, applications for pricing and reimbursement approvals, and all proposed labels, labeling, package inserts, monographs and packaging for a product in a particular country or regulatory jurisdiction.</w:t>
      </w:r>
    </w:p>
    <w:p>
      <w:pPr>
        <w:spacing w:after="0" w:line="153"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1.81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Specified Joint Patent Rights</w:t>
      </w:r>
      <w:r>
        <w:rPr>
          <w:rFonts w:ascii="Times New Roman" w:cs="Times New Roman" w:eastAsia="Times New Roman" w:hAnsi="Times New Roman"/>
          <w:sz w:val="15"/>
          <w:szCs w:val="15"/>
          <w:color w:val="auto"/>
        </w:rPr>
        <w:t>” means any Joint Patent Rights with one or more claims claiming an invention involving the use of one or both of the biomarkers set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forth in </w:t>
      </w:r>
      <w:r>
        <w:rPr>
          <w:rFonts w:ascii="Times New Roman" w:cs="Times New Roman" w:eastAsia="Times New Roman" w:hAnsi="Times New Roman"/>
          <w:sz w:val="15"/>
          <w:szCs w:val="15"/>
          <w:u w:val="single" w:color="auto"/>
          <w:color w:val="auto"/>
        </w:rPr>
        <w:t>Schedule 1.81</w:t>
      </w:r>
      <w:r>
        <w:rPr>
          <w:rFonts w:ascii="Times New Roman" w:cs="Times New Roman" w:eastAsia="Times New Roman" w:hAnsi="Times New Roman"/>
          <w:sz w:val="15"/>
          <w:szCs w:val="15"/>
          <w:color w:val="auto"/>
        </w:rPr>
        <w:t xml:space="preserve"> (in each case, either alone or in combination with other biomarkers) in the Field.</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1.82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Territory</w:t>
      </w:r>
      <w:r>
        <w:rPr>
          <w:rFonts w:ascii="Times New Roman" w:cs="Times New Roman" w:eastAsia="Times New Roman" w:hAnsi="Times New Roman"/>
          <w:sz w:val="15"/>
          <w:szCs w:val="15"/>
          <w:color w:val="auto"/>
        </w:rPr>
        <w:t>” means Japan, South Korea, Taiwan, Singapore, Hong Kong and Australia.</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1.83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Third Party</w:t>
      </w:r>
      <w:r>
        <w:rPr>
          <w:rFonts w:ascii="Times New Roman" w:cs="Times New Roman" w:eastAsia="Times New Roman" w:hAnsi="Times New Roman"/>
          <w:sz w:val="15"/>
          <w:szCs w:val="15"/>
          <w:color w:val="auto"/>
        </w:rPr>
        <w:t>” means any Person other than Zenas and its Affiliates, and Licensee and its Affiliates.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38" w:name="page439"/>
    <w:bookmarkEnd w:id="438"/>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1.84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Trademark</w:t>
      </w:r>
      <w:r>
        <w:rPr>
          <w:rFonts w:ascii="Times New Roman" w:cs="Times New Roman" w:eastAsia="Times New Roman" w:hAnsi="Times New Roman"/>
          <w:sz w:val="15"/>
          <w:szCs w:val="15"/>
          <w:color w:val="auto"/>
        </w:rPr>
        <w:t>” means any trademark, trade name, service mark, service name, brand, trade dress, slogan or other indicia of origin or ownership, including registrations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applications therefor and the goodwill associated with each of the foregoing.</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1.85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Upstream Licenses</w:t>
      </w:r>
      <w:r>
        <w:rPr>
          <w:rFonts w:ascii="Times New Roman" w:cs="Times New Roman" w:eastAsia="Times New Roman" w:hAnsi="Times New Roman"/>
          <w:sz w:val="15"/>
          <w:szCs w:val="15"/>
          <w:color w:val="auto"/>
        </w:rPr>
        <w:t>” means the [***] all as attached hereto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Schedule 2.4</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1.86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Upstream Licensors</w:t>
      </w:r>
      <w:r>
        <w:rPr>
          <w:rFonts w:ascii="Times New Roman" w:cs="Times New Roman" w:eastAsia="Times New Roman" w:hAnsi="Times New Roman"/>
          <w:sz w:val="15"/>
          <w:szCs w:val="15"/>
          <w:color w:val="auto"/>
        </w:rPr>
        <w:t>” means the counterparties of the Upstream Licenses.</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1.87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US</w:t>
      </w:r>
      <w:r>
        <w:rPr>
          <w:rFonts w:ascii="Times New Roman" w:cs="Times New Roman" w:eastAsia="Times New Roman" w:hAnsi="Times New Roman"/>
          <w:sz w:val="15"/>
          <w:szCs w:val="15"/>
          <w:color w:val="auto"/>
        </w:rPr>
        <w:t>” means the United States.</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1.88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US FDA</w:t>
      </w:r>
      <w:r>
        <w:rPr>
          <w:rFonts w:ascii="Times New Roman" w:cs="Times New Roman" w:eastAsia="Times New Roman" w:hAnsi="Times New Roman"/>
          <w:sz w:val="15"/>
          <w:szCs w:val="15"/>
          <w:color w:val="auto"/>
        </w:rPr>
        <w:t>” means the United States Food and Drug Administration or any successor agency thereto.</w:t>
      </w:r>
    </w:p>
    <w:p>
      <w:pPr>
        <w:spacing w:after="0" w:line="179"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1.89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Valid Claim</w:t>
      </w:r>
      <w:r>
        <w:rPr>
          <w:rFonts w:ascii="Times New Roman" w:cs="Times New Roman" w:eastAsia="Times New Roman" w:hAnsi="Times New Roman"/>
          <w:sz w:val="15"/>
          <w:szCs w:val="15"/>
          <w:color w:val="auto"/>
        </w:rPr>
        <w:t>” means a claim of a Patent Right, which has not expired, been revoked or held unenforceable, unpatentable or invalid by a decision of a court or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Government Authority of competent jurisdiction, which is not appealable or has not been appealed within the time allowed for appeal, and which has not been abandoned, disclaimed, denied or admitted to be invalid or unenforceable through reissue, re-examination or disclaimer or other final, irrevocable action; [***].</w:t>
      </w:r>
    </w:p>
    <w:p>
      <w:pPr>
        <w:spacing w:after="0" w:line="1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1.90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Xencor Agreement</w:t>
      </w:r>
      <w:r>
        <w:rPr>
          <w:rFonts w:ascii="Times New Roman" w:cs="Times New Roman" w:eastAsia="Times New Roman" w:hAnsi="Times New Roman"/>
          <w:sz w:val="14"/>
          <w:szCs w:val="14"/>
          <w:color w:val="auto"/>
        </w:rPr>
        <w:t>” means the License Agreement entered into by Xencor, Inc. and Zenas dated May 27, 2021, as such agreement may be amended or restated from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time to time.</w:t>
      </w:r>
    </w:p>
    <w:p>
      <w:pPr>
        <w:spacing w:after="0" w:line="16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1.91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Program Antibodies</w:t>
      </w:r>
      <w:r>
        <w:rPr>
          <w:rFonts w:ascii="Times New Roman" w:cs="Times New Roman" w:eastAsia="Times New Roman" w:hAnsi="Times New Roman"/>
          <w:sz w:val="15"/>
          <w:szCs w:val="15"/>
          <w:color w:val="auto"/>
        </w:rPr>
        <w:t>” shall have the meaning ascribed to such term in the [***] Agreement as of the Effective Date.</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1.92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Zenas Intellectual Property</w:t>
      </w:r>
      <w:r>
        <w:rPr>
          <w:rFonts w:ascii="Times New Roman" w:cs="Times New Roman" w:eastAsia="Times New Roman" w:hAnsi="Times New Roman"/>
          <w:sz w:val="15"/>
          <w:szCs w:val="15"/>
          <w:color w:val="auto"/>
        </w:rPr>
        <w:t>” means the Zenas Know-How, the Zenas Patent Rights, the Zenas Product Marks, and all intellectual property rights therein.</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1.93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Zenas Know-How</w:t>
      </w:r>
      <w:r>
        <w:rPr>
          <w:rFonts w:ascii="Times New Roman" w:cs="Times New Roman" w:eastAsia="Times New Roman" w:hAnsi="Times New Roman"/>
          <w:sz w:val="14"/>
          <w:szCs w:val="14"/>
          <w:color w:val="auto"/>
        </w:rPr>
        <w:t>” means all Know-How Controlled by Zenas or its Affiliates as of the Effective Date or during the Term that is necessary or reasonably useful for</w:t>
      </w:r>
    </w:p>
    <w:p>
      <w:pPr>
        <w:spacing w:after="0" w:line="32" w:lineRule="exact"/>
        <w:rPr>
          <w:sz w:val="20"/>
          <w:szCs w:val="20"/>
          <w:color w:val="auto"/>
        </w:rPr>
      </w:pPr>
    </w:p>
    <w:p>
      <w:pPr>
        <w:ind w:firstLine="8"/>
        <w:spacing w:after="0" w:line="249" w:lineRule="auto"/>
        <w:tabs>
          <w:tab w:leader="none" w:pos="207"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Manufacture, Development or Commercialization of the Compound or Products in the Field in the Territory and (b) (i) Manufacture by Licensee or its Affiliates of the Compound or Products in the Field outside the Territory, or (ii) the conduct of Ex-Territory Development Activities, in each case ((i) and (ii)) in accordance with this Agreement.</w:t>
      </w:r>
    </w:p>
    <w:p>
      <w:pPr>
        <w:spacing w:after="0" w:line="153"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1.94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Zenas Manufacturing Know-How</w:t>
      </w:r>
      <w:r>
        <w:rPr>
          <w:rFonts w:ascii="Times New Roman" w:cs="Times New Roman" w:eastAsia="Times New Roman" w:hAnsi="Times New Roman"/>
          <w:sz w:val="15"/>
          <w:szCs w:val="15"/>
          <w:color w:val="auto"/>
        </w:rPr>
        <w:t>” means all Know-How Controlled by Zenas or its Affiliates as of the Effective Date or during the Term that is necessary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reasonably useful for the Manufacturing, not Development or Commercialization, of the Compound or Products in the Field.</w:t>
      </w:r>
    </w:p>
    <w:p>
      <w:pPr>
        <w:spacing w:after="0" w:line="136" w:lineRule="exact"/>
        <w:rPr>
          <w:sz w:val="20"/>
          <w:szCs w:val="20"/>
          <w:color w:val="auto"/>
        </w:rPr>
      </w:pPr>
    </w:p>
    <w:p>
      <w:pPr>
        <w:jc w:val="both"/>
        <w:ind w:firstLine="1055"/>
        <w:spacing w:after="0" w:line="250" w:lineRule="auto"/>
        <w:rPr>
          <w:sz w:val="20"/>
          <w:szCs w:val="20"/>
          <w:color w:val="auto"/>
        </w:rPr>
      </w:pPr>
      <w:r>
        <w:rPr>
          <w:rFonts w:ascii="Times New Roman" w:cs="Times New Roman" w:eastAsia="Times New Roman" w:hAnsi="Times New Roman"/>
          <w:sz w:val="15"/>
          <w:szCs w:val="15"/>
          <w:b w:val="1"/>
          <w:bCs w:val="1"/>
          <w:color w:val="auto"/>
        </w:rPr>
        <w:t>1.95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Zenas Patent Rights</w:t>
      </w:r>
      <w:r>
        <w:rPr>
          <w:rFonts w:ascii="Times New Roman" w:cs="Times New Roman" w:eastAsia="Times New Roman" w:hAnsi="Times New Roman"/>
          <w:sz w:val="15"/>
          <w:szCs w:val="15"/>
          <w:color w:val="auto"/>
        </w:rPr>
        <w:t>” means all Patent Rights Controlled by Zenas or its Affiliates as of the Effective Date or during the Term that (a) Cover the Development,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Manufacture or Commercialization of the Compound or Products in the Field in the Territory, (b) Cover (i) the Manufacture by Licensee or its Affiliates of the Compound or Products in the Field outside the Territory, or (ii) the conduct of Ex-Territory Development Activities, in each case ((i) and (ii)) in accordance with this Agreement, or (c) are otherwise necessary or reasonably useful for the Development, Manufacture or Commercialization of the Compound or Products in the Field in the Territory. For the avoidance of doubt, Zenas Patent Rights exclude any Joint Patent Rights. The Zenas Patent Rights existing as of the Effective Date are set forth on </w:t>
      </w:r>
      <w:r>
        <w:rPr>
          <w:rFonts w:ascii="Times New Roman" w:cs="Times New Roman" w:eastAsia="Times New Roman" w:hAnsi="Times New Roman"/>
          <w:sz w:val="15"/>
          <w:szCs w:val="15"/>
          <w:u w:val="single" w:color="auto"/>
          <w:color w:val="auto"/>
        </w:rPr>
        <w:t>Schedule 1.95</w:t>
      </w:r>
      <w:r>
        <w:rPr>
          <w:rFonts w:ascii="Times New Roman" w:cs="Times New Roman" w:eastAsia="Times New Roman" w:hAnsi="Times New Roman"/>
          <w:sz w:val="15"/>
          <w:szCs w:val="15"/>
          <w:color w:val="auto"/>
        </w:rPr>
        <w:t>, which schedule shall be updated once per Calendar Year during the Term upon the request of Licensee.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39" w:name="page440"/>
    <w:bookmarkEnd w:id="439"/>
    <w:p>
      <w:pPr>
        <w:ind w:left="1060"/>
        <w:spacing w:after="0"/>
        <w:rPr>
          <w:sz w:val="20"/>
          <w:szCs w:val="20"/>
          <w:color w:val="auto"/>
        </w:rPr>
      </w:pPr>
      <w:r>
        <w:rPr>
          <w:rFonts w:ascii="Times New Roman" w:cs="Times New Roman" w:eastAsia="Times New Roman" w:hAnsi="Times New Roman"/>
          <w:sz w:val="15"/>
          <w:szCs w:val="15"/>
          <w:b w:val="1"/>
          <w:bCs w:val="1"/>
          <w:color w:val="auto"/>
        </w:rPr>
        <w:t>1.96      Other Defined Terms</w:t>
      </w:r>
      <w:r>
        <w:rPr>
          <w:rFonts w:ascii="Times New Roman" w:cs="Times New Roman" w:eastAsia="Times New Roman" w:hAnsi="Times New Roman"/>
          <w:sz w:val="15"/>
          <w:szCs w:val="15"/>
          <w:color w:val="auto"/>
        </w:rPr>
        <w:t>. The following terms shall have the meanings defined for such terms in the Sections set forth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720" w:type="dxa"/>
            <w:vAlign w:val="bottom"/>
            <w:tcBorders>
              <w:right w:val="single" w:sz="8" w:color="auto"/>
            </w:tcBorders>
          </w:tcPr>
          <w:p>
            <w:pPr>
              <w:spacing w:after="0"/>
              <w:rPr>
                <w:sz w:val="13"/>
                <w:szCs w:val="13"/>
                <w:color w:val="auto"/>
              </w:rPr>
            </w:pPr>
          </w:p>
        </w:tc>
        <w:tc>
          <w:tcPr>
            <w:tcW w:w="2860" w:type="dxa"/>
            <w:vAlign w:val="bottom"/>
            <w:tcBorders>
              <w:top w:val="single" w:sz="8" w:color="auto"/>
            </w:tcBorders>
          </w:tcPr>
          <w:p>
            <w:pPr>
              <w:spacing w:after="0" w:line="154" w:lineRule="exact"/>
              <w:rPr>
                <w:sz w:val="20"/>
                <w:szCs w:val="20"/>
                <w:color w:val="auto"/>
              </w:rPr>
            </w:pPr>
            <w:r>
              <w:rPr>
                <w:rFonts w:ascii="Times New Roman" w:cs="Times New Roman" w:eastAsia="Times New Roman" w:hAnsi="Times New Roman"/>
                <w:sz w:val="15"/>
                <w:szCs w:val="15"/>
                <w:color w:val="auto"/>
              </w:rPr>
              <w:t>Acquirer</w:t>
            </w:r>
          </w:p>
        </w:tc>
        <w:tc>
          <w:tcPr>
            <w:tcW w:w="2660" w:type="dxa"/>
            <w:vAlign w:val="bottom"/>
            <w:tcBorders>
              <w:top w:val="single" w:sz="8" w:color="auto"/>
              <w:right w:val="single" w:sz="8" w:color="auto"/>
            </w:tcBorders>
          </w:tcPr>
          <w:p>
            <w:pPr>
              <w:spacing w:after="0"/>
              <w:rPr>
                <w:sz w:val="13"/>
                <w:szCs w:val="13"/>
                <w:color w:val="auto"/>
              </w:rPr>
            </w:pPr>
          </w:p>
        </w:tc>
        <w:tc>
          <w:tcPr>
            <w:tcW w:w="2360" w:type="dxa"/>
            <w:vAlign w:val="bottom"/>
            <w:tcBorders>
              <w:top w:val="single" w:sz="8" w:color="auto"/>
              <w:right w:val="single" w:sz="8" w:color="auto"/>
            </w:tcBorders>
            <w:gridSpan w:val="8"/>
          </w:tcPr>
          <w:p>
            <w:pPr>
              <w:spacing w:after="0" w:line="154" w:lineRule="exact"/>
              <w:rPr>
                <w:sz w:val="20"/>
                <w:szCs w:val="20"/>
                <w:color w:val="auto"/>
              </w:rPr>
            </w:pPr>
            <w:r>
              <w:rPr>
                <w:rFonts w:ascii="Times New Roman" w:cs="Times New Roman" w:eastAsia="Times New Roman" w:hAnsi="Times New Roman"/>
                <w:sz w:val="15"/>
                <w:szCs w:val="15"/>
                <w:color w:val="auto"/>
              </w:rPr>
              <w:t>Section 2.5.2</w:t>
            </w:r>
          </w:p>
        </w:tc>
        <w:tc>
          <w:tcPr>
            <w:tcW w:w="1680" w:type="dxa"/>
            <w:vAlign w:val="bottom"/>
          </w:tcPr>
          <w:p>
            <w:pPr>
              <w:spacing w:after="0"/>
              <w:rPr>
                <w:sz w:val="13"/>
                <w:szCs w:val="13"/>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Acting Improperly</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9.3.1(b)</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Agreement</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Preamble</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Anti-Corruption Policies</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9.3</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Alliance Manager</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3.5</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Arbitral Tribunal</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15.3.3</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Claimant</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15.3.3</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Clinical Supply Agreement</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6.1</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Commercial Supply Agreement</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6.2</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Commercialization Plan</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7.2</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Competing Activities</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2.5.2</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Development Plan(s)</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4.2</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Disclosing Party</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9.1.1</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Dispute</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15.3.1</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Effective Date</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Preamble</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Election Period</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4.4.2(a)</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Force Majeure Event</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15.4</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Force Majeure Party</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15.4</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ICC Rules</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15.3.2</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Indemnified Party</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14.3</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Indemnifying Party</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14.3</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Infringement</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11.5.1</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Infringement Remedy</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11.5.2(a)</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Joint Development Plan</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4.4.2(a)</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Joint Development Plan Budget</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4.4.2(a)</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Joint Global Study</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4.4.2(a)</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Joint Steering Committee/JSC</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3.1</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Liability</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14.1</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Licensee</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Preamble</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Licensee Indemnified Party</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14.1</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Licensee Inventions</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11.2.1</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Licensee Product Marks</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11.4.2</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Licensee Representatives</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9.3</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27"/>
        </w:trPr>
        <w:tc>
          <w:tcPr>
            <w:tcW w:w="1720" w:type="dxa"/>
            <w:vAlign w:val="bottom"/>
            <w:tcBorders>
              <w:right w:val="single" w:sz="8" w:color="auto"/>
            </w:tcBorders>
          </w:tcPr>
          <w:p>
            <w:pPr>
              <w:spacing w:after="0"/>
              <w:rPr>
                <w:sz w:val="11"/>
                <w:szCs w:val="11"/>
                <w:color w:val="auto"/>
              </w:rPr>
            </w:pPr>
          </w:p>
        </w:tc>
        <w:tc>
          <w:tcPr>
            <w:tcW w:w="286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Local Law Issue</w:t>
            </w:r>
          </w:p>
        </w:tc>
        <w:tc>
          <w:tcPr>
            <w:tcW w:w="26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gridSpan w:val="8"/>
          </w:tcPr>
          <w:p>
            <w:pPr>
              <w:spacing w:after="0" w:line="127" w:lineRule="exact"/>
              <w:rPr>
                <w:sz w:val="20"/>
                <w:szCs w:val="20"/>
                <w:color w:val="auto"/>
              </w:rPr>
            </w:pPr>
            <w:r>
              <w:rPr>
                <w:rFonts w:ascii="Times New Roman" w:cs="Times New Roman" w:eastAsia="Times New Roman" w:hAnsi="Times New Roman"/>
                <w:sz w:val="14"/>
                <w:szCs w:val="14"/>
                <w:color w:val="auto"/>
              </w:rPr>
              <w:t>Section 4.4.2(a)</w:t>
            </w:r>
          </w:p>
        </w:tc>
        <w:tc>
          <w:tcPr>
            <w:tcW w:w="1680" w:type="dxa"/>
            <w:vAlign w:val="bottom"/>
          </w:tcPr>
          <w:p>
            <w:pPr>
              <w:spacing w:after="0"/>
              <w:rPr>
                <w:sz w:val="11"/>
                <w:szCs w:val="1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511"/>
        </w:trPr>
        <w:tc>
          <w:tcPr>
            <w:tcW w:w="17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1447"/>
              <w:spacing w:after="0"/>
              <w:rPr>
                <w:sz w:val="20"/>
                <w:szCs w:val="20"/>
                <w:color w:val="auto"/>
              </w:rPr>
            </w:pPr>
            <w:r>
              <w:rPr>
                <w:rFonts w:ascii="Times New Roman" w:cs="Times New Roman" w:eastAsia="Times New Roman" w:hAnsi="Times New Roman"/>
                <w:sz w:val="15"/>
                <w:szCs w:val="15"/>
                <w:color w:val="auto"/>
              </w:rPr>
              <w:t>13</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60" w:right="319" w:bottom="1440" w:gutter="0" w:footer="0" w:header="0"/>
        </w:sectPr>
      </w:pPr>
    </w:p>
    <w:bookmarkStart w:id="440" w:name="page441"/>
    <w:bookmarkEnd w:id="440"/>
    <w:p>
      <w:pPr>
        <w:spacing w:after="0" w:line="1" w:lineRule="exact"/>
        <w:rPr>
          <w:sz w:val="20"/>
          <w:szCs w:val="20"/>
          <w:color w:val="auto"/>
        </w:rPr>
      </w:pPr>
    </w:p>
    <w:tbl>
      <w:tblPr>
        <w:tblLayout w:type="fixed"/>
        <w:tblInd w:w="1060" w:type="dxa"/>
        <w:tblCellMar>
          <w:top w:w="0" w:type="dxa"/>
          <w:left w:w="0" w:type="dxa"/>
          <w:bottom w:w="0" w:type="dxa"/>
          <w:right w:w="0" w:type="dxa"/>
        </w:tblCellMar>
      </w:tblPr>
      <w:tr>
        <w:trPr>
          <w:trHeight w:val="154"/>
        </w:trPr>
        <w:tc>
          <w:tcPr>
            <w:tcW w:w="660" w:type="dxa"/>
            <w:vAlign w:val="bottom"/>
            <w:tcBorders>
              <w:right w:val="single" w:sz="8" w:color="auto"/>
            </w:tcBorders>
          </w:tcPr>
          <w:p>
            <w:pPr>
              <w:spacing w:after="0"/>
              <w:rPr>
                <w:sz w:val="13"/>
                <w:szCs w:val="13"/>
                <w:color w:val="auto"/>
              </w:rPr>
            </w:pPr>
          </w:p>
        </w:tc>
        <w:tc>
          <w:tcPr>
            <w:tcW w:w="5520" w:type="dxa"/>
            <w:vAlign w:val="bottom"/>
            <w:tcBorders>
              <w:top w:val="single" w:sz="8" w:color="auto"/>
              <w:right w:val="single" w:sz="8" w:color="auto"/>
            </w:tcBorders>
          </w:tcPr>
          <w:p>
            <w:pPr>
              <w:spacing w:after="0" w:line="154" w:lineRule="exact"/>
              <w:rPr>
                <w:sz w:val="20"/>
                <w:szCs w:val="20"/>
                <w:color w:val="auto"/>
              </w:rPr>
            </w:pPr>
            <w:r>
              <w:rPr>
                <w:rFonts w:ascii="Times New Roman" w:cs="Times New Roman" w:eastAsia="Times New Roman" w:hAnsi="Times New Roman"/>
                <w:sz w:val="15"/>
                <w:szCs w:val="15"/>
                <w:color w:val="auto"/>
              </w:rPr>
              <w:t>Manufacturing Transfer Election</w:t>
            </w:r>
          </w:p>
        </w:tc>
        <w:tc>
          <w:tcPr>
            <w:tcW w:w="2360" w:type="dxa"/>
            <w:vAlign w:val="bottom"/>
            <w:tcBorders>
              <w:top w:val="single" w:sz="8" w:color="auto"/>
              <w:right w:val="single" w:sz="8" w:color="auto"/>
            </w:tcBorders>
            <w:gridSpan w:val="10"/>
          </w:tcPr>
          <w:p>
            <w:pPr>
              <w:spacing w:after="0" w:line="154" w:lineRule="exact"/>
              <w:rPr>
                <w:sz w:val="20"/>
                <w:szCs w:val="20"/>
                <w:color w:val="auto"/>
              </w:rPr>
            </w:pPr>
            <w:r>
              <w:rPr>
                <w:rFonts w:ascii="Times New Roman" w:cs="Times New Roman" w:eastAsia="Times New Roman" w:hAnsi="Times New Roman"/>
                <w:sz w:val="15"/>
                <w:szCs w:val="15"/>
                <w:color w:val="auto"/>
              </w:rPr>
              <w:t>Section 6.5.1</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Manufacturing Transfer Notice</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6.5.2</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Manufacturing Transfer Plan</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6.5.2</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Non-Transferred Regulatory Approvals</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13.5.2(b)</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Obexelimab</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1.21</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Party(ies)</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Preamble</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Patent Challenge</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11.12</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Permitted Overrun</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4.4.6</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Persistent Supply Failure</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6.5.1(b)</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Pharmacovigilance Agreement</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5.7</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Product Inventions</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11.2.1</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Proposing Party</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11.10</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Prosecute</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11.3.1(a)</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Quality Agreement</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6.5</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Receiving Party</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9.1.1</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Recipients</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9.1.1</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Remedial Action</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5.6</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Respondent</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15.3.3</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Royalty Term</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8.3.2</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Shared Development Costs</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4.4.5(b)</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SOPs</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4.4.2(a)</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Sublicense</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2.2.2</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Sublicensee</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2.2.2</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Term</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13.1</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Third Party Patent Challenge</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11.7.2</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Upfront Payment</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8.1</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Working Group</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3.2</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Zenas</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Preamble</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Zenas Global Study</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4.4.7</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Zenas Indemnified Party</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14.2</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Zenas Inventions</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11.2.1</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Zenas Patent Challenge</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11.7.1</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Zenas Product Marks</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11.4.1</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66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Zenas Transferee</w:t>
            </w:r>
          </w:p>
        </w:tc>
        <w:tc>
          <w:tcPr>
            <w:tcW w:w="2360" w:type="dxa"/>
            <w:vAlign w:val="bottom"/>
            <w:tcBorders>
              <w:right w:val="single" w:sz="8" w:color="auto"/>
            </w:tcBorders>
            <w:gridSpan w:val="10"/>
          </w:tcPr>
          <w:p>
            <w:pPr>
              <w:spacing w:after="0" w:line="127" w:lineRule="exact"/>
              <w:rPr>
                <w:sz w:val="20"/>
                <w:szCs w:val="20"/>
                <w:color w:val="auto"/>
              </w:rPr>
            </w:pPr>
            <w:r>
              <w:rPr>
                <w:rFonts w:ascii="Times New Roman" w:cs="Times New Roman" w:eastAsia="Times New Roman" w:hAnsi="Times New Roman"/>
                <w:sz w:val="14"/>
                <w:szCs w:val="14"/>
                <w:color w:val="auto"/>
              </w:rPr>
              <w:t>Section 13.5.2(a)</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336"/>
        </w:trPr>
        <w:tc>
          <w:tcPr>
            <w:tcW w:w="61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1.97       Interpretation</w:t>
            </w:r>
            <w:r>
              <w:rPr>
                <w:rFonts w:ascii="Times New Roman" w:cs="Times New Roman" w:eastAsia="Times New Roman" w:hAnsi="Times New Roman"/>
                <w:sz w:val="15"/>
                <w:szCs w:val="15"/>
                <w:color w:val="auto"/>
              </w:rPr>
              <w: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161" w:lineRule="exact"/>
        <w:rPr>
          <w:sz w:val="20"/>
          <w:szCs w:val="20"/>
          <w:color w:val="auto"/>
        </w:rPr>
      </w:pPr>
    </w:p>
    <w:p>
      <w:pPr>
        <w:ind w:firstLine="1582"/>
        <w:spacing w:after="0" w:line="269" w:lineRule="auto"/>
        <w:rPr>
          <w:sz w:val="20"/>
          <w:szCs w:val="20"/>
          <w:color w:val="auto"/>
        </w:rPr>
      </w:pPr>
      <w:r>
        <w:rPr>
          <w:rFonts w:ascii="Times New Roman" w:cs="Times New Roman" w:eastAsia="Times New Roman" w:hAnsi="Times New Roman"/>
          <w:sz w:val="15"/>
          <w:szCs w:val="15"/>
          <w:color w:val="auto"/>
        </w:rPr>
        <w:t>1.97.1       The phrase “directly or indirectly” means directly or indirectly through one or more intermediate Persons or through contractual or other arrangements, and “direct or indirect” has the correlative meaning.</w:t>
      </w:r>
    </w:p>
    <w:p>
      <w:pPr>
        <w:spacing w:after="0" w:line="141" w:lineRule="exact"/>
        <w:rPr>
          <w:sz w:val="20"/>
          <w:szCs w:val="20"/>
          <w:color w:val="auto"/>
        </w:rPr>
      </w:pPr>
    </w:p>
    <w:p>
      <w:pPr>
        <w:ind w:firstLine="1582"/>
        <w:spacing w:after="0" w:line="269" w:lineRule="auto"/>
        <w:rPr>
          <w:sz w:val="20"/>
          <w:szCs w:val="20"/>
          <w:color w:val="auto"/>
        </w:rPr>
      </w:pPr>
      <w:r>
        <w:rPr>
          <w:rFonts w:ascii="Times New Roman" w:cs="Times New Roman" w:eastAsia="Times New Roman" w:hAnsi="Times New Roman"/>
          <w:sz w:val="15"/>
          <w:szCs w:val="15"/>
          <w:color w:val="auto"/>
        </w:rPr>
        <w:t>1.97.2       Unless the context otherwise requires, all words (whether gender-specific or gender neutral) shall be deemed to include each of the masculine, feminine and neuter genders, and words importing the singular include the plural and vice versa, and the word “or” has the inclusive meaning represented by the phrase “and/or.”</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441" w:name="page442"/>
    <w:bookmarkEnd w:id="441"/>
    <w:p>
      <w:pPr>
        <w:ind w:left="1600"/>
        <w:spacing w:after="0"/>
        <w:rPr>
          <w:sz w:val="20"/>
          <w:szCs w:val="20"/>
          <w:color w:val="auto"/>
        </w:rPr>
      </w:pPr>
      <w:r>
        <w:rPr>
          <w:rFonts w:ascii="Times New Roman" w:cs="Times New Roman" w:eastAsia="Times New Roman" w:hAnsi="Times New Roman"/>
          <w:sz w:val="15"/>
          <w:szCs w:val="15"/>
          <w:color w:val="auto"/>
        </w:rPr>
        <w:t>1.97.3       Headings are included for convenience only and shall not affect the construction of any provision of this Agreement.</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1.97.4       “Include,” “including,” “are inclusive of” and similar expressions are not expressions of limitation and shall be construed as if followed by the words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“without limitation.”</w:t>
      </w:r>
    </w:p>
    <w:p>
      <w:pPr>
        <w:spacing w:after="0" w:line="16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1.97.5       The word “will” shall be construed to have the same meaning and effect as the word “shall.”</w:t>
      </w:r>
    </w:p>
    <w:p>
      <w:pPr>
        <w:spacing w:after="0" w:line="179" w:lineRule="exact"/>
        <w:rPr>
          <w:sz w:val="20"/>
          <w:szCs w:val="20"/>
          <w:color w:val="auto"/>
        </w:rPr>
      </w:pPr>
    </w:p>
    <w:p>
      <w:pPr>
        <w:jc w:val="both"/>
        <w:ind w:firstLine="1582"/>
        <w:spacing w:after="0" w:line="269" w:lineRule="auto"/>
        <w:rPr>
          <w:sz w:val="20"/>
          <w:szCs w:val="20"/>
          <w:color w:val="auto"/>
        </w:rPr>
      </w:pPr>
      <w:r>
        <w:rPr>
          <w:rFonts w:ascii="Times New Roman" w:cs="Times New Roman" w:eastAsia="Times New Roman" w:hAnsi="Times New Roman"/>
          <w:sz w:val="15"/>
          <w:szCs w:val="15"/>
          <w:color w:val="auto"/>
        </w:rPr>
        <w:t>1.97.6       References to any specific law, rule or regulation, or article, section or other division thereof, shall be deemed to include the then-current amendments thereto or any replacement or successor law, rule or regulation thereof.</w:t>
      </w:r>
    </w:p>
    <w:p>
      <w:pPr>
        <w:spacing w:after="0" w:line="141" w:lineRule="exact"/>
        <w:rPr>
          <w:sz w:val="20"/>
          <w:szCs w:val="20"/>
          <w:color w:val="auto"/>
        </w:rPr>
      </w:pPr>
    </w:p>
    <w:p>
      <w:pPr>
        <w:jc w:val="both"/>
        <w:ind w:firstLine="1582"/>
        <w:spacing w:after="0" w:line="252" w:lineRule="auto"/>
        <w:rPr>
          <w:sz w:val="20"/>
          <w:szCs w:val="20"/>
          <w:color w:val="auto"/>
        </w:rPr>
      </w:pPr>
      <w:r>
        <w:rPr>
          <w:rFonts w:ascii="Times New Roman" w:cs="Times New Roman" w:eastAsia="Times New Roman" w:hAnsi="Times New Roman"/>
          <w:sz w:val="15"/>
          <w:szCs w:val="15"/>
          <w:color w:val="auto"/>
        </w:rPr>
        <w:t>1.97.7       References to this Agreement include the Schedules, which form an integral part hereof. A reference to any Section or Schedule is, unless otherwise specified, to such Section or Schedule to this Agreement. The words “hereof,” “hereunder” and “hereto,” and words of like import, unless the context requires otherwise, refer to this Agreement as a whole and not to any particular clause hereof, or Schedule hereto. A reference to any document (including this Agreement) is to that document as amended, consolidated, supplemented, novated or replaced from time to time.</w:t>
      </w:r>
    </w:p>
    <w:p>
      <w:pPr>
        <w:spacing w:after="0" w:line="154" w:lineRule="exact"/>
        <w:rPr>
          <w:sz w:val="20"/>
          <w:szCs w:val="20"/>
          <w:color w:val="auto"/>
        </w:rPr>
      </w:pPr>
    </w:p>
    <w:p>
      <w:pPr>
        <w:jc w:val="both"/>
        <w:ind w:firstLine="1582"/>
        <w:spacing w:after="0" w:line="269" w:lineRule="auto"/>
        <w:rPr>
          <w:sz w:val="20"/>
          <w:szCs w:val="20"/>
          <w:color w:val="auto"/>
        </w:rPr>
      </w:pPr>
      <w:r>
        <w:rPr>
          <w:rFonts w:ascii="Times New Roman" w:cs="Times New Roman" w:eastAsia="Times New Roman" w:hAnsi="Times New Roman"/>
          <w:sz w:val="15"/>
          <w:szCs w:val="15"/>
          <w:color w:val="auto"/>
        </w:rPr>
        <w:t>1.97.8       Whenever this Agreement refers to a number of days, unless otherwise specified, such number refers to calendar days. If a period of time is specified and dates from a given day or the day of a given act or event, such period shall be calculated exclusive of that day.</w:t>
      </w:r>
    </w:p>
    <w:p>
      <w:pPr>
        <w:spacing w:after="0" w:line="14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1.97.9       References to writing and written include any mode of reproducing words in a legible and non-transitory form, including e-mails and faxes.</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1.97.10      References to any Joint Patent Right(s) is inclusive of any Specified Joint Patent Right(s).</w:t>
      </w:r>
    </w:p>
    <w:p>
      <w:pPr>
        <w:spacing w:after="0" w:line="17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1.98       Language</w:t>
      </w:r>
      <w:r>
        <w:rPr>
          <w:rFonts w:ascii="Times New Roman" w:cs="Times New Roman" w:eastAsia="Times New Roman" w:hAnsi="Times New Roman"/>
          <w:sz w:val="14"/>
          <w:szCs w:val="14"/>
          <w:color w:val="auto"/>
        </w:rPr>
        <w:t>. This Agreement is drawn up in the English language. If this Agreement is translated into any language other than English, the English language text shall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prevail.</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2.     </w:t>
      </w:r>
      <w:r>
        <w:rPr>
          <w:rFonts w:ascii="Times New Roman" w:cs="Times New Roman" w:eastAsia="Times New Roman" w:hAnsi="Times New Roman"/>
          <w:sz w:val="15"/>
          <w:szCs w:val="15"/>
          <w:b w:val="1"/>
          <w:bCs w:val="1"/>
          <w:u w:val="single" w:color="auto"/>
          <w:color w:val="auto"/>
        </w:rPr>
        <w:t>  Grant of Rights; Non-Compete</w:t>
      </w:r>
      <w:r>
        <w:rPr>
          <w:rFonts w:ascii="Times New Roman" w:cs="Times New Roman" w:eastAsia="Times New Roman" w:hAnsi="Times New Roman"/>
          <w:sz w:val="15"/>
          <w:szCs w:val="15"/>
          <w:b w:val="1"/>
          <w:bCs w:val="1"/>
          <w:color w:val="auto"/>
        </w:rPr>
        <w:t>.</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2.1       License Grants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2.1.1       </w:t>
      </w:r>
      <w:r>
        <w:rPr>
          <w:rFonts w:ascii="Times New Roman" w:cs="Times New Roman" w:eastAsia="Times New Roman" w:hAnsi="Times New Roman"/>
          <w:sz w:val="15"/>
          <w:szCs w:val="15"/>
          <w:b w:val="1"/>
          <w:bCs w:val="1"/>
          <w:color w:val="auto"/>
        </w:rPr>
        <w:t>By Zenas</w:t>
      </w:r>
      <w:r>
        <w:rPr>
          <w:rFonts w:ascii="Times New Roman" w:cs="Times New Roman" w:eastAsia="Times New Roman" w:hAnsi="Times New Roman"/>
          <w:sz w:val="15"/>
          <w:szCs w:val="15"/>
          <w:color w:val="auto"/>
        </w:rPr>
        <w:t>. Subject to the terms and conditions of this Agreement, Zenas hereby grants to Licensee:</w:t>
      </w:r>
    </w:p>
    <w:p>
      <w:pPr>
        <w:spacing w:after="0" w:line="181" w:lineRule="exact"/>
        <w:rPr>
          <w:sz w:val="20"/>
          <w:szCs w:val="20"/>
          <w:color w:val="auto"/>
        </w:rPr>
      </w:pPr>
    </w:p>
    <w:p>
      <w:pPr>
        <w:jc w:val="both"/>
        <w:ind w:firstLine="2110"/>
        <w:spacing w:after="0" w:line="267" w:lineRule="auto"/>
        <w:rPr>
          <w:sz w:val="20"/>
          <w:szCs w:val="20"/>
          <w:color w:val="auto"/>
        </w:rPr>
      </w:pPr>
      <w:r>
        <w:rPr>
          <w:rFonts w:ascii="Times New Roman" w:cs="Times New Roman" w:eastAsia="Times New Roman" w:hAnsi="Times New Roman"/>
          <w:sz w:val="14"/>
          <w:szCs w:val="14"/>
          <w:color w:val="auto"/>
        </w:rPr>
        <w:t xml:space="preserve">(a)       subject to the following sentence, (i) an exclusive (even as to Zenas and its Affiliates, except to the extent necessary for Zenas and its Affiliates to perform its obligations hereunder or as set forth in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xml:space="preserve">), royalty-bearing, sublicensable (through multiple tiers, subject to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and non-transferable (except as permitted under </w:t>
      </w:r>
      <w:r>
        <w:rPr>
          <w:rFonts w:ascii="Times New Roman" w:cs="Times New Roman" w:eastAsia="Times New Roman" w:hAnsi="Times New Roman"/>
          <w:sz w:val="14"/>
          <w:szCs w:val="14"/>
          <w:u w:val="single" w:color="auto"/>
          <w:color w:val="auto"/>
        </w:rPr>
        <w:t>Section 15.1</w:t>
      </w:r>
      <w:r>
        <w:rPr>
          <w:rFonts w:ascii="Times New Roman" w:cs="Times New Roman" w:eastAsia="Times New Roman" w:hAnsi="Times New Roman"/>
          <w:sz w:val="14"/>
          <w:szCs w:val="14"/>
          <w:color w:val="auto"/>
        </w:rPr>
        <w:t xml:space="preserve">) license under the Zenas Patent Rights and Zenas’s interests in Joint Patent Rights and Specified Joint Patent Rights, and (ii) a non-exclusive payment bearing license under the Zenas Know-How, in each case, to (1) Develop, Manufacture (subject to </w:t>
      </w:r>
      <w:r>
        <w:rPr>
          <w:rFonts w:ascii="Times New Roman" w:cs="Times New Roman" w:eastAsia="Times New Roman" w:hAnsi="Times New Roman"/>
          <w:sz w:val="14"/>
          <w:szCs w:val="14"/>
          <w:u w:val="single" w:color="auto"/>
          <w:color w:val="auto"/>
        </w:rPr>
        <w:t>Article 6</w:t>
      </w:r>
      <w:r>
        <w:rPr>
          <w:rFonts w:ascii="Times New Roman" w:cs="Times New Roman" w:eastAsia="Times New Roman" w:hAnsi="Times New Roman"/>
          <w:sz w:val="14"/>
          <w:szCs w:val="14"/>
          <w:color w:val="auto"/>
        </w:rPr>
        <w:t>), Commercialize or otherwise Exploit the Compound and Products in the Field in the Territory,</w:t>
      </w:r>
    </w:p>
    <w:p>
      <w:pPr>
        <w:spacing w:after="0" w:line="1" w:lineRule="exact"/>
        <w:rPr>
          <w:sz w:val="20"/>
          <w:szCs w:val="20"/>
          <w:color w:val="auto"/>
        </w:rPr>
      </w:pPr>
    </w:p>
    <w:p>
      <w:pPr>
        <w:ind w:firstLine="8"/>
        <w:spacing w:after="0" w:line="249" w:lineRule="auto"/>
        <w:tabs>
          <w:tab w:leader="none" w:pos="224" w:val="left"/>
        </w:tabs>
        <w:numPr>
          <w:ilvl w:val="0"/>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Manufacture (subject to Article 6) the Compound and Products outside of the Territory solely to use, have used, sell, have sold, offer for sale, have offered for sale, import and have imported the Compound and Products in the Field in the Territory, and (3) conduct Ex-Territory Development Activities; and</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42" w:name="page443"/>
    <w:bookmarkEnd w:id="442"/>
    <w:p>
      <w:pPr>
        <w:jc w:val="both"/>
        <w:ind w:firstLine="2110"/>
        <w:spacing w:after="0" w:line="257" w:lineRule="auto"/>
        <w:rPr>
          <w:sz w:val="20"/>
          <w:szCs w:val="20"/>
          <w:color w:val="auto"/>
        </w:rPr>
      </w:pPr>
      <w:r>
        <w:rPr>
          <w:rFonts w:ascii="Times New Roman" w:cs="Times New Roman" w:eastAsia="Times New Roman" w:hAnsi="Times New Roman"/>
          <w:sz w:val="15"/>
          <w:szCs w:val="15"/>
          <w:color w:val="auto"/>
        </w:rPr>
        <w:t xml:space="preserve">(b)       a non-exclusive, royalty-free, sublicensable (through multiple tiers, subject to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xml:space="preserve">), and non-transferable (except as permitted under </w:t>
      </w:r>
      <w:r>
        <w:rPr>
          <w:rFonts w:ascii="Times New Roman" w:cs="Times New Roman" w:eastAsia="Times New Roman" w:hAnsi="Times New Roman"/>
          <w:sz w:val="15"/>
          <w:szCs w:val="15"/>
          <w:u w:val="single" w:color="auto"/>
          <w:color w:val="auto"/>
        </w:rPr>
        <w:t>Section 15.1</w:t>
      </w:r>
      <w:r>
        <w:rPr>
          <w:rFonts w:ascii="Times New Roman" w:cs="Times New Roman" w:eastAsia="Times New Roman" w:hAnsi="Times New Roman"/>
          <w:sz w:val="15"/>
          <w:szCs w:val="15"/>
          <w:color w:val="auto"/>
        </w:rPr>
        <w:t xml:space="preserve">) license under the Zenas Patent Rights, Zenas’s interests in Joint Patent Rights, and Zenas Know-How, in each case, to Develop, Manufacture (subject to </w:t>
      </w:r>
      <w:r>
        <w:rPr>
          <w:rFonts w:ascii="Times New Roman" w:cs="Times New Roman" w:eastAsia="Times New Roman" w:hAnsi="Times New Roman"/>
          <w:sz w:val="15"/>
          <w:szCs w:val="15"/>
          <w:u w:val="single" w:color="auto"/>
          <w:color w:val="auto"/>
        </w:rPr>
        <w:t>Article 6</w:t>
      </w:r>
      <w:r>
        <w:rPr>
          <w:rFonts w:ascii="Times New Roman" w:cs="Times New Roman" w:eastAsia="Times New Roman" w:hAnsi="Times New Roman"/>
          <w:sz w:val="15"/>
          <w:szCs w:val="15"/>
          <w:color w:val="auto"/>
        </w:rPr>
        <w:t>), Commercialize, or otherwise Exploit Companion Diagnostics in the Field in the Territory.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Zenas’s license to Licensee pursuant to </w:t>
      </w:r>
      <w:r>
        <w:rPr>
          <w:rFonts w:ascii="Times New Roman" w:cs="Times New Roman" w:eastAsia="Times New Roman" w:hAnsi="Times New Roman"/>
          <w:sz w:val="15"/>
          <w:szCs w:val="15"/>
          <w:u w:val="single" w:color="auto"/>
          <w:color w:val="auto"/>
        </w:rPr>
        <w:t>Section 2.1.1(a)(i)</w:t>
      </w:r>
      <w:r>
        <w:rPr>
          <w:rFonts w:ascii="Times New Roman" w:cs="Times New Roman" w:eastAsia="Times New Roman" w:hAnsi="Times New Roman"/>
          <w:sz w:val="15"/>
          <w:szCs w:val="15"/>
          <w:color w:val="auto"/>
        </w:rPr>
        <w:t xml:space="preserve"> above shall be non-exclusive (rather than exclusive) to the extent required under any Upstream Licenses.</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2.1.2       [***]</w:t>
      </w:r>
    </w:p>
    <w:p>
      <w:pPr>
        <w:spacing w:after="0" w:line="17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2.2       Sublicensing by Licensee</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firstLine="1582"/>
        <w:spacing w:after="0" w:line="253" w:lineRule="auto"/>
        <w:rPr>
          <w:sz w:val="20"/>
          <w:szCs w:val="20"/>
          <w:color w:val="auto"/>
        </w:rPr>
      </w:pPr>
      <w:r>
        <w:rPr>
          <w:rFonts w:ascii="Times New Roman" w:cs="Times New Roman" w:eastAsia="Times New Roman" w:hAnsi="Times New Roman"/>
          <w:sz w:val="15"/>
          <w:szCs w:val="15"/>
          <w:color w:val="auto"/>
        </w:rPr>
        <w:t>2.2.1       </w:t>
      </w:r>
      <w:r>
        <w:rPr>
          <w:rFonts w:ascii="Times New Roman" w:cs="Times New Roman" w:eastAsia="Times New Roman" w:hAnsi="Times New Roman"/>
          <w:sz w:val="15"/>
          <w:szCs w:val="15"/>
          <w:b w:val="1"/>
          <w:bCs w:val="1"/>
          <w:color w:val="auto"/>
        </w:rPr>
        <w:t>Sublicensing</w:t>
      </w:r>
      <w:r>
        <w:rPr>
          <w:rFonts w:ascii="Times New Roman" w:cs="Times New Roman" w:eastAsia="Times New Roman" w:hAnsi="Times New Roman"/>
          <w:sz w:val="15"/>
          <w:szCs w:val="15"/>
          <w:color w:val="auto"/>
        </w:rPr>
        <w:t xml:space="preserve">. Licensee shall be permitted to sublicense (through multiple tiers) its rights under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in relation to any Compound or Product to its Affiliates without notice or consent. Licensee shall be permitted to sublicense (through multiple tiers) its rights under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in relation to any Compound or Product to any Third Party, subject to </w:t>
      </w:r>
      <w:r>
        <w:rPr>
          <w:rFonts w:ascii="Times New Roman" w:cs="Times New Roman" w:eastAsia="Times New Roman" w:hAnsi="Times New Roman"/>
          <w:sz w:val="15"/>
          <w:szCs w:val="15"/>
          <w:u w:val="single" w:color="auto"/>
          <w:color w:val="auto"/>
        </w:rPr>
        <w:t>Sections 2.2.2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2.4</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9.4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any sublicense to a Third Party (other than a Third Party subcontractor or service provider) shall require Zenas’s prior written consent, such consent not to be unreasonably withheld, conditioned or delayed.</w:t>
      </w:r>
    </w:p>
    <w:p>
      <w:pPr>
        <w:spacing w:after="0" w:line="152" w:lineRule="exact"/>
        <w:rPr>
          <w:sz w:val="20"/>
          <w:szCs w:val="20"/>
          <w:color w:val="auto"/>
        </w:rPr>
      </w:pPr>
    </w:p>
    <w:p>
      <w:pPr>
        <w:jc w:val="both"/>
        <w:ind w:firstLine="1582"/>
        <w:spacing w:after="0" w:line="266" w:lineRule="auto"/>
        <w:rPr>
          <w:sz w:val="20"/>
          <w:szCs w:val="20"/>
          <w:color w:val="auto"/>
        </w:rPr>
      </w:pPr>
      <w:r>
        <w:rPr>
          <w:rFonts w:ascii="Times New Roman" w:cs="Times New Roman" w:eastAsia="Times New Roman" w:hAnsi="Times New Roman"/>
          <w:sz w:val="14"/>
          <w:szCs w:val="14"/>
          <w:color w:val="auto"/>
        </w:rPr>
        <w:t>2.2.2       </w:t>
      </w:r>
      <w:r>
        <w:rPr>
          <w:rFonts w:ascii="Times New Roman" w:cs="Times New Roman" w:eastAsia="Times New Roman" w:hAnsi="Times New Roman"/>
          <w:sz w:val="14"/>
          <w:szCs w:val="14"/>
          <w:b w:val="1"/>
          <w:bCs w:val="1"/>
          <w:color w:val="auto"/>
        </w:rPr>
        <w:t>Sublicense Requirements</w:t>
      </w:r>
      <w:r>
        <w:rPr>
          <w:rFonts w:ascii="Times New Roman" w:cs="Times New Roman" w:eastAsia="Times New Roman" w:hAnsi="Times New Roman"/>
          <w:sz w:val="14"/>
          <w:szCs w:val="14"/>
          <w:color w:val="auto"/>
        </w:rPr>
        <w:t xml:space="preserve">. Each sublicense granted pursuant to this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(each, a “</w:t>
      </w:r>
      <w:r>
        <w:rPr>
          <w:rFonts w:ascii="Times New Roman" w:cs="Times New Roman" w:eastAsia="Times New Roman" w:hAnsi="Times New Roman"/>
          <w:sz w:val="14"/>
          <w:szCs w:val="14"/>
          <w:b w:val="1"/>
          <w:bCs w:val="1"/>
          <w:color w:val="auto"/>
        </w:rPr>
        <w:t>Sublicense</w:t>
      </w:r>
      <w:r>
        <w:rPr>
          <w:rFonts w:ascii="Times New Roman" w:cs="Times New Roman" w:eastAsia="Times New Roman" w:hAnsi="Times New Roman"/>
          <w:sz w:val="14"/>
          <w:szCs w:val="14"/>
          <w:color w:val="auto"/>
        </w:rPr>
        <w:t>”) shall: (a) be in writing; (b) be subject and subordinate to, and consistent with, the terms and conditions of this Agreement; (c) require its Affiliates, or the Third Party who is a party to such Sublicense (such party, the “</w:t>
      </w:r>
      <w:r>
        <w:rPr>
          <w:rFonts w:ascii="Times New Roman" w:cs="Times New Roman" w:eastAsia="Times New Roman" w:hAnsi="Times New Roman"/>
          <w:sz w:val="14"/>
          <w:szCs w:val="14"/>
          <w:b w:val="1"/>
          <w:bCs w:val="1"/>
          <w:color w:val="auto"/>
        </w:rPr>
        <w:t>Sublicensee</w:t>
      </w:r>
      <w:r>
        <w:rPr>
          <w:rFonts w:ascii="Times New Roman" w:cs="Times New Roman" w:eastAsia="Times New Roman" w:hAnsi="Times New Roman"/>
          <w:sz w:val="14"/>
          <w:szCs w:val="14"/>
          <w:color w:val="auto"/>
        </w:rPr>
        <w:t xml:space="preserve">”) to assign Intellectual Property in accordance with </w:t>
      </w:r>
      <w:r>
        <w:rPr>
          <w:rFonts w:ascii="Times New Roman" w:cs="Times New Roman" w:eastAsia="Times New Roman" w:hAnsi="Times New Roman"/>
          <w:sz w:val="14"/>
          <w:szCs w:val="14"/>
          <w:u w:val="single" w:color="auto"/>
          <w:color w:val="auto"/>
        </w:rPr>
        <w:t>Section 11.2.2</w:t>
      </w:r>
      <w:r>
        <w:rPr>
          <w:rFonts w:ascii="Times New Roman" w:cs="Times New Roman" w:eastAsia="Times New Roman" w:hAnsi="Times New Roman"/>
          <w:sz w:val="14"/>
          <w:szCs w:val="14"/>
          <w:color w:val="auto"/>
        </w:rPr>
        <w:t xml:space="preserve">; (d) require the Sublicensee to comply with the Anti-Corruption Laws and the Anti-Corruption Policies; and (e) only be granted pursuant to an arm’s length transaction for fair market value consideration (except for Sublicenses granted (i) to Licensee’s Affiliates for (and only for) so long as such Affiliates remain Licensee’s Affiliates, or (ii) to Licensee’s subcontractors solely for purpose of performing Licensee’s obligations under this Agreement). Licensee will provide Zenas with a written notice of any sublicense granted by Licensee pursuant to this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to any Affiliates or Third Party (not including subcontractors of Licensee) no later than [***] after the effective date thereof and will provide Zenas with a true and complete copy of each Third Party sublicense agreement, except that Licensee may redact any confidential or proprietary information contained therein (including financial terms) that is not necessary for Zenas to determine compliance with this Agreement. Licensee shall remain liable for, and obligated to, perform all of its obligations under this Agreement and shall be liable for the performance of, and any acts, omissions or breaches by, each of its Sublicensees. Licensee shall ensure that each of its Sublicensees complies with all relevant provisions of this Agreement. For the avoidance of doubt, (i) Licensee will remain directly responsible for all amounts owed to Zenas under this Agreement, and (ii) Licensee shall cause each Sublicensee (including each tier of Sublicensee) to be subject to the negative and restrictive covenants set forth in </w:t>
      </w:r>
      <w:r>
        <w:rPr>
          <w:rFonts w:ascii="Times New Roman" w:cs="Times New Roman" w:eastAsia="Times New Roman" w:hAnsi="Times New Roman"/>
          <w:sz w:val="14"/>
          <w:szCs w:val="14"/>
          <w:u w:val="single" w:color="auto"/>
          <w:color w:val="auto"/>
        </w:rPr>
        <w:t>Section 2.1.2</w:t>
      </w:r>
      <w:r>
        <w:rPr>
          <w:rFonts w:ascii="Times New Roman" w:cs="Times New Roman" w:eastAsia="Times New Roman" w:hAnsi="Times New Roman"/>
          <w:sz w:val="14"/>
          <w:szCs w:val="14"/>
          <w:color w:val="auto"/>
        </w:rPr>
        <w:t>. Licensee hereby expressly waives any requirement that Zenas exhaust any right, power or remedy, or proceed against a Sublicensee, for any obligation or performance hereunder prior to proceeding directly against Licensee.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43" w:name="page444"/>
    <w:bookmarkEnd w:id="443"/>
    <w:p>
      <w:pPr>
        <w:ind w:left="1060"/>
        <w:spacing w:after="0"/>
        <w:rPr>
          <w:sz w:val="20"/>
          <w:szCs w:val="20"/>
          <w:color w:val="auto"/>
        </w:rPr>
      </w:pPr>
      <w:r>
        <w:rPr>
          <w:rFonts w:ascii="Times New Roman" w:cs="Times New Roman" w:eastAsia="Times New Roman" w:hAnsi="Times New Roman"/>
          <w:sz w:val="15"/>
          <w:szCs w:val="15"/>
          <w:b w:val="1"/>
          <w:bCs w:val="1"/>
          <w:color w:val="auto"/>
        </w:rPr>
        <w:t>2.3       Retained Rights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1582"/>
        <w:spacing w:after="0" w:line="252" w:lineRule="auto"/>
        <w:rPr>
          <w:sz w:val="20"/>
          <w:szCs w:val="20"/>
          <w:color w:val="auto"/>
        </w:rPr>
      </w:pPr>
      <w:r>
        <w:rPr>
          <w:rFonts w:ascii="Times New Roman" w:cs="Times New Roman" w:eastAsia="Times New Roman" w:hAnsi="Times New Roman"/>
          <w:sz w:val="15"/>
          <w:szCs w:val="15"/>
          <w:color w:val="auto"/>
        </w:rPr>
        <w:t xml:space="preserve">2.3.1       Notwithstanding the exclusivity of the licenses under the Zenas Patent Rights and Zenas’s interest in the Joint Patent Rights and the Specified Joint Patent Rights granted by Zenas to Licensee under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Zenas hereby retains the right under the Zenas Patent Rights and Zenas’s interest in the Joint Patent Rights and the Specified Joint Patent Rights in the Field (a) as necessary to exercise its rights or perform its obligations under this Agreement, (b) to Develop (subject to </w:t>
      </w:r>
      <w:r>
        <w:rPr>
          <w:rFonts w:ascii="Times New Roman" w:cs="Times New Roman" w:eastAsia="Times New Roman" w:hAnsi="Times New Roman"/>
          <w:sz w:val="15"/>
          <w:szCs w:val="15"/>
          <w:u w:val="single" w:color="auto"/>
          <w:color w:val="auto"/>
        </w:rPr>
        <w:t>Section 4.4</w:t>
      </w:r>
      <w:r>
        <w:rPr>
          <w:rFonts w:ascii="Times New Roman" w:cs="Times New Roman" w:eastAsia="Times New Roman" w:hAnsi="Times New Roman"/>
          <w:sz w:val="15"/>
          <w:szCs w:val="15"/>
          <w:color w:val="auto"/>
        </w:rPr>
        <w:t>) and Manufacture the Compound and Products in the Field in the Territory, or (c) to Develop, Manufacture and Commercialize the Compound and Products outside the Territory.</w:t>
      </w:r>
    </w:p>
    <w:p>
      <w:pPr>
        <w:spacing w:after="0" w:line="154" w:lineRule="exact"/>
        <w:rPr>
          <w:sz w:val="20"/>
          <w:szCs w:val="20"/>
          <w:color w:val="auto"/>
        </w:rPr>
      </w:pPr>
    </w:p>
    <w:p>
      <w:pPr>
        <w:jc w:val="both"/>
        <w:ind w:firstLine="1582"/>
        <w:spacing w:after="0" w:line="257" w:lineRule="auto"/>
        <w:rPr>
          <w:sz w:val="20"/>
          <w:szCs w:val="20"/>
          <w:color w:val="auto"/>
        </w:rPr>
      </w:pPr>
      <w:r>
        <w:rPr>
          <w:rFonts w:ascii="Times New Roman" w:cs="Times New Roman" w:eastAsia="Times New Roman" w:hAnsi="Times New Roman"/>
          <w:sz w:val="15"/>
          <w:szCs w:val="15"/>
          <w:color w:val="auto"/>
        </w:rPr>
        <w:t xml:space="preserve">2.3.2       For clarity, Zenas (a) retains the exclusive right to practice and license Zenas Intellectual Property outside the scope of the licenses granted to Licensee under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and (b) covenants not to Develop, Manufacture, Commercialize or otherwise Exploit the Compound or Products in the Field in the Territory except as expressly contemplated under this Agreement.</w:t>
      </w:r>
    </w:p>
    <w:p>
      <w:pPr>
        <w:spacing w:after="0" w:line="1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2.4       Upstream Licenses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1582"/>
        <w:spacing w:after="0" w:line="249" w:lineRule="auto"/>
        <w:rPr>
          <w:sz w:val="20"/>
          <w:szCs w:val="20"/>
          <w:color w:val="auto"/>
        </w:rPr>
      </w:pPr>
      <w:r>
        <w:rPr>
          <w:rFonts w:ascii="Times New Roman" w:cs="Times New Roman" w:eastAsia="Times New Roman" w:hAnsi="Times New Roman"/>
          <w:sz w:val="15"/>
          <w:szCs w:val="15"/>
          <w:color w:val="auto"/>
        </w:rPr>
        <w:t xml:space="preserve">2.4.1       Licensee acknowledges and agrees that (a) Zenas obtained the rights to certain Zenas Intellectual Property under the Upstream Licenses, and (b) the licenses granted by Zenas to Licensee under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with respect to such Zenas Intellectual Property constitute sublicenses under the Upstream Licenses and are subject and subordinate to the terms and conditions of the Upstream Licenses. Licensee shall comply with all terms and conditions of the Upstream Licenses existing as of the Effective Date that are applicable to Licensee as a sublicensee, subject, with respect to the Xencor Agreement, to any modifications or deviations contained in this Agreement, as consented to by Xencor on August 30, 2023. Zenas will promptly notify Licensee if it has knowledge, or receives written notice from the counterparty to any Upstream License, or it has reason to believe, that Licensee has taken or may take, any action or has failed or may fail, to take any action that does not, or would not, comply with an Upstream License.</w:t>
      </w:r>
    </w:p>
    <w:p>
      <w:pPr>
        <w:spacing w:after="0" w:line="15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2.4.2       As between the Parties, Zenas shall be solely responsible for any and all payments payable to the respective Upstream Licensors under each applicable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Upstream License.</w:t>
      </w:r>
    </w:p>
    <w:p>
      <w:pPr>
        <w:spacing w:after="0" w:line="164" w:lineRule="exact"/>
        <w:rPr>
          <w:sz w:val="20"/>
          <w:szCs w:val="20"/>
          <w:color w:val="auto"/>
        </w:rPr>
      </w:pPr>
    </w:p>
    <w:p>
      <w:pPr>
        <w:jc w:val="both"/>
        <w:ind w:firstLine="1582"/>
        <w:spacing w:after="0" w:line="269" w:lineRule="auto"/>
        <w:rPr>
          <w:sz w:val="20"/>
          <w:szCs w:val="20"/>
          <w:color w:val="auto"/>
        </w:rPr>
      </w:pPr>
      <w:r>
        <w:rPr>
          <w:rFonts w:ascii="Times New Roman" w:cs="Times New Roman" w:eastAsia="Times New Roman" w:hAnsi="Times New Roman"/>
          <w:sz w:val="15"/>
          <w:szCs w:val="15"/>
          <w:color w:val="auto"/>
        </w:rPr>
        <w:t>2.4.3       Zenas has provided a copy of this Agreement to Xencor, as is required under the Xencor Agreement, and Xencor has consented to Zenas entering into this Agreement on the terms and conditions set forth herein.</w:t>
      </w:r>
    </w:p>
    <w:p>
      <w:pPr>
        <w:spacing w:after="0" w:line="14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 xml:space="preserve">2.4.4       A copy of the Upstream Licenses are attached hereto in </w:t>
      </w:r>
      <w:r>
        <w:rPr>
          <w:rFonts w:ascii="Times New Roman" w:cs="Times New Roman" w:eastAsia="Times New Roman" w:hAnsi="Times New Roman"/>
          <w:sz w:val="15"/>
          <w:szCs w:val="15"/>
          <w:u w:val="single" w:color="auto"/>
          <w:color w:val="auto"/>
        </w:rPr>
        <w:t>Schedule 2.4</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 xml:space="preserve">2.4.5       For clarity, the right of Zenas to terminate this Agreement for a breach of this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 xml:space="preserve"> is subject to the provisions of </w:t>
      </w:r>
      <w:r>
        <w:rPr>
          <w:rFonts w:ascii="Times New Roman" w:cs="Times New Roman" w:eastAsia="Times New Roman" w:hAnsi="Times New Roman"/>
          <w:sz w:val="15"/>
          <w:szCs w:val="15"/>
          <w:u w:val="single" w:color="auto"/>
          <w:color w:val="auto"/>
        </w:rPr>
        <w:t>Section 13.2.1</w:t>
      </w:r>
      <w:r>
        <w:rPr>
          <w:rFonts w:ascii="Times New Roman" w:cs="Times New Roman" w:eastAsia="Times New Roman" w:hAnsi="Times New Roman"/>
          <w:sz w:val="15"/>
          <w:szCs w:val="15"/>
          <w:color w:val="auto"/>
        </w:rPr>
        <w: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44" w:name="page445"/>
    <w:bookmarkEnd w:id="444"/>
    <w:p>
      <w:pPr>
        <w:ind w:left="1060"/>
        <w:spacing w:after="0"/>
        <w:rPr>
          <w:sz w:val="20"/>
          <w:szCs w:val="20"/>
          <w:color w:val="auto"/>
        </w:rPr>
      </w:pPr>
      <w:r>
        <w:rPr>
          <w:rFonts w:ascii="Times New Roman" w:cs="Times New Roman" w:eastAsia="Times New Roman" w:hAnsi="Times New Roman"/>
          <w:sz w:val="15"/>
          <w:szCs w:val="15"/>
          <w:b w:val="1"/>
          <w:bCs w:val="1"/>
          <w:color w:val="auto"/>
        </w:rPr>
        <w:t>2.5       Non-Compete.</w:t>
      </w:r>
    </w:p>
    <w:p>
      <w:pPr>
        <w:spacing w:after="0" w:line="179" w:lineRule="exact"/>
        <w:rPr>
          <w:sz w:val="20"/>
          <w:szCs w:val="20"/>
          <w:color w:val="auto"/>
        </w:rPr>
      </w:pPr>
    </w:p>
    <w:p>
      <w:pPr>
        <w:jc w:val="both"/>
        <w:ind w:firstLine="1582"/>
        <w:spacing w:after="0" w:line="253" w:lineRule="auto"/>
        <w:rPr>
          <w:sz w:val="20"/>
          <w:szCs w:val="20"/>
          <w:color w:val="auto"/>
        </w:rPr>
      </w:pPr>
      <w:r>
        <w:rPr>
          <w:rFonts w:ascii="Times New Roman" w:cs="Times New Roman" w:eastAsia="Times New Roman" w:hAnsi="Times New Roman"/>
          <w:sz w:val="15"/>
          <w:szCs w:val="15"/>
          <w:color w:val="auto"/>
        </w:rPr>
        <w:t>2.5.1       </w:t>
      </w:r>
      <w:r>
        <w:rPr>
          <w:rFonts w:ascii="Times New Roman" w:cs="Times New Roman" w:eastAsia="Times New Roman" w:hAnsi="Times New Roman"/>
          <w:sz w:val="15"/>
          <w:szCs w:val="15"/>
          <w:b w:val="1"/>
          <w:bCs w:val="1"/>
          <w:color w:val="auto"/>
        </w:rPr>
        <w:t>Non-Compete Obligation of Licensee.</w:t>
      </w:r>
      <w:r>
        <w:rPr>
          <w:rFonts w:ascii="Times New Roman" w:cs="Times New Roman" w:eastAsia="Times New Roman" w:hAnsi="Times New Roman"/>
          <w:sz w:val="15"/>
          <w:szCs w:val="15"/>
          <w:color w:val="auto"/>
        </w:rPr>
        <w:t xml:space="preserve"> During the Term [***], Licensee shall not, for itself or, with, through or for any Third Party, without the prior written consent of Zenas, Develop, Manufacture, or Commercialize any Competing Products in the Territory, except that Licensee may Develop (including in combination trials with other products or Active Ingredients that are not the Compound hereunder), Manufacture, or Commercialize the Compound and the Products in the Territory as contemplated under this Agreement. Licensee represents and warrants that it is in compliance with this Section 2.5.1 as of the Effective Date.</w:t>
      </w:r>
    </w:p>
    <w:p>
      <w:pPr>
        <w:spacing w:after="0" w:line="152" w:lineRule="exact"/>
        <w:rPr>
          <w:sz w:val="20"/>
          <w:szCs w:val="20"/>
          <w:color w:val="auto"/>
        </w:rPr>
      </w:pPr>
    </w:p>
    <w:p>
      <w:pPr>
        <w:jc w:val="both"/>
        <w:ind w:firstLine="1582"/>
        <w:spacing w:after="0" w:line="251" w:lineRule="auto"/>
        <w:rPr>
          <w:sz w:val="20"/>
          <w:szCs w:val="20"/>
          <w:color w:val="auto"/>
        </w:rPr>
      </w:pPr>
      <w:r>
        <w:rPr>
          <w:rFonts w:ascii="Times New Roman" w:cs="Times New Roman" w:eastAsia="Times New Roman" w:hAnsi="Times New Roman"/>
          <w:sz w:val="15"/>
          <w:szCs w:val="15"/>
          <w:color w:val="auto"/>
        </w:rPr>
        <w:t>2.5.2       </w:t>
      </w:r>
      <w:r>
        <w:rPr>
          <w:rFonts w:ascii="Times New Roman" w:cs="Times New Roman" w:eastAsia="Times New Roman" w:hAnsi="Times New Roman"/>
          <w:sz w:val="15"/>
          <w:szCs w:val="15"/>
          <w:b w:val="1"/>
          <w:bCs w:val="1"/>
          <w:color w:val="auto"/>
        </w:rPr>
        <w:t>Non-Compete Obligation of Zenas</w:t>
      </w:r>
      <w:r>
        <w:rPr>
          <w:rFonts w:ascii="Times New Roman" w:cs="Times New Roman" w:eastAsia="Times New Roman" w:hAnsi="Times New Roman"/>
          <w:sz w:val="15"/>
          <w:szCs w:val="15"/>
          <w:color w:val="auto"/>
        </w:rPr>
        <w:t>. Consistent with Zenas’s obligations under Section 2.5.1 of the Xencor Agreement, during the Term [***], Zenas shall not, for itself or, with, through or for any Third Party, without the prior written consent of Licensee, Develop, Manufacture (except as set out in this Agreement), or Commercialize any Competing Products in the Territory, except that Zenas may Develop (including in combination trials with other products or Active Ingredients that are not the Compound hereunder) or Manufacture the Compound and the Products in the Territory as contemplated under this Agreement. Zenas represents and warrants that it is in compliance with this Section 2.5.2 as of the Effective Date.</w:t>
      </w:r>
    </w:p>
    <w:p>
      <w:pPr>
        <w:spacing w:after="0" w:line="15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2.5.3       </w:t>
      </w:r>
      <w:r>
        <w:rPr>
          <w:rFonts w:ascii="Times New Roman" w:cs="Times New Roman" w:eastAsia="Times New Roman" w:hAnsi="Times New Roman"/>
          <w:sz w:val="15"/>
          <w:szCs w:val="15"/>
          <w:b w:val="1"/>
          <w:bCs w:val="1"/>
          <w:color w:val="auto"/>
        </w:rPr>
        <w:t>Change of Control of a Party</w:t>
      </w:r>
      <w:r>
        <w:rPr>
          <w:rFonts w:ascii="Times New Roman" w:cs="Times New Roman" w:eastAsia="Times New Roman" w:hAnsi="Times New Roman"/>
          <w:sz w:val="15"/>
          <w:szCs w:val="15"/>
          <w:color w:val="auto"/>
        </w:rPr>
        <w:t>. In the event that either Party or any of its Affiliates undergoes a Change of Control with a Third Party (an “</w:t>
      </w:r>
      <w:r>
        <w:rPr>
          <w:rFonts w:ascii="Times New Roman" w:cs="Times New Roman" w:eastAsia="Times New Roman" w:hAnsi="Times New Roman"/>
          <w:sz w:val="15"/>
          <w:szCs w:val="15"/>
          <w:b w:val="1"/>
          <w:bCs w:val="1"/>
          <w:color w:val="auto"/>
        </w:rPr>
        <w:t>Acquirer</w:t>
      </w:r>
      <w:r>
        <w:rPr>
          <w:rFonts w:ascii="Times New Roman" w:cs="Times New Roman" w:eastAsia="Times New Roman" w:hAnsi="Times New Roman"/>
          <w:sz w:val="15"/>
          <w:szCs w:val="15"/>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62" w:lineRule="exact"/>
        <w:rPr>
          <w:sz w:val="20"/>
          <w:szCs w:val="20"/>
          <w:color w:val="auto"/>
        </w:rPr>
      </w:pPr>
    </w:p>
    <w:p>
      <w:pPr>
        <w:jc w:val="both"/>
        <w:ind w:firstLine="1582"/>
        <w:spacing w:after="0" w:line="253" w:lineRule="auto"/>
        <w:rPr>
          <w:sz w:val="20"/>
          <w:szCs w:val="20"/>
          <w:color w:val="auto"/>
        </w:rPr>
      </w:pPr>
      <w:r>
        <w:rPr>
          <w:rFonts w:ascii="Times New Roman" w:cs="Times New Roman" w:eastAsia="Times New Roman" w:hAnsi="Times New Roman"/>
          <w:sz w:val="15"/>
          <w:szCs w:val="15"/>
          <w:color w:val="auto"/>
        </w:rPr>
        <w:t>2.5.4       </w:t>
      </w:r>
      <w:r>
        <w:rPr>
          <w:rFonts w:ascii="Times New Roman" w:cs="Times New Roman" w:eastAsia="Times New Roman" w:hAnsi="Times New Roman"/>
          <w:sz w:val="15"/>
          <w:szCs w:val="15"/>
          <w:b w:val="1"/>
          <w:bCs w:val="1"/>
          <w:color w:val="auto"/>
        </w:rPr>
        <w:t>Reasonable Covenants</w:t>
      </w:r>
      <w:r>
        <w:rPr>
          <w:rFonts w:ascii="Times New Roman" w:cs="Times New Roman" w:eastAsia="Times New Roman" w:hAnsi="Times New Roman"/>
          <w:sz w:val="15"/>
          <w:szCs w:val="15"/>
          <w:color w:val="auto"/>
        </w:rPr>
        <w:t xml:space="preserve">. The Parties agree that the duration and scope of the covenants set forth in this </w:t>
      </w:r>
      <w:r>
        <w:rPr>
          <w:rFonts w:ascii="Times New Roman" w:cs="Times New Roman" w:eastAsia="Times New Roman" w:hAnsi="Times New Roman"/>
          <w:sz w:val="15"/>
          <w:szCs w:val="15"/>
          <w:u w:val="single" w:color="auto"/>
          <w:color w:val="auto"/>
        </w:rPr>
        <w:t>Section 2.5</w:t>
      </w:r>
      <w:r>
        <w:rPr>
          <w:rFonts w:ascii="Times New Roman" w:cs="Times New Roman" w:eastAsia="Times New Roman" w:hAnsi="Times New Roman"/>
          <w:sz w:val="15"/>
          <w:szCs w:val="15"/>
          <w:color w:val="auto"/>
        </w:rPr>
        <w:t xml:space="preserve"> are reasonable. In the event that the arbitrator or any court determines that the duration or scope of any such provision is unreasonable and that any such provision is to that extent unenforceable, the Parties agree that such provision shall remain in full force and effect for the greatest time period and to the greatest scope that would not render it unenforceable. The Parties intend that the provisions of this </w:t>
      </w:r>
      <w:r>
        <w:rPr>
          <w:rFonts w:ascii="Times New Roman" w:cs="Times New Roman" w:eastAsia="Times New Roman" w:hAnsi="Times New Roman"/>
          <w:sz w:val="15"/>
          <w:szCs w:val="15"/>
          <w:u w:val="single" w:color="auto"/>
          <w:color w:val="auto"/>
        </w:rPr>
        <w:t>Section 2.5</w:t>
      </w:r>
      <w:r>
        <w:rPr>
          <w:rFonts w:ascii="Times New Roman" w:cs="Times New Roman" w:eastAsia="Times New Roman" w:hAnsi="Times New Roman"/>
          <w:sz w:val="15"/>
          <w:szCs w:val="15"/>
          <w:color w:val="auto"/>
        </w:rPr>
        <w:t xml:space="preserve"> shall be deemed to be a series of separate covenants, one for each and every product and jurisdiction where such provision is intended to be effective.</w:t>
      </w:r>
    </w:p>
    <w:p>
      <w:pPr>
        <w:spacing w:after="0" w:line="152"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2.6       No Other Rights</w:t>
      </w:r>
      <w:r>
        <w:rPr>
          <w:rFonts w:ascii="Times New Roman" w:cs="Times New Roman" w:eastAsia="Times New Roman" w:hAnsi="Times New Roman"/>
          <w:sz w:val="15"/>
          <w:szCs w:val="15"/>
          <w:color w:val="auto"/>
        </w:rPr>
        <w:t>. No rights, other than those expressly set forth in this Agreement, are granted to either Party hereunder, and no additional rights shall be deemed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granted to either Party by implication, estoppel or otherwise. All rights not expressly granted by either Party to the other hereunder are reserved.</w:t>
      </w:r>
    </w:p>
    <w:p>
      <w:pPr>
        <w:spacing w:after="0" w:line="136" w:lineRule="exact"/>
        <w:rPr>
          <w:sz w:val="20"/>
          <w:szCs w:val="20"/>
          <w:color w:val="auto"/>
        </w:rPr>
      </w:pPr>
    </w:p>
    <w:p>
      <w:pPr>
        <w:jc w:val="both"/>
        <w:ind w:firstLine="1055"/>
        <w:spacing w:after="0" w:line="269" w:lineRule="auto"/>
        <w:rPr>
          <w:sz w:val="20"/>
          <w:szCs w:val="20"/>
          <w:color w:val="auto"/>
        </w:rPr>
      </w:pPr>
      <w:r>
        <w:rPr>
          <w:rFonts w:ascii="Times New Roman" w:cs="Times New Roman" w:eastAsia="Times New Roman" w:hAnsi="Times New Roman"/>
          <w:sz w:val="14"/>
          <w:szCs w:val="14"/>
          <w:b w:val="1"/>
          <w:bCs w:val="1"/>
          <w:color w:val="auto"/>
        </w:rPr>
        <w:t>2.7       Technology Transfer</w:t>
      </w:r>
      <w:r>
        <w:rPr>
          <w:rFonts w:ascii="Times New Roman" w:cs="Times New Roman" w:eastAsia="Times New Roman" w:hAnsi="Times New Roman"/>
          <w:sz w:val="14"/>
          <w:szCs w:val="14"/>
          <w:color w:val="auto"/>
        </w:rPr>
        <w:t>. Zenas shall provide or make available to Licensee a copy of tangible embodiments of all Zenas Know-How which exists as of the Effective Date,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is in Zenas’s possession or control and has not previously been provided or made available to Licensee (other than Zenas Manufacturing Know-How, which shall be transferred in accordance with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 xml:space="preserve">), which provision or access shall occur in a manner (including through access to an electronic data room) and following a reasonable schedule proposed by Zenas and agreed by the JSC. During the Term, each Party will make available to other Party a copy of tangible embodiments of additional Zenas Know-How (with respect to Zenas) (with respect to additional Zenas Manufacturing Know-How, only after the transfer contemplated by the Manufacturing Transfer Plan as set forth in </w:t>
      </w:r>
      <w:r>
        <w:rPr>
          <w:rFonts w:ascii="Times New Roman" w:cs="Times New Roman" w:eastAsia="Times New Roman" w:hAnsi="Times New Roman"/>
          <w:sz w:val="14"/>
          <w:szCs w:val="14"/>
          <w:u w:val="single" w:color="auto"/>
          <w:color w:val="auto"/>
        </w:rPr>
        <w:t>Section 6.5.2</w:t>
      </w:r>
      <w:r>
        <w:rPr>
          <w:rFonts w:ascii="Times New Roman" w:cs="Times New Roman" w:eastAsia="Times New Roman" w:hAnsi="Times New Roman"/>
          <w:sz w:val="14"/>
          <w:szCs w:val="14"/>
          <w:color w:val="auto"/>
        </w:rPr>
        <w:t>) and Licensee Know-How (with respect to Licensee), in each case, other than any Reference Data, that such Party or its Affiliates comes to Control after the Effective Date, to the extent that such Zenas Know-How or Licensee Know-How, as applicable (i) comes to such Party’s attention (or is reasonably requested by the other Party) and (ii) has not previously been provided or made available to the other Party.</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45" w:name="page446"/>
    <w:bookmarkEnd w:id="445"/>
    <w:p>
      <w:pPr>
        <w:ind w:left="540"/>
        <w:spacing w:after="0"/>
        <w:rPr>
          <w:sz w:val="20"/>
          <w:szCs w:val="20"/>
          <w:color w:val="auto"/>
        </w:rPr>
      </w:pPr>
      <w:r>
        <w:rPr>
          <w:rFonts w:ascii="Times New Roman" w:cs="Times New Roman" w:eastAsia="Times New Roman" w:hAnsi="Times New Roman"/>
          <w:sz w:val="15"/>
          <w:szCs w:val="15"/>
          <w:b w:val="1"/>
          <w:bCs w:val="1"/>
          <w:color w:val="auto"/>
        </w:rPr>
        <w:t>3.     </w:t>
      </w:r>
      <w:r>
        <w:rPr>
          <w:rFonts w:ascii="Times New Roman" w:cs="Times New Roman" w:eastAsia="Times New Roman" w:hAnsi="Times New Roman"/>
          <w:sz w:val="15"/>
          <w:szCs w:val="15"/>
          <w:b w:val="1"/>
          <w:bCs w:val="1"/>
          <w:u w:val="single" w:color="auto"/>
          <w:color w:val="auto"/>
        </w:rPr>
        <w:t>  Governance</w:t>
      </w:r>
      <w:r>
        <w:rPr>
          <w:rFonts w:ascii="Times New Roman" w:cs="Times New Roman" w:eastAsia="Times New Roman" w:hAnsi="Times New Roman"/>
          <w:sz w:val="15"/>
          <w:szCs w:val="15"/>
          <w:b w:val="1"/>
          <w:bCs w:val="1"/>
          <w:color w:val="auto"/>
        </w:rPr>
        <w:t>.</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3.1       Joint Steering Committee</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firstLine="1582"/>
        <w:spacing w:after="0" w:line="253" w:lineRule="auto"/>
        <w:rPr>
          <w:sz w:val="20"/>
          <w:szCs w:val="20"/>
          <w:color w:val="auto"/>
        </w:rPr>
      </w:pPr>
      <w:r>
        <w:rPr>
          <w:rFonts w:ascii="Times New Roman" w:cs="Times New Roman" w:eastAsia="Times New Roman" w:hAnsi="Times New Roman"/>
          <w:sz w:val="15"/>
          <w:szCs w:val="15"/>
          <w:color w:val="auto"/>
        </w:rPr>
        <w:t>3.1.1       </w:t>
      </w:r>
      <w:r>
        <w:rPr>
          <w:rFonts w:ascii="Times New Roman" w:cs="Times New Roman" w:eastAsia="Times New Roman" w:hAnsi="Times New Roman"/>
          <w:sz w:val="15"/>
          <w:szCs w:val="15"/>
          <w:b w:val="1"/>
          <w:bCs w:val="1"/>
          <w:color w:val="auto"/>
        </w:rPr>
        <w:t>Establishment of JSC</w:t>
      </w:r>
      <w:r>
        <w:rPr>
          <w:rFonts w:ascii="Times New Roman" w:cs="Times New Roman" w:eastAsia="Times New Roman" w:hAnsi="Times New Roman"/>
          <w:sz w:val="15"/>
          <w:szCs w:val="15"/>
          <w:color w:val="auto"/>
        </w:rPr>
        <w:t>. Promptly but in no event later than [***] after the Effective Date, the Parties will establish a joint steering committee to act as a forum to review, discuss and oversee activities under this Agreement related to the Development, Manufacturing, and Commercialization of the Products in or for the Territory as set forth herein (the “</w:t>
      </w:r>
      <w:r>
        <w:rPr>
          <w:rFonts w:ascii="Times New Roman" w:cs="Times New Roman" w:eastAsia="Times New Roman" w:hAnsi="Times New Roman"/>
          <w:sz w:val="15"/>
          <w:szCs w:val="15"/>
          <w:b w:val="1"/>
          <w:bCs w:val="1"/>
          <w:color w:val="auto"/>
        </w:rPr>
        <w:t>Joint Steering Committee</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JSC</w:t>
      </w:r>
      <w:r>
        <w:rPr>
          <w:rFonts w:ascii="Times New Roman" w:cs="Times New Roman" w:eastAsia="Times New Roman" w:hAnsi="Times New Roman"/>
          <w:sz w:val="15"/>
          <w:szCs w:val="15"/>
          <w:color w:val="auto"/>
        </w:rPr>
        <w:t xml:space="preserve">”). The JSC will consist at all times of an equal number of representatives of each of Zenas and Licensee. Each Party will initially appoint [***]. The JSC membership and procedures are further described in this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Each Party may at any time appoint different JSC representatives by written notice to the other Party.</w:t>
      </w:r>
    </w:p>
    <w:p>
      <w:pPr>
        <w:spacing w:after="0" w:line="152" w:lineRule="exact"/>
        <w:rPr>
          <w:sz w:val="20"/>
          <w:szCs w:val="20"/>
          <w:color w:val="auto"/>
        </w:rPr>
      </w:pPr>
    </w:p>
    <w:p>
      <w:pPr>
        <w:jc w:val="both"/>
        <w:ind w:firstLine="1582"/>
        <w:spacing w:after="0" w:line="248" w:lineRule="auto"/>
        <w:rPr>
          <w:sz w:val="20"/>
          <w:szCs w:val="20"/>
          <w:color w:val="auto"/>
        </w:rPr>
      </w:pPr>
      <w:r>
        <w:rPr>
          <w:rFonts w:ascii="Times New Roman" w:cs="Times New Roman" w:eastAsia="Times New Roman" w:hAnsi="Times New Roman"/>
          <w:sz w:val="15"/>
          <w:szCs w:val="15"/>
          <w:color w:val="auto"/>
        </w:rPr>
        <w:t>3.1.2       </w:t>
      </w:r>
      <w:r>
        <w:rPr>
          <w:rFonts w:ascii="Times New Roman" w:cs="Times New Roman" w:eastAsia="Times New Roman" w:hAnsi="Times New Roman"/>
          <w:sz w:val="15"/>
          <w:szCs w:val="15"/>
          <w:b w:val="1"/>
          <w:bCs w:val="1"/>
          <w:color w:val="auto"/>
        </w:rPr>
        <w:t>Membership of JSC</w:t>
      </w:r>
      <w:r>
        <w:rPr>
          <w:rFonts w:ascii="Times New Roman" w:cs="Times New Roman" w:eastAsia="Times New Roman" w:hAnsi="Times New Roman"/>
          <w:sz w:val="15"/>
          <w:szCs w:val="15"/>
          <w:color w:val="auto"/>
        </w:rPr>
        <w:t xml:space="preserve">. Each of Zenas and Licensee will designate representatives with appropriate expertise and ongoing familiarity with the Compound and Products to serve as members of the JSC. Each of Zenas and Licensee will select from their representatives a co-chairperson for the JSC, and each Party may change its designated chairperson from time to time upon written notice to the other Party. The co-chairpersons, with assistance and guidance from the Alliance Managers, will be responsible for calling meetings and preparing and circulating an agenda in advance of each meeting,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co-chairpersons will call a meeting of the JSC promptly upon the reasonable written request of either co-chairperson to convene such a meeting. The role of the co-chairpersons will be to convene and preside at meetings of the JSC and to ensure that the Alliance Managers prepare minutes, but the co-chairpersons will have no additional powers or rights beyond those held by the other JSC representatives. Employees or consultants of a Party who are not representatives of such Party on the JSC may attend meetings of the JSC with the prior written consent of the other Party, not to be unreasonably withheld, conditioned or delayed;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such attendees (a) will not vote or otherwise participate in the decision-making process of the JSC and (b) are bound by obligations of confidentiality and non-disclosure at least as protective of the other Party as those set forth in </w:t>
      </w:r>
      <w:r>
        <w:rPr>
          <w:rFonts w:ascii="Times New Roman" w:cs="Times New Roman" w:eastAsia="Times New Roman" w:hAnsi="Times New Roman"/>
          <w:sz w:val="15"/>
          <w:szCs w:val="15"/>
          <w:u w:val="single" w:color="auto"/>
          <w:color w:val="auto"/>
        </w:rPr>
        <w:t>Section 9.1</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ind w:right="20" w:firstLine="1582"/>
        <w:spacing w:after="0" w:line="272" w:lineRule="auto"/>
        <w:rPr>
          <w:sz w:val="20"/>
          <w:szCs w:val="20"/>
          <w:color w:val="auto"/>
        </w:rPr>
      </w:pPr>
      <w:r>
        <w:rPr>
          <w:rFonts w:ascii="Times New Roman" w:cs="Times New Roman" w:eastAsia="Times New Roman" w:hAnsi="Times New Roman"/>
          <w:sz w:val="15"/>
          <w:szCs w:val="15"/>
          <w:color w:val="auto"/>
        </w:rPr>
        <w:t>3.1.3       </w:t>
      </w:r>
      <w:r>
        <w:rPr>
          <w:rFonts w:ascii="Times New Roman" w:cs="Times New Roman" w:eastAsia="Times New Roman" w:hAnsi="Times New Roman"/>
          <w:sz w:val="15"/>
          <w:szCs w:val="15"/>
          <w:b w:val="1"/>
          <w:bCs w:val="1"/>
          <w:color w:val="auto"/>
        </w:rPr>
        <w:t>Role of JSC.</w:t>
      </w:r>
      <w:r>
        <w:rPr>
          <w:rFonts w:ascii="Times New Roman" w:cs="Times New Roman" w:eastAsia="Times New Roman" w:hAnsi="Times New Roman"/>
          <w:sz w:val="15"/>
          <w:szCs w:val="15"/>
          <w:color w:val="auto"/>
        </w:rPr>
        <w:t xml:space="preserve"> In addition to its overall responsibility for monitoring and providing a forum to discuss and oversee the Parties’ activities under this Agreement, the JSC will be responsible for:</w:t>
      </w:r>
    </w:p>
    <w:p>
      <w:pPr>
        <w:spacing w:after="0" w:line="13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(a)       [***]</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(b)       [***]</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(c)       [***]</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(d)       [***]</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46" w:name="page447"/>
    <w:bookmarkEnd w:id="446"/>
    <w:p>
      <w:pPr>
        <w:ind w:left="2120"/>
        <w:spacing w:after="0"/>
        <w:rPr>
          <w:sz w:val="20"/>
          <w:szCs w:val="20"/>
          <w:color w:val="auto"/>
        </w:rPr>
      </w:pPr>
      <w:r>
        <w:rPr>
          <w:rFonts w:ascii="Times New Roman" w:cs="Times New Roman" w:eastAsia="Times New Roman" w:hAnsi="Times New Roman"/>
          <w:sz w:val="15"/>
          <w:szCs w:val="15"/>
          <w:color w:val="auto"/>
        </w:rPr>
        <w:t>(e)       [***]</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(f)       [***]</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(g)       [***]</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(h)       [***]</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(i)       [***]</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(j)       [***]</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(k)       [***]</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(l)       [***]</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(m)       [***]</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As needed, the JSC will establish Working Groups in accordance with </w:t>
      </w:r>
      <w:r>
        <w:rPr>
          <w:rFonts w:ascii="Times New Roman" w:cs="Times New Roman" w:eastAsia="Times New Roman" w:hAnsi="Times New Roman"/>
          <w:sz w:val="15"/>
          <w:szCs w:val="15"/>
          <w:u w:val="single" w:color="auto"/>
          <w:color w:val="auto"/>
        </w:rPr>
        <w:t>Section 3.2</w:t>
      </w:r>
      <w:r>
        <w:rPr>
          <w:rFonts w:ascii="Times New Roman" w:cs="Times New Roman" w:eastAsia="Times New Roman" w:hAnsi="Times New Roman"/>
          <w:sz w:val="15"/>
          <w:szCs w:val="15"/>
          <w:color w:val="auto"/>
        </w:rPr>
        <w:t xml:space="preserve"> that will report to the JSC to further the objectives and intent of this Agreement.</w:t>
      </w:r>
    </w:p>
    <w:p>
      <w:pPr>
        <w:spacing w:after="0" w:line="177" w:lineRule="exact"/>
        <w:rPr>
          <w:sz w:val="20"/>
          <w:szCs w:val="20"/>
          <w:color w:val="auto"/>
        </w:rPr>
      </w:pPr>
    </w:p>
    <w:p>
      <w:pPr>
        <w:jc w:val="both"/>
        <w:ind w:firstLine="1582"/>
        <w:spacing w:after="0" w:line="258" w:lineRule="auto"/>
        <w:rPr>
          <w:sz w:val="20"/>
          <w:szCs w:val="20"/>
          <w:color w:val="auto"/>
        </w:rPr>
      </w:pPr>
      <w:r>
        <w:rPr>
          <w:rFonts w:ascii="Times New Roman" w:cs="Times New Roman" w:eastAsia="Times New Roman" w:hAnsi="Times New Roman"/>
          <w:sz w:val="15"/>
          <w:szCs w:val="15"/>
          <w:color w:val="auto"/>
        </w:rPr>
        <w:t>3.1.4       </w:t>
      </w:r>
      <w:r>
        <w:rPr>
          <w:rFonts w:ascii="Times New Roman" w:cs="Times New Roman" w:eastAsia="Times New Roman" w:hAnsi="Times New Roman"/>
          <w:sz w:val="15"/>
          <w:szCs w:val="15"/>
          <w:b w:val="1"/>
          <w:bCs w:val="1"/>
          <w:color w:val="auto"/>
        </w:rPr>
        <w:t>JSC Meetings.</w:t>
      </w:r>
      <w:r>
        <w:rPr>
          <w:rFonts w:ascii="Times New Roman" w:cs="Times New Roman" w:eastAsia="Times New Roman" w:hAnsi="Times New Roman"/>
          <w:sz w:val="15"/>
          <w:szCs w:val="15"/>
          <w:color w:val="auto"/>
        </w:rPr>
        <w:t xml:space="preserve"> The JSC will meet at least [***] at such times and places as the co-chairpersons may determine. The meetings of the JSC may be by telephone or any other method determined by the JSC. Each Party will bear its own costs associated with attending such meetings, including any costs relating to travel or such Party’s participation in such meetings.</w:t>
      </w:r>
    </w:p>
    <w:p>
      <w:pPr>
        <w:spacing w:after="0" w:line="147" w:lineRule="exact"/>
        <w:rPr>
          <w:sz w:val="20"/>
          <w:szCs w:val="20"/>
          <w:color w:val="auto"/>
        </w:rPr>
      </w:pPr>
    </w:p>
    <w:p>
      <w:pPr>
        <w:jc w:val="both"/>
        <w:ind w:firstLine="1582"/>
        <w:spacing w:after="0" w:line="253" w:lineRule="auto"/>
        <w:rPr>
          <w:sz w:val="20"/>
          <w:szCs w:val="20"/>
          <w:color w:val="auto"/>
        </w:rPr>
      </w:pPr>
      <w:r>
        <w:rPr>
          <w:rFonts w:ascii="Times New Roman" w:cs="Times New Roman" w:eastAsia="Times New Roman" w:hAnsi="Times New Roman"/>
          <w:sz w:val="15"/>
          <w:szCs w:val="15"/>
          <w:color w:val="auto"/>
        </w:rPr>
        <w:t>3.1.5       </w:t>
      </w:r>
      <w:r>
        <w:rPr>
          <w:rFonts w:ascii="Times New Roman" w:cs="Times New Roman" w:eastAsia="Times New Roman" w:hAnsi="Times New Roman"/>
          <w:sz w:val="15"/>
          <w:szCs w:val="15"/>
          <w:b w:val="1"/>
          <w:bCs w:val="1"/>
          <w:color w:val="auto"/>
        </w:rPr>
        <w:t>Decisions of the JSC</w:t>
      </w:r>
      <w:r>
        <w:rPr>
          <w:rFonts w:ascii="Times New Roman" w:cs="Times New Roman" w:eastAsia="Times New Roman" w:hAnsi="Times New Roman"/>
          <w:sz w:val="15"/>
          <w:szCs w:val="15"/>
          <w:color w:val="auto"/>
        </w:rPr>
        <w:t xml:space="preserve">. Decisions of the JSC will be by unanimous vote, with each Party having collectively one (1) vote,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after attempts to amicably resolve any disagreement at the JSC, the JSC is unable to agree on a matter within [***] after it has met and attempted to reach such decision, the matter shall then be referred to the [***]. If the [***] are unable to amicably resolve the issue within [***] of such referral then either Party may, by written notice to the other, have such issue referred to the [***] for resolution. [***]</w:t>
      </w:r>
    </w:p>
    <w:p>
      <w:pPr>
        <w:spacing w:after="0" w:line="152" w:lineRule="exact"/>
        <w:rPr>
          <w:sz w:val="20"/>
          <w:szCs w:val="20"/>
          <w:color w:val="auto"/>
        </w:rPr>
      </w:pPr>
    </w:p>
    <w:p>
      <w:pPr>
        <w:jc w:val="both"/>
        <w:ind w:firstLine="1055"/>
        <w:spacing w:after="0" w:line="251" w:lineRule="auto"/>
        <w:rPr>
          <w:sz w:val="20"/>
          <w:szCs w:val="20"/>
          <w:color w:val="auto"/>
        </w:rPr>
      </w:pPr>
      <w:r>
        <w:rPr>
          <w:rFonts w:ascii="Times New Roman" w:cs="Times New Roman" w:eastAsia="Times New Roman" w:hAnsi="Times New Roman"/>
          <w:sz w:val="15"/>
          <w:szCs w:val="15"/>
          <w:b w:val="1"/>
          <w:bCs w:val="1"/>
          <w:color w:val="auto"/>
        </w:rPr>
        <w:t>3.2       Subcommittees</w:t>
      </w:r>
      <w:r>
        <w:rPr>
          <w:rFonts w:ascii="Times New Roman" w:cs="Times New Roman" w:eastAsia="Times New Roman" w:hAnsi="Times New Roman"/>
          <w:sz w:val="15"/>
          <w:szCs w:val="15"/>
          <w:color w:val="auto"/>
        </w:rPr>
        <w:t>. From time to time, the JSC may establish and delegate duties to other committees, subcommittees or directed teams (each, a “</w:t>
      </w:r>
      <w:r>
        <w:rPr>
          <w:rFonts w:ascii="Times New Roman" w:cs="Times New Roman" w:eastAsia="Times New Roman" w:hAnsi="Times New Roman"/>
          <w:sz w:val="15"/>
          <w:szCs w:val="15"/>
          <w:b w:val="1"/>
          <w:bCs w:val="1"/>
          <w:color w:val="auto"/>
        </w:rPr>
        <w:t>Working Group</w:t>
      </w:r>
      <w:r>
        <w:rPr>
          <w:rFonts w:ascii="Times New Roman" w:cs="Times New Roman" w:eastAsia="Times New Roman" w:hAnsi="Times New Roman"/>
          <w:sz w:val="15"/>
          <w:szCs w:val="15"/>
          <w:color w:val="auto"/>
        </w:rPr>
        <w:t>”) on 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“as needed” basis to oversee particular projects or activities which delegations will be reflected in the minutes of the meetings of the JSC. Such Working Groups may be established on an ad hoc basis for purposes of a specific project, or on such other basis as the JSC may determine, and will be constituted and will operate as the JSC may determine. Each Working Group and its activities will be subject to the direction, review and approval of, and will report to, the JSC. In no event will the authority of the Working Group exceed that specified for the JSC in this Article 3. Any matter not resolved by a Working Group will be referred to the JSC for resolution in accordance with </w:t>
      </w:r>
      <w:r>
        <w:rPr>
          <w:rFonts w:ascii="Times New Roman" w:cs="Times New Roman" w:eastAsia="Times New Roman" w:hAnsi="Times New Roman"/>
          <w:sz w:val="15"/>
          <w:szCs w:val="15"/>
          <w:u w:val="single" w:color="auto"/>
          <w:color w:val="auto"/>
        </w:rPr>
        <w:t>Section 3.1.5</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jc w:val="both"/>
        <w:ind w:firstLine="1055"/>
        <w:spacing w:after="0" w:line="250" w:lineRule="auto"/>
        <w:rPr>
          <w:sz w:val="20"/>
          <w:szCs w:val="20"/>
          <w:color w:val="auto"/>
        </w:rPr>
      </w:pPr>
      <w:r>
        <w:rPr>
          <w:rFonts w:ascii="Times New Roman" w:cs="Times New Roman" w:eastAsia="Times New Roman" w:hAnsi="Times New Roman"/>
          <w:sz w:val="15"/>
          <w:szCs w:val="15"/>
          <w:b w:val="1"/>
          <w:bCs w:val="1"/>
          <w:color w:val="auto"/>
        </w:rPr>
        <w:t>3.3       Limitations on Authority</w:t>
      </w:r>
      <w:r>
        <w:rPr>
          <w:rFonts w:ascii="Times New Roman" w:cs="Times New Roman" w:eastAsia="Times New Roman" w:hAnsi="Times New Roman"/>
          <w:sz w:val="15"/>
          <w:szCs w:val="15"/>
          <w:color w:val="auto"/>
        </w:rPr>
        <w:t>. The JSC will have solely the roles and responsibilities assigned to it in this Article 3, if any. Notwithstanding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3.1.5</w:t>
      </w:r>
      <w:r>
        <w:rPr>
          <w:rFonts w:ascii="Times New Roman" w:cs="Times New Roman" w:eastAsia="Times New Roman" w:hAnsi="Times New Roman"/>
          <w:sz w:val="15"/>
          <w:szCs w:val="15"/>
          <w:color w:val="auto"/>
        </w:rPr>
        <w:t>, neither the JSC</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nor any Working Group will have any authority to amend, modify or waive compliance with this Agreement. Neither the JSC nor a Party in exercising its final decision-making authority under this Article 3 will have any authority to make any decision that expressly requires mutual agreement of the Parties or the consent of a Party. Without limiting the generality of the foregoing, neither Party may unilaterally make a decision (in exercise of its final decision-making authority on any such matters) that (a) expands such Party’s contractual rights or reduces the other Party’s contractual obligations under this Agreement or (b) results or would reasonably be expected to result in a material change or increase in the other Party’s obligations, costs, or expenses or a material limitation to such other Party’s rights under this Agreement.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47" w:name="page448"/>
    <w:bookmarkEnd w:id="447"/>
    <w:p>
      <w:pPr>
        <w:jc w:val="both"/>
        <w:ind w:firstLine="1055"/>
        <w:spacing w:after="0" w:line="285" w:lineRule="auto"/>
        <w:rPr>
          <w:sz w:val="20"/>
          <w:szCs w:val="20"/>
          <w:color w:val="auto"/>
        </w:rPr>
      </w:pPr>
      <w:r>
        <w:rPr>
          <w:rFonts w:ascii="Times New Roman" w:cs="Times New Roman" w:eastAsia="Times New Roman" w:hAnsi="Times New Roman"/>
          <w:sz w:val="14"/>
          <w:szCs w:val="14"/>
          <w:b w:val="1"/>
          <w:bCs w:val="1"/>
          <w:color w:val="auto"/>
        </w:rPr>
        <w:t>3.4       Minutes</w:t>
      </w:r>
      <w:r>
        <w:rPr>
          <w:rFonts w:ascii="Times New Roman" w:cs="Times New Roman" w:eastAsia="Times New Roman" w:hAnsi="Times New Roman"/>
          <w:sz w:val="14"/>
          <w:szCs w:val="14"/>
          <w:color w:val="auto"/>
        </w:rPr>
        <w:t>. The Alliance Managers will be responsible for preparing and circulating reasonably detailed written minutes of each meeting of the JSC, setting forth, inter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alia, the meeting attendees, an overview of the discussions at the meeting and a list of any actions, decisions or determinations approved by the JSC. Such minutes will be effective only after such minutes have been approved by both Parties in writing. Definitive minutes of all JSC meetings will be finalized no later than [***] after the meeting to which the minutes pertain.</w:t>
      </w:r>
    </w:p>
    <w:p>
      <w:pPr>
        <w:spacing w:after="0" w:line="130" w:lineRule="exact"/>
        <w:rPr>
          <w:sz w:val="20"/>
          <w:szCs w:val="20"/>
          <w:color w:val="auto"/>
        </w:rPr>
      </w:pPr>
    </w:p>
    <w:p>
      <w:pPr>
        <w:jc w:val="both"/>
        <w:ind w:firstLine="1055"/>
        <w:spacing w:after="0" w:line="249" w:lineRule="auto"/>
        <w:rPr>
          <w:sz w:val="20"/>
          <w:szCs w:val="20"/>
          <w:color w:val="auto"/>
        </w:rPr>
      </w:pPr>
      <w:r>
        <w:rPr>
          <w:rFonts w:ascii="Times New Roman" w:cs="Times New Roman" w:eastAsia="Times New Roman" w:hAnsi="Times New Roman"/>
          <w:sz w:val="15"/>
          <w:szCs w:val="15"/>
          <w:b w:val="1"/>
          <w:bCs w:val="1"/>
          <w:color w:val="auto"/>
        </w:rPr>
        <w:t>3.5       Alliance Managers</w:t>
      </w:r>
      <w:r>
        <w:rPr>
          <w:rFonts w:ascii="Times New Roman" w:cs="Times New Roman" w:eastAsia="Times New Roman" w:hAnsi="Times New Roman"/>
          <w:sz w:val="15"/>
          <w:szCs w:val="15"/>
          <w:color w:val="auto"/>
        </w:rPr>
        <w:t>. Each of the Parties will appoint one (1) representative whose role is to act as a primary point of contact between the Parties to assure a successful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relationship between the Parties (each, an “</w:t>
      </w:r>
      <w:r>
        <w:rPr>
          <w:rFonts w:ascii="Times New Roman" w:cs="Times New Roman" w:eastAsia="Times New Roman" w:hAnsi="Times New Roman"/>
          <w:sz w:val="15"/>
          <w:szCs w:val="15"/>
          <w:b w:val="1"/>
          <w:bCs w:val="1"/>
          <w:color w:val="auto"/>
        </w:rPr>
        <w:t>Alliance Manager</w:t>
      </w:r>
      <w:r>
        <w:rPr>
          <w:rFonts w:ascii="Times New Roman" w:cs="Times New Roman" w:eastAsia="Times New Roman" w:hAnsi="Times New Roman"/>
          <w:sz w:val="15"/>
          <w:szCs w:val="15"/>
          <w:color w:val="auto"/>
        </w:rPr>
        <w:t xml:space="preserve">”). The Alliance Managers will attend all meetings of each of the JSC and Working Groups and support the co-chairpersons of the JSC in the discharge of their responsibilities;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Alliance Managers will not vote or otherwise participate in the decision-making process of the JSC or any Working Group. An Alliance Manager may bring any matter to the attention of the JSC or any Working Group, as applicable, if such Alliance Manager reasonably believes that such matter warrants such attention. Each Party may change its designated Alliance Manager from time to time upon written notice to the other Party. Any Alliance Manager may designate a substitute to temporarily perform the functions of such Alliance Manager upon written notice to the other Party’s Alliance Manager. Each Alliance Manager will be charged with creating and maintaining a collaborative work environment within the JSC and each Working Group. Each Alliance Manager also will:</w:t>
      </w:r>
    </w:p>
    <w:p>
      <w:pPr>
        <w:spacing w:after="0" w:line="15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3.5.1       provide a primary point of contact both internally within the Parties’ respective organizations and between the Parties;</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3.5.2       plan and coordinate any cooperative efforts under this Agreement, if any, and internal and external communications;</w:t>
      </w:r>
    </w:p>
    <w:p>
      <w:pPr>
        <w:spacing w:after="0" w:line="179" w:lineRule="exact"/>
        <w:rPr>
          <w:sz w:val="20"/>
          <w:szCs w:val="20"/>
          <w:color w:val="auto"/>
        </w:rPr>
      </w:pPr>
    </w:p>
    <w:p>
      <w:pPr>
        <w:jc w:val="both"/>
        <w:ind w:firstLine="1582"/>
        <w:spacing w:after="0" w:line="269" w:lineRule="auto"/>
        <w:rPr>
          <w:sz w:val="20"/>
          <w:szCs w:val="20"/>
          <w:color w:val="auto"/>
        </w:rPr>
      </w:pPr>
      <w:r>
        <w:rPr>
          <w:rFonts w:ascii="Times New Roman" w:cs="Times New Roman" w:eastAsia="Times New Roman" w:hAnsi="Times New Roman"/>
          <w:sz w:val="15"/>
          <w:szCs w:val="15"/>
          <w:color w:val="auto"/>
        </w:rPr>
        <w:t>3.5.3       take responsibility for ensuring that the activities of the JSC and each Working Group, such as the conduct of required meetings, occur as set forth in this Agreement and that relevant action items, if any, resulting from such meetings are appropriately carried out or otherwise addressed; and</w:t>
      </w:r>
    </w:p>
    <w:p>
      <w:pPr>
        <w:spacing w:after="0" w:line="14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3.5.4       be the point of first referral in all matters of conflict resolution.</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4.     </w:t>
      </w:r>
      <w:r>
        <w:rPr>
          <w:rFonts w:ascii="Times New Roman" w:cs="Times New Roman" w:eastAsia="Times New Roman" w:hAnsi="Times New Roman"/>
          <w:sz w:val="15"/>
          <w:szCs w:val="15"/>
          <w:b w:val="1"/>
          <w:bCs w:val="1"/>
          <w:u w:val="single" w:color="auto"/>
          <w:color w:val="auto"/>
        </w:rPr>
        <w:t>  Development</w:t>
      </w:r>
      <w:r>
        <w:rPr>
          <w:rFonts w:ascii="Times New Roman" w:cs="Times New Roman" w:eastAsia="Times New Roman" w:hAnsi="Times New Roman"/>
          <w:sz w:val="15"/>
          <w:szCs w:val="15"/>
          <w:b w:val="1"/>
          <w:bCs w:val="1"/>
          <w:color w:val="auto"/>
        </w:rPr>
        <w:t>.</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4.1       General</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firstLine="1582"/>
        <w:spacing w:after="0" w:line="253" w:lineRule="auto"/>
        <w:rPr>
          <w:sz w:val="20"/>
          <w:szCs w:val="20"/>
          <w:color w:val="auto"/>
        </w:rPr>
      </w:pPr>
      <w:r>
        <w:rPr>
          <w:rFonts w:ascii="Times New Roman" w:cs="Times New Roman" w:eastAsia="Times New Roman" w:hAnsi="Times New Roman"/>
          <w:sz w:val="15"/>
          <w:szCs w:val="15"/>
          <w:color w:val="auto"/>
        </w:rPr>
        <w:t>4.1.1       </w:t>
      </w:r>
      <w:r>
        <w:rPr>
          <w:rFonts w:ascii="Times New Roman" w:cs="Times New Roman" w:eastAsia="Times New Roman" w:hAnsi="Times New Roman"/>
          <w:sz w:val="15"/>
          <w:szCs w:val="15"/>
          <w:b w:val="1"/>
          <w:bCs w:val="1"/>
          <w:color w:val="auto"/>
        </w:rPr>
        <w:t>Development Responsibilities</w:t>
      </w:r>
      <w:r>
        <w:rPr>
          <w:rFonts w:ascii="Times New Roman" w:cs="Times New Roman" w:eastAsia="Times New Roman" w:hAnsi="Times New Roman"/>
          <w:sz w:val="15"/>
          <w:szCs w:val="15"/>
          <w:color w:val="auto"/>
        </w:rPr>
        <w:t>. Subject to the terms and conditions of this Agreement, Licensee shall be solely responsible for conducting all Development activities of the Compound and Products required to obtain Regulatory Approval in the Territory (except with respect to the Global Studies), at its sole expense and in accordance with the Development Plan. Licensee will be solely responsible for obtaining all Regulatory Approvals in the Territory at its sole expense. Licensee shall keep the JSC informed of the progress and results of such Development activities as provided below.</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48" w:name="page449"/>
    <w:bookmarkEnd w:id="448"/>
    <w:p>
      <w:pPr>
        <w:jc w:val="both"/>
        <w:ind w:firstLine="1582"/>
        <w:spacing w:after="0" w:line="272" w:lineRule="auto"/>
        <w:rPr>
          <w:sz w:val="20"/>
          <w:szCs w:val="20"/>
          <w:color w:val="auto"/>
        </w:rPr>
      </w:pPr>
      <w:r>
        <w:rPr>
          <w:rFonts w:ascii="Times New Roman" w:cs="Times New Roman" w:eastAsia="Times New Roman" w:hAnsi="Times New Roman"/>
          <w:sz w:val="15"/>
          <w:szCs w:val="15"/>
          <w:color w:val="auto"/>
        </w:rPr>
        <w:t>4.1.2       </w:t>
      </w:r>
      <w:r>
        <w:rPr>
          <w:rFonts w:ascii="Times New Roman" w:cs="Times New Roman" w:eastAsia="Times New Roman" w:hAnsi="Times New Roman"/>
          <w:sz w:val="15"/>
          <w:szCs w:val="15"/>
          <w:b w:val="1"/>
          <w:bCs w:val="1"/>
          <w:color w:val="auto"/>
        </w:rPr>
        <w:t>Diligence.</w:t>
      </w:r>
      <w:r>
        <w:rPr>
          <w:rFonts w:ascii="Times New Roman" w:cs="Times New Roman" w:eastAsia="Times New Roman" w:hAnsi="Times New Roman"/>
          <w:sz w:val="15"/>
          <w:szCs w:val="15"/>
          <w:color w:val="auto"/>
        </w:rPr>
        <w:t xml:space="preserve"> Licensee shall use Commercially Reasonable Efforts to Develop at least one Product and seek and maintain Regulatory Approvals for such Product in the Field in Japan, [***].</w:t>
      </w:r>
    </w:p>
    <w:p>
      <w:pPr>
        <w:spacing w:after="0" w:line="136" w:lineRule="exact"/>
        <w:rPr>
          <w:sz w:val="20"/>
          <w:szCs w:val="20"/>
          <w:color w:val="auto"/>
        </w:rPr>
      </w:pPr>
    </w:p>
    <w:p>
      <w:pPr>
        <w:jc w:val="both"/>
        <w:ind w:firstLine="1582"/>
        <w:spacing w:after="0" w:line="253" w:lineRule="auto"/>
        <w:rPr>
          <w:sz w:val="20"/>
          <w:szCs w:val="20"/>
          <w:color w:val="auto"/>
        </w:rPr>
      </w:pPr>
      <w:r>
        <w:rPr>
          <w:rFonts w:ascii="Times New Roman" w:cs="Times New Roman" w:eastAsia="Times New Roman" w:hAnsi="Times New Roman"/>
          <w:sz w:val="15"/>
          <w:szCs w:val="15"/>
          <w:color w:val="auto"/>
        </w:rPr>
        <w:t>4.1.3       </w:t>
      </w:r>
      <w:r>
        <w:rPr>
          <w:rFonts w:ascii="Times New Roman" w:cs="Times New Roman" w:eastAsia="Times New Roman" w:hAnsi="Times New Roman"/>
          <w:sz w:val="15"/>
          <w:szCs w:val="15"/>
          <w:b w:val="1"/>
          <w:bCs w:val="1"/>
          <w:color w:val="auto"/>
        </w:rPr>
        <w:t>Compliance.</w:t>
      </w:r>
      <w:r>
        <w:rPr>
          <w:rFonts w:ascii="Times New Roman" w:cs="Times New Roman" w:eastAsia="Times New Roman" w:hAnsi="Times New Roman"/>
          <w:sz w:val="15"/>
          <w:szCs w:val="15"/>
          <w:color w:val="auto"/>
        </w:rPr>
        <w:t xml:space="preserve"> In conducting Development of the Compound and Product, Licensee shall comply, and will ensure that its Affiliates comply, and will include in each of its sublicense agreements an obligation of its Sublicensees to comply, with all Applicable Laws, including the regulations promulgated by the relevant Regulatory Authorities for the Development and Commercialization of pharmaceutical products in the Territory, in good scientific manner, and in compliance in all material respects with all applicable national and international guidelines.</w:t>
      </w:r>
    </w:p>
    <w:p>
      <w:pPr>
        <w:spacing w:after="0" w:line="152" w:lineRule="exact"/>
        <w:rPr>
          <w:sz w:val="20"/>
          <w:szCs w:val="20"/>
          <w:color w:val="auto"/>
        </w:rPr>
      </w:pPr>
    </w:p>
    <w:p>
      <w:pPr>
        <w:jc w:val="both"/>
        <w:ind w:firstLine="1055"/>
        <w:spacing w:after="0" w:line="269" w:lineRule="auto"/>
        <w:rPr>
          <w:sz w:val="20"/>
          <w:szCs w:val="20"/>
          <w:color w:val="auto"/>
        </w:rPr>
      </w:pPr>
      <w:r>
        <w:rPr>
          <w:rFonts w:ascii="Times New Roman" w:cs="Times New Roman" w:eastAsia="Times New Roman" w:hAnsi="Times New Roman"/>
          <w:sz w:val="14"/>
          <w:szCs w:val="14"/>
          <w:b w:val="1"/>
          <w:bCs w:val="1"/>
          <w:color w:val="auto"/>
        </w:rPr>
        <w:t>4.2       Development Plan</w:t>
      </w:r>
      <w:r>
        <w:rPr>
          <w:rFonts w:ascii="Times New Roman" w:cs="Times New Roman" w:eastAsia="Times New Roman" w:hAnsi="Times New Roman"/>
          <w:sz w:val="14"/>
          <w:szCs w:val="14"/>
          <w:color w:val="auto"/>
        </w:rPr>
        <w:t>. Licensee shall Develop the Compound and Products in the Field in the Territory under this Agreement in accordance with comprehensive written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development plans (together the “</w:t>
      </w:r>
      <w:r>
        <w:rPr>
          <w:rFonts w:ascii="Times New Roman" w:cs="Times New Roman" w:eastAsia="Times New Roman" w:hAnsi="Times New Roman"/>
          <w:sz w:val="14"/>
          <w:szCs w:val="14"/>
          <w:b w:val="1"/>
          <w:bCs w:val="1"/>
          <w:color w:val="auto"/>
        </w:rPr>
        <w:t>Development Plans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b w:val="1"/>
          <w:bCs w:val="1"/>
          <w:color w:val="auto"/>
        </w:rPr>
        <w:t>Development Plan</w:t>
      </w:r>
      <w:r>
        <w:rPr>
          <w:rFonts w:ascii="Times New Roman" w:cs="Times New Roman" w:eastAsia="Times New Roman" w:hAnsi="Times New Roman"/>
          <w:sz w:val="14"/>
          <w:szCs w:val="14"/>
          <w:color w:val="auto"/>
        </w:rPr>
        <w:t>”). Each Development Plan shall set forth an estimated timeline and details of all major Development activities to be conducted by or on behalf of Licensee for the Products in the Field in the Territory for that Development Plan, as well as the plans and estimated timeline for preparing and filing the necessary Regulatory Filings and for obtaining Regulatory Approval of the Products in the Territory. Within [***] following the Effective Date, Licensee shall prepare, and the JSC shall mutually agree on, an initial Development Plan. Once agreed, the initial Development Plan (and each additional Development Plan) shall be incorporated into this Agreement by reference. From time to time, but at least once a year, Licensee shall propose updates or amendments, if any, to each Development Plan in consultation with Zenas and submit such proposed updated or amended plan to the JSC for review and approval. Licensee shall consider any comments provided by Zenas to the relevant Development Plan in good faith.</w:t>
      </w:r>
    </w:p>
    <w:p>
      <w:pPr>
        <w:spacing w:after="0" w:line="143" w:lineRule="exact"/>
        <w:rPr>
          <w:sz w:val="20"/>
          <w:szCs w:val="20"/>
          <w:color w:val="auto"/>
        </w:rPr>
      </w:pPr>
    </w:p>
    <w:p>
      <w:pPr>
        <w:jc w:val="both"/>
        <w:ind w:firstLine="1055"/>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4.3       Local Studies. </w:t>
      </w:r>
      <w:r>
        <w:rPr>
          <w:rFonts w:ascii="Times New Roman" w:cs="Times New Roman" w:eastAsia="Times New Roman" w:hAnsi="Times New Roman"/>
          <w:sz w:val="14"/>
          <w:szCs w:val="14"/>
          <w:color w:val="auto"/>
        </w:rPr>
        <w:t>Licensee shall be solely responsible for and use Commercially Reasonable Efforts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4.1.2</w:t>
      </w:r>
      <w:r>
        <w:rPr>
          <w:rFonts w:ascii="Times New Roman" w:cs="Times New Roman" w:eastAsia="Times New Roman" w:hAnsi="Times New Roman"/>
          <w:sz w:val="14"/>
          <w:szCs w:val="14"/>
          <w:color w:val="auto"/>
        </w:rPr>
        <w:t>) to perform any Local Studies (including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handling relevant Regulatory Filings for any Local Study at its own cost, as applicable, in accordance with </w:t>
      </w:r>
      <w:r>
        <w:rPr>
          <w:rFonts w:ascii="Times New Roman" w:cs="Times New Roman" w:eastAsia="Times New Roman" w:hAnsi="Times New Roman"/>
          <w:sz w:val="14"/>
          <w:szCs w:val="14"/>
          <w:u w:val="single" w:color="auto"/>
          <w:color w:val="auto"/>
        </w:rPr>
        <w:t>Article 5</w:t>
      </w:r>
      <w:r>
        <w:rPr>
          <w:rFonts w:ascii="Times New Roman" w:cs="Times New Roman" w:eastAsia="Times New Roman" w:hAnsi="Times New Roman"/>
          <w:sz w:val="14"/>
          <w:szCs w:val="14"/>
          <w:color w:val="auto"/>
        </w:rPr>
        <w:t>). Each Local Study conducted in the Territory shall be conducted in accordance with the relevant Development Plan, the study protocol approved by the JSC and any relevant Regulatory Authority, and Applicable Laws in the Territory. All data generated in the Local Studies shall be the sole and exclusive property of Licensee. Any subcontractor engaged by Licensee to undertake any such Local Study (or any portion thereof) shall be qualified in the Territory and shall be capable of producing, storing and maintaining data that is acceptable to the applicable Regulatory Authority. If required by any Regulatory Authority, Zenas shall have the right to audit any Local Study sites in the Territory, and Licensee shall have the right to be present at and participate in any such audit to the extent permitted by such Regulatory Authority.</w:t>
      </w:r>
    </w:p>
    <w:p>
      <w:pPr>
        <w:spacing w:after="0" w:line="14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4.4       Global Studies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firstLine="1582"/>
        <w:spacing w:after="0" w:line="253" w:lineRule="auto"/>
        <w:rPr>
          <w:sz w:val="20"/>
          <w:szCs w:val="20"/>
          <w:color w:val="auto"/>
        </w:rPr>
      </w:pPr>
      <w:r>
        <w:rPr>
          <w:rFonts w:ascii="Times New Roman" w:cs="Times New Roman" w:eastAsia="Times New Roman" w:hAnsi="Times New Roman"/>
          <w:sz w:val="15"/>
          <w:szCs w:val="15"/>
          <w:color w:val="auto"/>
        </w:rPr>
        <w:t>4.4.1       </w:t>
      </w:r>
      <w:r>
        <w:rPr>
          <w:rFonts w:ascii="Times New Roman" w:cs="Times New Roman" w:eastAsia="Times New Roman" w:hAnsi="Times New Roman"/>
          <w:sz w:val="15"/>
          <w:szCs w:val="15"/>
          <w:b w:val="1"/>
          <w:bCs w:val="1"/>
          <w:color w:val="auto"/>
        </w:rPr>
        <w:t>General.</w:t>
      </w:r>
      <w:r>
        <w:rPr>
          <w:rFonts w:ascii="Times New Roman" w:cs="Times New Roman" w:eastAsia="Times New Roman" w:hAnsi="Times New Roman"/>
          <w:sz w:val="15"/>
          <w:szCs w:val="15"/>
          <w:color w:val="auto"/>
        </w:rPr>
        <w:t xml:space="preserve"> Zenas may initiate (subject to </w:t>
      </w:r>
      <w:r>
        <w:rPr>
          <w:rFonts w:ascii="Times New Roman" w:cs="Times New Roman" w:eastAsia="Times New Roman" w:hAnsi="Times New Roman"/>
          <w:sz w:val="15"/>
          <w:szCs w:val="15"/>
          <w:u w:val="single" w:color="auto"/>
          <w:color w:val="auto"/>
        </w:rPr>
        <w:t>Section 4.4.2(a)</w:t>
      </w:r>
      <w:r>
        <w:rPr>
          <w:rFonts w:ascii="Times New Roman" w:cs="Times New Roman" w:eastAsia="Times New Roman" w:hAnsi="Times New Roman"/>
          <w:sz w:val="15"/>
          <w:szCs w:val="15"/>
          <w:color w:val="auto"/>
        </w:rPr>
        <w:t xml:space="preserve">), suspend, or cease (subject to </w:t>
      </w:r>
      <w:r>
        <w:rPr>
          <w:rFonts w:ascii="Times New Roman" w:cs="Times New Roman" w:eastAsia="Times New Roman" w:hAnsi="Times New Roman"/>
          <w:sz w:val="15"/>
          <w:szCs w:val="15"/>
          <w:u w:val="single" w:color="auto"/>
          <w:color w:val="auto"/>
        </w:rPr>
        <w:t>Section 3.1.3(e)</w:t>
      </w:r>
      <w:r>
        <w:rPr>
          <w:rFonts w:ascii="Times New Roman" w:cs="Times New Roman" w:eastAsia="Times New Roman" w:hAnsi="Times New Roman"/>
          <w:sz w:val="15"/>
          <w:szCs w:val="15"/>
          <w:color w:val="auto"/>
        </w:rPr>
        <w:t xml:space="preserve">) a Global Study anywhere in the world for any Product for any Indication, in its sole discretion;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where such ceased Global Study is a Joint Global Study, Licensee shall have the option, in its sole discretion and subject to </w:t>
      </w:r>
      <w:r>
        <w:rPr>
          <w:rFonts w:ascii="Times New Roman" w:cs="Times New Roman" w:eastAsia="Times New Roman" w:hAnsi="Times New Roman"/>
          <w:sz w:val="15"/>
          <w:szCs w:val="15"/>
          <w:u w:val="single" w:color="auto"/>
          <w:color w:val="auto"/>
        </w:rPr>
        <w:t>Section 3.1.5,</w:t>
      </w:r>
      <w:r>
        <w:rPr>
          <w:rFonts w:ascii="Times New Roman" w:cs="Times New Roman" w:eastAsia="Times New Roman" w:hAnsi="Times New Roman"/>
          <w:sz w:val="15"/>
          <w:szCs w:val="15"/>
          <w:color w:val="auto"/>
        </w:rPr>
        <w:t xml:space="preserve"> to reinstate such Global Study in the Territory as a Local Study. From time to time during the Term, either Party may propose to the other Party, through the JSC, a Global Study for any Product that includes clinical sites in the Territory.</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49" w:name="page450"/>
    <w:bookmarkEnd w:id="449"/>
    <w:p>
      <w:pPr>
        <w:ind w:left="1600"/>
        <w:spacing w:after="0"/>
        <w:rPr>
          <w:sz w:val="20"/>
          <w:szCs w:val="20"/>
          <w:color w:val="auto"/>
        </w:rPr>
      </w:pPr>
      <w:r>
        <w:rPr>
          <w:rFonts w:ascii="Times New Roman" w:cs="Times New Roman" w:eastAsia="Times New Roman" w:hAnsi="Times New Roman"/>
          <w:sz w:val="15"/>
          <w:szCs w:val="15"/>
          <w:color w:val="auto"/>
        </w:rPr>
        <w:t>4.4.2       </w:t>
      </w:r>
      <w:r>
        <w:rPr>
          <w:rFonts w:ascii="Times New Roman" w:cs="Times New Roman" w:eastAsia="Times New Roman" w:hAnsi="Times New Roman"/>
          <w:sz w:val="15"/>
          <w:szCs w:val="15"/>
          <w:b w:val="1"/>
          <w:bCs w:val="1"/>
          <w:color w:val="auto"/>
        </w:rPr>
        <w:t>Licensee Participation.</w:t>
      </w:r>
    </w:p>
    <w:p>
      <w:pPr>
        <w:spacing w:after="0" w:line="181" w:lineRule="exact"/>
        <w:rPr>
          <w:sz w:val="20"/>
          <w:szCs w:val="20"/>
          <w:color w:val="auto"/>
        </w:rPr>
      </w:pPr>
    </w:p>
    <w:p>
      <w:pPr>
        <w:jc w:val="both"/>
        <w:ind w:firstLine="2110"/>
        <w:spacing w:after="0" w:line="248" w:lineRule="auto"/>
        <w:rPr>
          <w:sz w:val="20"/>
          <w:szCs w:val="20"/>
          <w:color w:val="auto"/>
        </w:rPr>
      </w:pPr>
      <w:r>
        <w:rPr>
          <w:rFonts w:ascii="Times New Roman" w:cs="Times New Roman" w:eastAsia="Times New Roman" w:hAnsi="Times New Roman"/>
          <w:sz w:val="15"/>
          <w:szCs w:val="15"/>
          <w:color w:val="auto"/>
        </w:rPr>
        <w:t>(a)       If Zenas wishes to perform a Global Study that includes clinical sites in the Territory, Zenas shall prepare and provide to the JSC (i) a Development Plan relating to such Global Study and (ii) in the case of a Global Registrational Trial, a Post-Study Drug Access Plan for the Territory. Licensee shall have [***] (the “</w:t>
      </w:r>
      <w:r>
        <w:rPr>
          <w:rFonts w:ascii="Times New Roman" w:cs="Times New Roman" w:eastAsia="Times New Roman" w:hAnsi="Times New Roman"/>
          <w:sz w:val="15"/>
          <w:szCs w:val="15"/>
          <w:b w:val="1"/>
          <w:bCs w:val="1"/>
          <w:color w:val="auto"/>
        </w:rPr>
        <w:t>Election Period</w:t>
      </w:r>
      <w:r>
        <w:rPr>
          <w:rFonts w:ascii="Times New Roman" w:cs="Times New Roman" w:eastAsia="Times New Roman" w:hAnsi="Times New Roman"/>
          <w:sz w:val="15"/>
          <w:szCs w:val="15"/>
          <w:color w:val="auto"/>
        </w:rPr>
        <w:t>”) to elect to participate in such Global Study and, upon such election, such Global Study shall be deemed a “</w:t>
      </w:r>
      <w:r>
        <w:rPr>
          <w:rFonts w:ascii="Times New Roman" w:cs="Times New Roman" w:eastAsia="Times New Roman" w:hAnsi="Times New Roman"/>
          <w:sz w:val="15"/>
          <w:szCs w:val="15"/>
          <w:b w:val="1"/>
          <w:bCs w:val="1"/>
          <w:color w:val="auto"/>
        </w:rPr>
        <w:t>Joint Global Study</w:t>
      </w:r>
      <w:r>
        <w:rPr>
          <w:rFonts w:ascii="Times New Roman" w:cs="Times New Roman" w:eastAsia="Times New Roman" w:hAnsi="Times New Roman"/>
          <w:sz w:val="15"/>
          <w:szCs w:val="15"/>
          <w:color w:val="auto"/>
        </w:rPr>
        <w:t>”, and the JSC shall review and approve the Development Plan for such Joint Global Study (such Development Plan being a “</w:t>
      </w:r>
      <w:r>
        <w:rPr>
          <w:rFonts w:ascii="Times New Roman" w:cs="Times New Roman" w:eastAsia="Times New Roman" w:hAnsi="Times New Roman"/>
          <w:sz w:val="15"/>
          <w:szCs w:val="15"/>
          <w:b w:val="1"/>
          <w:bCs w:val="1"/>
          <w:color w:val="auto"/>
        </w:rPr>
        <w:t>Joint Development Plan</w:t>
      </w:r>
      <w:r>
        <w:rPr>
          <w:rFonts w:ascii="Times New Roman" w:cs="Times New Roman" w:eastAsia="Times New Roman" w:hAnsi="Times New Roman"/>
          <w:sz w:val="15"/>
          <w:szCs w:val="15"/>
          <w:color w:val="auto"/>
        </w:rPr>
        <w:t>”) and a budget for such Joint Global Study (a “</w:t>
      </w:r>
      <w:r>
        <w:rPr>
          <w:rFonts w:ascii="Times New Roman" w:cs="Times New Roman" w:eastAsia="Times New Roman" w:hAnsi="Times New Roman"/>
          <w:sz w:val="15"/>
          <w:szCs w:val="15"/>
          <w:b w:val="1"/>
          <w:bCs w:val="1"/>
          <w:color w:val="auto"/>
        </w:rPr>
        <w:t>Joint Development Plan Budget</w:t>
      </w:r>
      <w:r>
        <w:rPr>
          <w:rFonts w:ascii="Times New Roman" w:cs="Times New Roman" w:eastAsia="Times New Roman" w:hAnsi="Times New Roman"/>
          <w:sz w:val="15"/>
          <w:szCs w:val="15"/>
          <w:color w:val="auto"/>
        </w:rPr>
        <w:t>”). Within [***] of the Effective Date, the Parties will mutually agree on a Post-Study Drug Access Plan for the Territory that is consistent with Licensee’s then applicable standard operating procedures (“</w:t>
      </w:r>
      <w:r>
        <w:rPr>
          <w:rFonts w:ascii="Times New Roman" w:cs="Times New Roman" w:eastAsia="Times New Roman" w:hAnsi="Times New Roman"/>
          <w:sz w:val="15"/>
          <w:szCs w:val="15"/>
          <w:b w:val="1"/>
          <w:bCs w:val="1"/>
          <w:color w:val="auto"/>
        </w:rPr>
        <w:t>SOPs</w:t>
      </w:r>
      <w:r>
        <w:rPr>
          <w:rFonts w:ascii="Times New Roman" w:cs="Times New Roman" w:eastAsia="Times New Roman" w:hAnsi="Times New Roman"/>
          <w:sz w:val="15"/>
          <w:szCs w:val="15"/>
          <w:color w:val="auto"/>
        </w:rPr>
        <w:t>”) for patients in Clinical Studies to access study drugs following the conclusion of such Clinical Studies, which SOPs would be provided to Zenas at Zenas’s request through the JSC, and any costs associated with the implementation of such Post-Study Drug Access Plan for the Territory would be paid by Licensee. [***].</w:t>
      </w:r>
    </w:p>
    <w:p>
      <w:pPr>
        <w:spacing w:after="0" w:line="159" w:lineRule="exact"/>
        <w:rPr>
          <w:sz w:val="20"/>
          <w:szCs w:val="20"/>
          <w:color w:val="auto"/>
        </w:rPr>
      </w:pPr>
    </w:p>
    <w:p>
      <w:pPr>
        <w:jc w:val="both"/>
        <w:ind w:firstLine="2110"/>
        <w:spacing w:after="0" w:line="265" w:lineRule="auto"/>
        <w:rPr>
          <w:sz w:val="20"/>
          <w:szCs w:val="20"/>
          <w:color w:val="auto"/>
        </w:rPr>
      </w:pPr>
      <w:r>
        <w:rPr>
          <w:rFonts w:ascii="Times New Roman" w:cs="Times New Roman" w:eastAsia="Times New Roman" w:hAnsi="Times New Roman"/>
          <w:sz w:val="14"/>
          <w:szCs w:val="14"/>
          <w:color w:val="auto"/>
        </w:rPr>
        <w:t>(b)       If Licensee declines to participate in a Global Study that is a Global Registrational Trial and Licensee has determined that the conduct of such Global Registrational Trial using clinical sites in the Territory violates Applicable Laws or internationally accepted guidance (such as Declaration of Helsinki or ICH GCP principles) in the jurisdictions in the Territory in which such clinical sites will be located (a “</w:t>
      </w:r>
      <w:r>
        <w:rPr>
          <w:rFonts w:ascii="Times New Roman" w:cs="Times New Roman" w:eastAsia="Times New Roman" w:hAnsi="Times New Roman"/>
          <w:sz w:val="14"/>
          <w:szCs w:val="14"/>
          <w:b w:val="1"/>
          <w:bCs w:val="1"/>
          <w:color w:val="auto"/>
        </w:rPr>
        <w:t>Local Law Issue</w:t>
      </w:r>
      <w:r>
        <w:rPr>
          <w:rFonts w:ascii="Times New Roman" w:cs="Times New Roman" w:eastAsia="Times New Roman" w:hAnsi="Times New Roman"/>
          <w:sz w:val="14"/>
          <w:szCs w:val="14"/>
          <w:color w:val="auto"/>
        </w:rPr>
        <w:t xml:space="preserve">”), Licensee shall notify Zenas in writing of such determination prior to the expiration of the Election Period, which written notice shall include details supporting Licensee’s determination that there is a Local Law Issue. If Licensee does not provide written notice of a Local Law Issue prior to the expiration of the Election Period, then no Local Law Issue will be deemed to exist for purposes of </w:t>
      </w:r>
      <w:r>
        <w:rPr>
          <w:rFonts w:ascii="Times New Roman" w:cs="Times New Roman" w:eastAsia="Times New Roman" w:hAnsi="Times New Roman"/>
          <w:sz w:val="14"/>
          <w:szCs w:val="14"/>
          <w:u w:val="single" w:color="auto"/>
          <w:color w:val="auto"/>
        </w:rPr>
        <w:t>Section 4.4.2(c)</w:t>
      </w:r>
      <w:r>
        <w:rPr>
          <w:rFonts w:ascii="Times New Roman" w:cs="Times New Roman" w:eastAsia="Times New Roman" w:hAnsi="Times New Roman"/>
          <w:sz w:val="14"/>
          <w:szCs w:val="14"/>
          <w:color w:val="auto"/>
        </w:rPr>
        <w:t>. The Parties shall promptly meet to discuss any Local Law Issue alleged by Licensee and any potential solutions relating thereto. If the Parties are unable to agree, within a [***] period after Zenas receives Licensee’s written notice of a Local Law Issue,</w:t>
      </w:r>
    </w:p>
    <w:p>
      <w:pPr>
        <w:spacing w:after="0" w:line="3" w:lineRule="exact"/>
        <w:rPr>
          <w:sz w:val="20"/>
          <w:szCs w:val="20"/>
          <w:color w:val="auto"/>
        </w:rPr>
      </w:pPr>
    </w:p>
    <w:p>
      <w:pPr>
        <w:ind w:firstLine="8"/>
        <w:spacing w:after="0" w:line="249" w:lineRule="auto"/>
        <w:tabs>
          <w:tab w:leader="none" w:pos="248" w:val="left"/>
        </w:tabs>
        <w:numPr>
          <w:ilvl w:val="0"/>
          <w:numId w:val="2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that a Local Law Issue exists, or (B) on a potential solution that will permit Zenas to proceed with such Global Registrational Trial without causing a Local Law Issue, either Party may submit such matter for resolution in accordance with </w:t>
      </w:r>
      <w:r>
        <w:rPr>
          <w:rFonts w:ascii="Times New Roman" w:cs="Times New Roman" w:eastAsia="Times New Roman" w:hAnsi="Times New Roman"/>
          <w:sz w:val="15"/>
          <w:szCs w:val="15"/>
          <w:u w:val="single" w:color="auto"/>
          <w:color w:val="auto"/>
        </w:rPr>
        <w:t>Section 15.3</w:t>
      </w:r>
      <w:r>
        <w:rPr>
          <w:rFonts w:ascii="Times New Roman" w:cs="Times New Roman" w:eastAsia="Times New Roman" w:hAnsi="Times New Roman"/>
          <w:sz w:val="15"/>
          <w:szCs w:val="15"/>
          <w:color w:val="auto"/>
        </w:rPr>
        <w:t>.</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50" w:name="page451"/>
    <w:bookmarkEnd w:id="450"/>
    <w:p>
      <w:pPr>
        <w:jc w:val="both"/>
        <w:ind w:firstLine="2110"/>
        <w:spacing w:after="0" w:line="247" w:lineRule="auto"/>
        <w:rPr>
          <w:sz w:val="20"/>
          <w:szCs w:val="20"/>
          <w:color w:val="auto"/>
        </w:rPr>
      </w:pPr>
      <w:r>
        <w:rPr>
          <w:rFonts w:ascii="Times New Roman" w:cs="Times New Roman" w:eastAsia="Times New Roman" w:hAnsi="Times New Roman"/>
          <w:sz w:val="15"/>
          <w:szCs w:val="15"/>
          <w:color w:val="auto"/>
        </w:rPr>
        <w:t xml:space="preserve">(c)       If, pursuant to </w:t>
      </w:r>
      <w:r>
        <w:rPr>
          <w:rFonts w:ascii="Times New Roman" w:cs="Times New Roman" w:eastAsia="Times New Roman" w:hAnsi="Times New Roman"/>
          <w:sz w:val="15"/>
          <w:szCs w:val="15"/>
          <w:u w:val="single" w:color="auto"/>
          <w:color w:val="auto"/>
        </w:rPr>
        <w:t>Section 4.4.2(a)</w:t>
      </w:r>
      <w:r>
        <w:rPr>
          <w:rFonts w:ascii="Times New Roman" w:cs="Times New Roman" w:eastAsia="Times New Roman" w:hAnsi="Times New Roman"/>
          <w:sz w:val="15"/>
          <w:szCs w:val="15"/>
          <w:color w:val="auto"/>
        </w:rPr>
        <w:t xml:space="preserve">, Zenas proposes a Global Registrational Trial and Licensee elects not to participate in such Global Registrational Trial, Zenas shall be entitled to enroll patients in such Global Registrational Trial in the Territory without Licensee’s prior written consent; provided, that (i) no Local Law Issue exists, (ii) Zenas’ Post-Study Drug Access Plan for the Territory is reasonably acceptable to Licensee, such Post-Study Drug Access Plan is consistent with Licensee’s then applicable SOPs for patients in Clinical Studies to access study drugs following the conclusion of such Clinical Studies, which SOPs would be provided to Zenas at Zenas’ request through the JSC, and Licensee would not be required to incur any costs or perform any material obligations associated with the implementation of such Post-Study Drug Access Plan for the Territory, (iii) pharmacovigilance matters are handled in the same manner as any Joint Global Study in accordance </w:t>
      </w:r>
      <w:r>
        <w:rPr>
          <w:rFonts w:ascii="Times New Roman" w:cs="Times New Roman" w:eastAsia="Times New Roman" w:hAnsi="Times New Roman"/>
          <w:sz w:val="15"/>
          <w:szCs w:val="15"/>
          <w:u w:val="single" w:color="auto"/>
          <w:color w:val="auto"/>
        </w:rPr>
        <w:t>Section 5.7</w:t>
      </w:r>
      <w:r>
        <w:rPr>
          <w:rFonts w:ascii="Times New Roman" w:cs="Times New Roman" w:eastAsia="Times New Roman" w:hAnsi="Times New Roman"/>
          <w:sz w:val="15"/>
          <w:szCs w:val="15"/>
          <w:color w:val="auto"/>
        </w:rPr>
        <w:t xml:space="preserve">, (iv) enrolling patients in the Territory in such Global Registrational Trial could not reasonably be expected to have a material adverse effect on the Development or Commercialization of the Compound or the Products inside the Territory, and (v) Zenas provides to Licensee, through the JSC, a copy of the applicable clinical study design and protocol (including any changes thereto) and regular updates at JSC meetings on the clinical sites, clinical investigators and key opinion leaders that are involved in such Global Study; provided further, for the avoidance of doubt, that subject to </w:t>
      </w:r>
      <w:r>
        <w:rPr>
          <w:rFonts w:ascii="Times New Roman" w:cs="Times New Roman" w:eastAsia="Times New Roman" w:hAnsi="Times New Roman"/>
          <w:sz w:val="15"/>
          <w:szCs w:val="15"/>
          <w:u w:val="single" w:color="auto"/>
          <w:color w:val="auto"/>
        </w:rPr>
        <w:t>Section 4.3</w:t>
      </w:r>
      <w:r>
        <w:rPr>
          <w:rFonts w:ascii="Times New Roman" w:cs="Times New Roman" w:eastAsia="Times New Roman" w:hAnsi="Times New Roman"/>
          <w:sz w:val="15"/>
          <w:szCs w:val="15"/>
          <w:color w:val="auto"/>
        </w:rPr>
        <w:t>, Licensee shall be permitted at any time to conduct its own Registrational Trial in the Territory, which Registrational Trial shall constitute a Local Study.</w:t>
      </w:r>
    </w:p>
    <w:p>
      <w:pPr>
        <w:spacing w:after="0" w:line="158" w:lineRule="exact"/>
        <w:rPr>
          <w:sz w:val="20"/>
          <w:szCs w:val="20"/>
          <w:color w:val="auto"/>
        </w:rPr>
      </w:pPr>
    </w:p>
    <w:p>
      <w:pPr>
        <w:jc w:val="both"/>
        <w:ind w:firstLine="2110"/>
        <w:spacing w:after="0" w:line="257" w:lineRule="auto"/>
        <w:rPr>
          <w:sz w:val="20"/>
          <w:szCs w:val="20"/>
          <w:color w:val="auto"/>
        </w:rPr>
      </w:pPr>
      <w:r>
        <w:rPr>
          <w:rFonts w:ascii="Times New Roman" w:cs="Times New Roman" w:eastAsia="Times New Roman" w:hAnsi="Times New Roman"/>
          <w:sz w:val="15"/>
          <w:szCs w:val="15"/>
          <w:color w:val="auto"/>
        </w:rPr>
        <w:t xml:space="preserve">(d)       If, pursuant to </w:t>
      </w:r>
      <w:r>
        <w:rPr>
          <w:rFonts w:ascii="Times New Roman" w:cs="Times New Roman" w:eastAsia="Times New Roman" w:hAnsi="Times New Roman"/>
          <w:sz w:val="15"/>
          <w:szCs w:val="15"/>
          <w:u w:val="single" w:color="auto"/>
          <w:color w:val="auto"/>
        </w:rPr>
        <w:t>Section 4.4.2(a)</w:t>
      </w:r>
      <w:r>
        <w:rPr>
          <w:rFonts w:ascii="Times New Roman" w:cs="Times New Roman" w:eastAsia="Times New Roman" w:hAnsi="Times New Roman"/>
          <w:sz w:val="15"/>
          <w:szCs w:val="15"/>
          <w:color w:val="auto"/>
        </w:rPr>
        <w:t>, Zenas proposes a Global Non-Registrational Trial that includes clinical sites in the Territory and Licensee elects not to participate in such Global Non-Registrational Trial, Zenas shall be entitled to enroll patients in such Global Non-Registrational Trial in the Territory without Licensee’s prior written consent; provided that Zenas shall provide Licensee with regular updates through the JSC regarding any activities it conducts in the Territory, including identifying clinical sites.</w:t>
      </w:r>
    </w:p>
    <w:p>
      <w:pPr>
        <w:spacing w:after="0" w:line="149"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xml:space="preserve">(e)       If Licensee elects to participate in the Global Study proposed by Zenas pursuant to </w:t>
      </w:r>
      <w:r>
        <w:rPr>
          <w:rFonts w:ascii="Times New Roman" w:cs="Times New Roman" w:eastAsia="Times New Roman" w:hAnsi="Times New Roman"/>
          <w:sz w:val="15"/>
          <w:szCs w:val="15"/>
          <w:u w:val="single" w:color="auto"/>
          <w:color w:val="auto"/>
        </w:rPr>
        <w:t>Section 4.4.2(a)</w:t>
      </w:r>
      <w:r>
        <w:rPr>
          <w:rFonts w:ascii="Times New Roman" w:cs="Times New Roman" w:eastAsia="Times New Roman" w:hAnsi="Times New Roman"/>
          <w:sz w:val="15"/>
          <w:szCs w:val="15"/>
          <w:color w:val="auto"/>
        </w:rPr>
        <w:t xml:space="preserve">, Licensee shall share the costs for such Global Study in accordance with </w:t>
      </w:r>
      <w:r>
        <w:rPr>
          <w:rFonts w:ascii="Times New Roman" w:cs="Times New Roman" w:eastAsia="Times New Roman" w:hAnsi="Times New Roman"/>
          <w:sz w:val="15"/>
          <w:szCs w:val="15"/>
          <w:u w:val="single" w:color="auto"/>
          <w:color w:val="auto"/>
        </w:rPr>
        <w:t>Section 4.4.5(b)</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jc w:val="both"/>
        <w:ind w:firstLine="2110"/>
        <w:spacing w:after="0" w:line="257" w:lineRule="auto"/>
        <w:rPr>
          <w:sz w:val="20"/>
          <w:szCs w:val="20"/>
          <w:color w:val="auto"/>
        </w:rPr>
      </w:pPr>
      <w:r>
        <w:rPr>
          <w:rFonts w:ascii="Times New Roman" w:cs="Times New Roman" w:eastAsia="Times New Roman" w:hAnsi="Times New Roman"/>
          <w:sz w:val="15"/>
          <w:szCs w:val="15"/>
          <w:color w:val="auto"/>
        </w:rPr>
        <w:t>(f)       For clarity, Zenas may, in its sole discretion, decide whether to participate in any Licensee-proposed Global Study. If Zenas declines to participate in such Licensee-proposed Global Study, then Licensee shall not have the right to perform such Licensee-proposed Global Study outside the Territory, and such study shall not be deemed as a “Global Study” under this Agreement.</w:t>
      </w:r>
    </w:p>
    <w:p>
      <w:pPr>
        <w:spacing w:after="0" w:line="14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(g)       [***]</w:t>
      </w:r>
    </w:p>
    <w:p>
      <w:pPr>
        <w:spacing w:after="0" w:line="179" w:lineRule="exact"/>
        <w:rPr>
          <w:sz w:val="20"/>
          <w:szCs w:val="20"/>
          <w:color w:val="auto"/>
        </w:rPr>
      </w:pPr>
    </w:p>
    <w:p>
      <w:pPr>
        <w:jc w:val="both"/>
        <w:ind w:firstLine="1582"/>
        <w:spacing w:after="0" w:line="250" w:lineRule="auto"/>
        <w:rPr>
          <w:sz w:val="20"/>
          <w:szCs w:val="20"/>
          <w:color w:val="auto"/>
        </w:rPr>
      </w:pPr>
      <w:r>
        <w:rPr>
          <w:rFonts w:ascii="Times New Roman" w:cs="Times New Roman" w:eastAsia="Times New Roman" w:hAnsi="Times New Roman"/>
          <w:sz w:val="15"/>
          <w:szCs w:val="15"/>
          <w:color w:val="auto"/>
        </w:rPr>
        <w:t>4.4.3       For each Joint Global Study: (a) Zenas will be the global study sponsor and will provide the study design and protocol; and (b) unless otherwise agreed by the Parties, Licensee, itself or with or through any other of its Affiliates or sublicensees, will be the sponsor in the Territory, lead the local regulatory interactions, including safety reporting, with the Regulatory Authorities in the Territory, have oversight of study management and operations in the Territory, lead interactions with investigators and ethics boards, be included in the global study team, have a right to review and comment on study design and protocol and amendments thereto (and Zenas shall consider such comments in good faith), and have input into vendor and clinical trial site selection to ensure smooth trial conduct in the Territory.</w:t>
      </w:r>
    </w:p>
    <w:p>
      <w:pPr>
        <w:spacing w:after="0" w:line="15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4.4.4       Zenas agrees not to engage in a Global Study relating to a Combination Product [***].</w:t>
      </w:r>
    </w:p>
    <w:p>
      <w:pPr>
        <w:spacing w:after="0" w:line="17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4.4.5       </w:t>
      </w:r>
      <w:r>
        <w:rPr>
          <w:rFonts w:ascii="Times New Roman" w:cs="Times New Roman" w:eastAsia="Times New Roman" w:hAnsi="Times New Roman"/>
          <w:sz w:val="15"/>
          <w:szCs w:val="15"/>
          <w:b w:val="1"/>
          <w:bCs w:val="1"/>
          <w:color w:val="auto"/>
        </w:rPr>
        <w:t>Costs.</w:t>
      </w:r>
    </w:p>
    <w:p>
      <w:pPr>
        <w:spacing w:after="0" w:line="18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(a)       Zenas shall be responsible for [***] of the costs of each Global Study that is not a Joint Global Study.</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51" w:name="page452"/>
    <w:bookmarkEnd w:id="451"/>
    <w:p>
      <w:pPr>
        <w:jc w:val="both"/>
        <w:ind w:firstLine="2110"/>
        <w:spacing w:after="0" w:line="306" w:lineRule="auto"/>
        <w:rPr>
          <w:sz w:val="20"/>
          <w:szCs w:val="20"/>
          <w:color w:val="auto"/>
        </w:rPr>
      </w:pPr>
      <w:r>
        <w:rPr>
          <w:rFonts w:ascii="Times New Roman" w:cs="Times New Roman" w:eastAsia="Times New Roman" w:hAnsi="Times New Roman"/>
          <w:sz w:val="14"/>
          <w:szCs w:val="14"/>
          <w:color w:val="auto"/>
        </w:rPr>
        <w:t>(b)       With respect to each Joint Global Study [***], all Development Costs incurred by or on behalf of either Party in the performance of the corresponding Joint Development Plan (the “</w:t>
      </w:r>
      <w:r>
        <w:rPr>
          <w:rFonts w:ascii="Times New Roman" w:cs="Times New Roman" w:eastAsia="Times New Roman" w:hAnsi="Times New Roman"/>
          <w:sz w:val="14"/>
          <w:szCs w:val="14"/>
          <w:b w:val="1"/>
          <w:bCs w:val="1"/>
          <w:color w:val="auto"/>
        </w:rPr>
        <w:t>Shared Development Costs</w:t>
      </w:r>
      <w:r>
        <w:rPr>
          <w:rFonts w:ascii="Times New Roman" w:cs="Times New Roman" w:eastAsia="Times New Roman" w:hAnsi="Times New Roman"/>
          <w:sz w:val="14"/>
          <w:szCs w:val="14"/>
          <w:color w:val="auto"/>
        </w:rPr>
        <w:t>”) shall be shared by the Parties so that Zenas bears [***] and Licensee bears [***] of the Shared Development Costs; [***].</w:t>
      </w:r>
    </w:p>
    <w:p>
      <w:pPr>
        <w:spacing w:after="0" w:line="117" w:lineRule="exact"/>
        <w:rPr>
          <w:sz w:val="20"/>
          <w:szCs w:val="20"/>
          <w:color w:val="auto"/>
        </w:rPr>
      </w:pPr>
    </w:p>
    <w:p>
      <w:pPr>
        <w:jc w:val="both"/>
        <w:ind w:firstLine="2110"/>
        <w:spacing w:after="0" w:line="257" w:lineRule="auto"/>
        <w:rPr>
          <w:sz w:val="20"/>
          <w:szCs w:val="20"/>
          <w:color w:val="auto"/>
        </w:rPr>
      </w:pPr>
      <w:r>
        <w:rPr>
          <w:rFonts w:ascii="Times New Roman" w:cs="Times New Roman" w:eastAsia="Times New Roman" w:hAnsi="Times New Roman"/>
          <w:sz w:val="15"/>
          <w:szCs w:val="15"/>
          <w:color w:val="auto"/>
        </w:rPr>
        <w:t>(c)       In addition, each Party shall provide to the JSC for review and discussion an updated projection of estimated Shared Development Costs to be incurred by such Party or its Affiliates for all Joint Development Plans for the then-current Calendar Year, on or prior to June of such Calendar Year. Such projection will contain reasonable details of such projected Development Costs, including at a breakdown of the budgeted Shared Development Costs for each activity in each Joint Development Plan.</w:t>
      </w:r>
    </w:p>
    <w:p>
      <w:pPr>
        <w:spacing w:after="0" w:line="147" w:lineRule="exact"/>
        <w:rPr>
          <w:sz w:val="20"/>
          <w:szCs w:val="20"/>
          <w:color w:val="auto"/>
        </w:rPr>
      </w:pPr>
    </w:p>
    <w:p>
      <w:pPr>
        <w:jc w:val="both"/>
        <w:ind w:firstLine="1582"/>
        <w:spacing w:after="0" w:line="250" w:lineRule="auto"/>
        <w:rPr>
          <w:sz w:val="20"/>
          <w:szCs w:val="20"/>
          <w:color w:val="auto"/>
        </w:rPr>
      </w:pPr>
      <w:r>
        <w:rPr>
          <w:rFonts w:ascii="Times New Roman" w:cs="Times New Roman" w:eastAsia="Times New Roman" w:hAnsi="Times New Roman"/>
          <w:sz w:val="15"/>
          <w:szCs w:val="15"/>
          <w:color w:val="auto"/>
        </w:rPr>
        <w:t>4.4.6       </w:t>
      </w:r>
      <w:r>
        <w:rPr>
          <w:rFonts w:ascii="Times New Roman" w:cs="Times New Roman" w:eastAsia="Times New Roman" w:hAnsi="Times New Roman"/>
          <w:sz w:val="15"/>
          <w:szCs w:val="15"/>
          <w:b w:val="1"/>
          <w:bCs w:val="1"/>
          <w:color w:val="auto"/>
        </w:rPr>
        <w:t>Development Cost Overruns</w:t>
      </w:r>
      <w:r>
        <w:rPr>
          <w:rFonts w:ascii="Times New Roman" w:cs="Times New Roman" w:eastAsia="Times New Roman" w:hAnsi="Times New Roman"/>
          <w:sz w:val="15"/>
          <w:szCs w:val="15"/>
          <w:color w:val="auto"/>
        </w:rPr>
        <w:t xml:space="preserve">. If either Party (or its Affiliate(s)) has incurred any Development Costs in performing activities assigned to it under the Joint Development Plan for a Joint Global Study above the aggregate amount budgeted for such activities in the then-current Joint Development Plan Budget for such Joint Global Study, the portion of any aggregate overspend that is less than or equal to [***] of such budgeted aggregate amount for such activities shall be included in the Development Costs for such Joint Global Study;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such overspend is not attributable to such Party’s gross negligence or willful misconduct in the performance of its obligations under this Agreement (including monitoring any Third Party performing services on behalf of such Party) or a breach of this Agreement by such Party (“</w:t>
      </w:r>
      <w:r>
        <w:rPr>
          <w:rFonts w:ascii="Times New Roman" w:cs="Times New Roman" w:eastAsia="Times New Roman" w:hAnsi="Times New Roman"/>
          <w:sz w:val="15"/>
          <w:szCs w:val="15"/>
          <w:b w:val="1"/>
          <w:bCs w:val="1"/>
          <w:color w:val="auto"/>
        </w:rPr>
        <w:t>Permitted Overrun</w:t>
      </w:r>
      <w:r>
        <w:rPr>
          <w:rFonts w:ascii="Times New Roman" w:cs="Times New Roman" w:eastAsia="Times New Roman" w:hAnsi="Times New Roman"/>
          <w:sz w:val="15"/>
          <w:szCs w:val="15"/>
          <w:color w:val="auto"/>
        </w:rPr>
        <w:t>”). Except as otherwise agreed by the Parties, any amounts incurred by a Party above the Permitted Overrun amounts are the responsibility of the Party that incurred such costs.</w:t>
      </w:r>
    </w:p>
    <w:p>
      <w:pPr>
        <w:spacing w:after="0" w:line="152" w:lineRule="exact"/>
        <w:rPr>
          <w:sz w:val="20"/>
          <w:szCs w:val="20"/>
          <w:color w:val="auto"/>
        </w:rPr>
      </w:pPr>
    </w:p>
    <w:p>
      <w:pPr>
        <w:jc w:val="both"/>
        <w:ind w:firstLine="1582"/>
        <w:spacing w:after="0" w:line="251" w:lineRule="auto"/>
        <w:rPr>
          <w:sz w:val="20"/>
          <w:szCs w:val="20"/>
          <w:color w:val="auto"/>
        </w:rPr>
      </w:pPr>
      <w:r>
        <w:rPr>
          <w:rFonts w:ascii="Times New Roman" w:cs="Times New Roman" w:eastAsia="Times New Roman" w:hAnsi="Times New Roman"/>
          <w:sz w:val="15"/>
          <w:szCs w:val="15"/>
          <w:color w:val="auto"/>
        </w:rPr>
        <w:t>4.4.7       </w:t>
      </w:r>
      <w:r>
        <w:rPr>
          <w:rFonts w:ascii="Times New Roman" w:cs="Times New Roman" w:eastAsia="Times New Roman" w:hAnsi="Times New Roman"/>
          <w:sz w:val="15"/>
          <w:szCs w:val="15"/>
          <w:b w:val="1"/>
          <w:bCs w:val="1"/>
          <w:color w:val="auto"/>
        </w:rPr>
        <w:t>Opt-In to Global Studies</w:t>
      </w:r>
      <w:r>
        <w:rPr>
          <w:rFonts w:ascii="Times New Roman" w:cs="Times New Roman" w:eastAsia="Times New Roman" w:hAnsi="Times New Roman"/>
          <w:sz w:val="15"/>
          <w:szCs w:val="15"/>
          <w:color w:val="auto"/>
        </w:rPr>
        <w:t>. In the event Licensee has elected not to participate in a Global Study, or if Licensee desires to participate in any Global Study that follows a Global Study in which Licensee has elected not to participate (the “</w:t>
      </w:r>
      <w:r>
        <w:rPr>
          <w:rFonts w:ascii="Times New Roman" w:cs="Times New Roman" w:eastAsia="Times New Roman" w:hAnsi="Times New Roman"/>
          <w:sz w:val="15"/>
          <w:szCs w:val="15"/>
          <w:b w:val="1"/>
          <w:bCs w:val="1"/>
          <w:color w:val="auto"/>
        </w:rPr>
        <w:t>Zenas Global Study</w:t>
      </w:r>
      <w:r>
        <w:rPr>
          <w:rFonts w:ascii="Times New Roman" w:cs="Times New Roman" w:eastAsia="Times New Roman" w:hAnsi="Times New Roman"/>
          <w:sz w:val="15"/>
          <w:szCs w:val="15"/>
          <w:color w:val="auto"/>
        </w:rPr>
        <w:t xml:space="preserve">”), then (i) Licensee shall (A) notify Zenas of such in writing and (B) pay to Zenas an amount equal to [***]; and (ii) the Global Study that follows shall thereafter be considered a Joint Global Study, and </w:t>
      </w:r>
      <w:r>
        <w:rPr>
          <w:rFonts w:ascii="Times New Roman" w:cs="Times New Roman" w:eastAsia="Times New Roman" w:hAnsi="Times New Roman"/>
          <w:sz w:val="15"/>
          <w:szCs w:val="15"/>
          <w:u w:val="single" w:color="auto"/>
          <w:color w:val="auto"/>
        </w:rPr>
        <w:t>Sections 4.4.5(b)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4.4.9(b)</w:t>
      </w:r>
      <w:r>
        <w:rPr>
          <w:rFonts w:ascii="Times New Roman" w:cs="Times New Roman" w:eastAsia="Times New Roman" w:hAnsi="Times New Roman"/>
          <w:sz w:val="15"/>
          <w:szCs w:val="15"/>
          <w:color w:val="auto"/>
        </w:rPr>
        <w:t xml:space="preserve"> shall apply for such Joint Global Study. Zenas shall provide Licensee with access to all records and data for the Zenas Global Study promptly (and in no event later than [***] following receipt of the payment made by Licensee pursuant to paragraph (i)(B) of this </w:t>
      </w:r>
      <w:r>
        <w:rPr>
          <w:rFonts w:ascii="Times New Roman" w:cs="Times New Roman" w:eastAsia="Times New Roman" w:hAnsi="Times New Roman"/>
          <w:sz w:val="15"/>
          <w:szCs w:val="15"/>
          <w:u w:val="single" w:color="auto"/>
          <w:color w:val="auto"/>
        </w:rPr>
        <w:t>Section 4.4.7</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jc w:val="both"/>
        <w:ind w:firstLine="1582"/>
        <w:spacing w:after="0" w:line="277" w:lineRule="auto"/>
        <w:rPr>
          <w:sz w:val="20"/>
          <w:szCs w:val="20"/>
          <w:color w:val="auto"/>
        </w:rPr>
      </w:pPr>
      <w:r>
        <w:rPr>
          <w:rFonts w:ascii="Times New Roman" w:cs="Times New Roman" w:eastAsia="Times New Roman" w:hAnsi="Times New Roman"/>
          <w:sz w:val="14"/>
          <w:szCs w:val="14"/>
          <w:color w:val="auto"/>
        </w:rPr>
        <w:t>4.4.8       </w:t>
      </w:r>
      <w:r>
        <w:rPr>
          <w:rFonts w:ascii="Times New Roman" w:cs="Times New Roman" w:eastAsia="Times New Roman" w:hAnsi="Times New Roman"/>
          <w:sz w:val="14"/>
          <w:szCs w:val="14"/>
          <w:b w:val="1"/>
          <w:bCs w:val="1"/>
          <w:color w:val="auto"/>
        </w:rPr>
        <w:t>Reports</w:t>
      </w:r>
      <w:r>
        <w:rPr>
          <w:rFonts w:ascii="Times New Roman" w:cs="Times New Roman" w:eastAsia="Times New Roman" w:hAnsi="Times New Roman"/>
          <w:sz w:val="14"/>
          <w:szCs w:val="14"/>
          <w:color w:val="auto"/>
        </w:rPr>
        <w:t>. Each Party shall report to the other Party in writing, within [***] after the end of each Calendar Quarter, the Shared Development Costs incurred by or on behalf of such Party during such Calendar Quarter on a Joint Global Study-by-Joint Global Study basis. Such report(s) shall specify in reasonable detail all amounts included in the Shared Development Costs during such Calendar Quarter along with sufficient detail to enable the receiving Party to compare such reported Shared Development Costs against the applicable Joint Development Plan Budget. The Parties shall seek to resolve any questions related to such reports within [***] after receipt by each Party of the other Party’s report.</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587" w:right="319" w:bottom="1440" w:gutter="0" w:footer="0" w:header="0"/>
        </w:sectPr>
      </w:pPr>
    </w:p>
    <w:bookmarkStart w:id="452" w:name="page453"/>
    <w:bookmarkEnd w:id="452"/>
    <w:p>
      <w:pPr>
        <w:ind w:left="1600"/>
        <w:spacing w:after="0"/>
        <w:rPr>
          <w:sz w:val="20"/>
          <w:szCs w:val="20"/>
          <w:color w:val="auto"/>
        </w:rPr>
      </w:pPr>
      <w:r>
        <w:rPr>
          <w:rFonts w:ascii="Times New Roman" w:cs="Times New Roman" w:eastAsia="Times New Roman" w:hAnsi="Times New Roman"/>
          <w:sz w:val="15"/>
          <w:szCs w:val="15"/>
          <w:color w:val="auto"/>
        </w:rPr>
        <w:t>4.4.9       </w:t>
      </w:r>
      <w:r>
        <w:rPr>
          <w:rFonts w:ascii="Times New Roman" w:cs="Times New Roman" w:eastAsia="Times New Roman" w:hAnsi="Times New Roman"/>
          <w:sz w:val="15"/>
          <w:szCs w:val="15"/>
          <w:b w:val="1"/>
          <w:bCs w:val="1"/>
          <w:color w:val="auto"/>
        </w:rPr>
        <w:t>Payments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firstLine="2110"/>
        <w:spacing w:after="0" w:line="247" w:lineRule="auto"/>
        <w:rPr>
          <w:sz w:val="20"/>
          <w:szCs w:val="20"/>
          <w:color w:val="auto"/>
        </w:rPr>
      </w:pPr>
      <w:r>
        <w:rPr>
          <w:rFonts w:ascii="Times New Roman" w:cs="Times New Roman" w:eastAsia="Times New Roman" w:hAnsi="Times New Roman"/>
          <w:sz w:val="15"/>
          <w:szCs w:val="15"/>
          <w:color w:val="auto"/>
        </w:rPr>
        <w:t>(a)       </w:t>
      </w:r>
      <w:r>
        <w:rPr>
          <w:rFonts w:ascii="Times New Roman" w:cs="Times New Roman" w:eastAsia="Times New Roman" w:hAnsi="Times New Roman"/>
          <w:sz w:val="15"/>
          <w:szCs w:val="15"/>
          <w:b w:val="1"/>
          <w:bCs w:val="1"/>
          <w:color w:val="auto"/>
        </w:rPr>
        <w:t>Quarterly Payments</w:t>
      </w:r>
      <w:r>
        <w:rPr>
          <w:rFonts w:ascii="Times New Roman" w:cs="Times New Roman" w:eastAsia="Times New Roman" w:hAnsi="Times New Roman"/>
          <w:sz w:val="15"/>
          <w:szCs w:val="15"/>
          <w:color w:val="auto"/>
        </w:rPr>
        <w:t xml:space="preserve">. Unless otherwise specified in the Joint Development Plan or Joint Development Plan Budget, Shared Development Costs initially shall be borne by the Party incurring the Shared Development Cost and thereafter shall be subject to reimbursement by the other Party, if applicable, in accordance with </w:t>
      </w:r>
      <w:r>
        <w:rPr>
          <w:rFonts w:ascii="Times New Roman" w:cs="Times New Roman" w:eastAsia="Times New Roman" w:hAnsi="Times New Roman"/>
          <w:sz w:val="15"/>
          <w:szCs w:val="15"/>
          <w:u w:val="single" w:color="auto"/>
          <w:color w:val="auto"/>
        </w:rPr>
        <w:t>Section 4.4.5(b)</w:t>
      </w:r>
      <w:r>
        <w:rPr>
          <w:rFonts w:ascii="Times New Roman" w:cs="Times New Roman" w:eastAsia="Times New Roman" w:hAnsi="Times New Roman"/>
          <w:sz w:val="15"/>
          <w:szCs w:val="15"/>
          <w:color w:val="auto"/>
        </w:rPr>
        <w:t xml:space="preserve"> and this </w:t>
      </w:r>
      <w:r>
        <w:rPr>
          <w:rFonts w:ascii="Times New Roman" w:cs="Times New Roman" w:eastAsia="Times New Roman" w:hAnsi="Times New Roman"/>
          <w:sz w:val="15"/>
          <w:szCs w:val="15"/>
          <w:u w:val="single" w:color="auto"/>
          <w:color w:val="auto"/>
        </w:rPr>
        <w:t>Section 4.4.9(a)</w:t>
      </w:r>
      <w:r>
        <w:rPr>
          <w:rFonts w:ascii="Times New Roman" w:cs="Times New Roman" w:eastAsia="Times New Roman" w:hAnsi="Times New Roman"/>
          <w:sz w:val="15"/>
          <w:szCs w:val="15"/>
          <w:color w:val="auto"/>
        </w:rPr>
        <w:t xml:space="preserve">. The Parties acknowledge that Zenas has incurred certain Shared Development Costs for the [***] prior to the Effective Date. Within [***] after the Effective Date, Zenas shall invoice Licensee for reimbursement of Licensee’s share of such Development Costs that are incurred on or prior to the Effective Date, consistent with the allocation of such Shared Development Costs set forth in </w:t>
      </w:r>
      <w:r>
        <w:rPr>
          <w:rFonts w:ascii="Times New Roman" w:cs="Times New Roman" w:eastAsia="Times New Roman" w:hAnsi="Times New Roman"/>
          <w:sz w:val="15"/>
          <w:szCs w:val="15"/>
          <w:u w:val="single" w:color="auto"/>
          <w:color w:val="auto"/>
        </w:rPr>
        <w:t>Section 4.4.5(b)</w:t>
      </w:r>
      <w:r>
        <w:rPr>
          <w:rFonts w:ascii="Times New Roman" w:cs="Times New Roman" w:eastAsia="Times New Roman" w:hAnsi="Times New Roman"/>
          <w:sz w:val="15"/>
          <w:szCs w:val="15"/>
          <w:color w:val="auto"/>
        </w:rPr>
        <w:t xml:space="preserve">, and Licensee shall pay such invoice within [***]. Thereafter, within [***] after the end of each Calendar Quarter, the Party that paid more than its share of the Shared Development Costs during such Calendar Quarter shall invoice the other Party for reimbursement to achieve the appropriate allocation of Shared Development Costs provided in </w:t>
      </w:r>
      <w:r>
        <w:rPr>
          <w:rFonts w:ascii="Times New Roman" w:cs="Times New Roman" w:eastAsia="Times New Roman" w:hAnsi="Times New Roman"/>
          <w:sz w:val="15"/>
          <w:szCs w:val="15"/>
          <w:u w:val="single" w:color="auto"/>
          <w:color w:val="auto"/>
        </w:rPr>
        <w:t>Section 4.4.5(b)</w:t>
      </w:r>
      <w:r>
        <w:rPr>
          <w:rFonts w:ascii="Times New Roman" w:cs="Times New Roman" w:eastAsia="Times New Roman" w:hAnsi="Times New Roman"/>
          <w:sz w:val="15"/>
          <w:szCs w:val="15"/>
          <w:color w:val="auto"/>
        </w:rPr>
        <w:t xml:space="preserve"> and such other Party shall pay such invoice within [***]. In the event Zenas fails to pay the reconciliation amount in accordance with </w:t>
      </w:r>
      <w:r>
        <w:rPr>
          <w:rFonts w:ascii="Times New Roman" w:cs="Times New Roman" w:eastAsia="Times New Roman" w:hAnsi="Times New Roman"/>
          <w:sz w:val="15"/>
          <w:szCs w:val="15"/>
          <w:u w:val="single" w:color="auto"/>
          <w:color w:val="auto"/>
        </w:rPr>
        <w:t>Section 4.4.9(b)</w:t>
      </w:r>
      <w:r>
        <w:rPr>
          <w:rFonts w:ascii="Times New Roman" w:cs="Times New Roman" w:eastAsia="Times New Roman" w:hAnsi="Times New Roman"/>
          <w:sz w:val="15"/>
          <w:szCs w:val="15"/>
          <w:color w:val="auto"/>
        </w:rPr>
        <w:t xml:space="preserve"> within the time period specified therein and such amount remains unpaid at the time Licensee is required to reimburse Zenas any Shared Development Costs in the following Calendar Quarter pursuant to this </w:t>
      </w:r>
      <w:r>
        <w:rPr>
          <w:rFonts w:ascii="Times New Roman" w:cs="Times New Roman" w:eastAsia="Times New Roman" w:hAnsi="Times New Roman"/>
          <w:sz w:val="15"/>
          <w:szCs w:val="15"/>
          <w:u w:val="single" w:color="auto"/>
          <w:color w:val="auto"/>
        </w:rPr>
        <w:t>Section 4.4.9(a).</w:t>
      </w:r>
      <w:r>
        <w:rPr>
          <w:rFonts w:ascii="Times New Roman" w:cs="Times New Roman" w:eastAsia="Times New Roman" w:hAnsi="Times New Roman"/>
          <w:sz w:val="15"/>
          <w:szCs w:val="15"/>
          <w:color w:val="auto"/>
        </w:rPr>
        <w:t xml:space="preserve"> Licensee may offset such past-due, unpaid reconciliation amounts from such Shared Development Costs that it is required to pay to Zenas under this </w:t>
      </w:r>
      <w:r>
        <w:rPr>
          <w:rFonts w:ascii="Times New Roman" w:cs="Times New Roman" w:eastAsia="Times New Roman" w:hAnsi="Times New Roman"/>
          <w:sz w:val="15"/>
          <w:szCs w:val="15"/>
          <w:u w:val="single" w:color="auto"/>
          <w:color w:val="auto"/>
        </w:rPr>
        <w:t>Section 4.4.9(a)</w:t>
      </w:r>
      <w:r>
        <w:rPr>
          <w:rFonts w:ascii="Times New Roman" w:cs="Times New Roman" w:eastAsia="Times New Roman" w:hAnsi="Times New Roman"/>
          <w:sz w:val="15"/>
          <w:szCs w:val="15"/>
          <w:color w:val="auto"/>
        </w:rPr>
        <w:t xml:space="preserve"> in the following Calendar Quarter and in each Calendar Quarter thereafter until such amount has been satisfied in full.</w:t>
      </w:r>
    </w:p>
    <w:p>
      <w:pPr>
        <w:spacing w:after="0" w:line="158" w:lineRule="exact"/>
        <w:rPr>
          <w:sz w:val="20"/>
          <w:szCs w:val="20"/>
          <w:color w:val="auto"/>
        </w:rPr>
      </w:pPr>
    </w:p>
    <w:p>
      <w:pPr>
        <w:jc w:val="both"/>
        <w:ind w:firstLine="2110"/>
        <w:spacing w:after="0" w:line="249" w:lineRule="auto"/>
        <w:rPr>
          <w:sz w:val="20"/>
          <w:szCs w:val="20"/>
          <w:color w:val="auto"/>
        </w:rPr>
      </w:pPr>
      <w:r>
        <w:rPr>
          <w:rFonts w:ascii="Times New Roman" w:cs="Times New Roman" w:eastAsia="Times New Roman" w:hAnsi="Times New Roman"/>
          <w:sz w:val="15"/>
          <w:szCs w:val="15"/>
          <w:color w:val="auto"/>
        </w:rPr>
        <w:t>(b)       </w:t>
      </w:r>
      <w:r>
        <w:rPr>
          <w:rFonts w:ascii="Times New Roman" w:cs="Times New Roman" w:eastAsia="Times New Roman" w:hAnsi="Times New Roman"/>
          <w:sz w:val="15"/>
          <w:szCs w:val="15"/>
          <w:b w:val="1"/>
          <w:bCs w:val="1"/>
          <w:color w:val="auto"/>
        </w:rPr>
        <w:t>Reconciliation</w:t>
      </w:r>
      <w:r>
        <w:rPr>
          <w:rFonts w:ascii="Times New Roman" w:cs="Times New Roman" w:eastAsia="Times New Roman" w:hAnsi="Times New Roman"/>
          <w:sz w:val="15"/>
          <w:szCs w:val="15"/>
          <w:color w:val="auto"/>
        </w:rPr>
        <w:t xml:space="preserve">. With respect to each Joint Global Study, following the final patient enrollment for such Joint Global Study, together with the report for the last Calendar Quarter during which the Joint Global Study was conducted, Zenas shall provide Licensee a written notice stating the percentage of patients located in the Territory that were enrolled in such Joint Global Study. In the event that the final patient enrollment in the Territory is less than [***] of the total patients enrolled in such Joint Global Study, then (i) the cost sharing percentage in </w:t>
      </w:r>
      <w:r>
        <w:rPr>
          <w:rFonts w:ascii="Times New Roman" w:cs="Times New Roman" w:eastAsia="Times New Roman" w:hAnsi="Times New Roman"/>
          <w:sz w:val="15"/>
          <w:szCs w:val="15"/>
          <w:u w:val="single" w:color="auto"/>
          <w:color w:val="auto"/>
        </w:rPr>
        <w:t>Section 4.4.5(b)</w:t>
      </w:r>
      <w:r>
        <w:rPr>
          <w:rFonts w:ascii="Times New Roman" w:cs="Times New Roman" w:eastAsia="Times New Roman" w:hAnsi="Times New Roman"/>
          <w:sz w:val="15"/>
          <w:szCs w:val="15"/>
          <w:color w:val="auto"/>
        </w:rPr>
        <w:t xml:space="preserve"> shall be adjusted downward to [***] of patients located in the Territory and (ii) with respect to all Shared Development Costs previously paid by Licensee for such Joint Global Study, Zenas shall reimburse Licensee in cash within [***] in an amount equal to [***] </w:t>
      </w:r>
      <w:r>
        <w:rPr>
          <w:rFonts w:ascii="Times New Roman" w:cs="Times New Roman" w:eastAsia="Times New Roman" w:hAnsi="Times New Roman"/>
          <w:sz w:val="15"/>
          <w:szCs w:val="15"/>
          <w:i w:val="1"/>
          <w:iCs w:val="1"/>
          <w:u w:val="single" w:color="auto"/>
          <w:color w:val="auto"/>
        </w:rPr>
        <w:t>minus</w:t>
      </w:r>
      <w:r>
        <w:rPr>
          <w:rFonts w:ascii="Times New Roman" w:cs="Times New Roman" w:eastAsia="Times New Roman" w:hAnsi="Times New Roman"/>
          <w:sz w:val="15"/>
          <w:szCs w:val="15"/>
          <w:color w:val="auto"/>
        </w:rPr>
        <w:t xml:space="preserve"> the actual percentage of patients located in the Territory for such Joint Global Study </w:t>
      </w:r>
      <w:r>
        <w:rPr>
          <w:rFonts w:ascii="Times New Roman" w:cs="Times New Roman" w:eastAsia="Times New Roman" w:hAnsi="Times New Roman"/>
          <w:sz w:val="15"/>
          <w:szCs w:val="15"/>
          <w:i w:val="1"/>
          <w:iCs w:val="1"/>
          <w:u w:val="single" w:color="auto"/>
          <w:color w:val="auto"/>
        </w:rPr>
        <w:t>multiplied by</w:t>
      </w:r>
      <w:r>
        <w:rPr>
          <w:rFonts w:ascii="Times New Roman" w:cs="Times New Roman" w:eastAsia="Times New Roman" w:hAnsi="Times New Roman"/>
          <w:sz w:val="15"/>
          <w:szCs w:val="15"/>
          <w:color w:val="auto"/>
        </w:rPr>
        <w:t xml:space="preserve"> (y) the total amount of the Shared Development Costs as of the Calendar Quarter immediately preceding the Calendar Quarter in which the final patient enrollment for such Joint Global Study occurred.</w:t>
      </w:r>
    </w:p>
    <w:p>
      <w:pPr>
        <w:spacing w:after="0" w:line="154" w:lineRule="exact"/>
        <w:rPr>
          <w:sz w:val="20"/>
          <w:szCs w:val="20"/>
          <w:color w:val="auto"/>
        </w:rPr>
      </w:pPr>
    </w:p>
    <w:p>
      <w:pPr>
        <w:jc w:val="both"/>
        <w:ind w:firstLine="1055"/>
        <w:spacing w:after="0" w:line="248" w:lineRule="auto"/>
        <w:rPr>
          <w:sz w:val="20"/>
          <w:szCs w:val="20"/>
          <w:color w:val="auto"/>
        </w:rPr>
      </w:pPr>
      <w:r>
        <w:rPr>
          <w:rFonts w:ascii="Times New Roman" w:cs="Times New Roman" w:eastAsia="Times New Roman" w:hAnsi="Times New Roman"/>
          <w:sz w:val="15"/>
          <w:szCs w:val="15"/>
          <w:b w:val="1"/>
          <w:bCs w:val="1"/>
          <w:color w:val="auto"/>
        </w:rPr>
        <w:t>4.5       Development Records</w:t>
      </w:r>
      <w:r>
        <w:rPr>
          <w:rFonts w:ascii="Times New Roman" w:cs="Times New Roman" w:eastAsia="Times New Roman" w:hAnsi="Times New Roman"/>
          <w:sz w:val="15"/>
          <w:szCs w:val="15"/>
          <w:color w:val="auto"/>
        </w:rPr>
        <w:t>. Each Party shall, and shall cause each of its Affiliates and Sublicensees to, maintain current and accurate records of all Development activities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conducted by it and all data and other information resulting from such work (which records shall include, as applicable, books, records, reports, research notes, charts, graphs, comments, computations, analyses, recordings, photographs, computer programs and documentation thereof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samples of materials and other graphic or written data generated in connection with the Development activities)). Such records shall properly reflect all material work done and material results achieved in the performance of the Development activities in sufficient detail and in good scientific manner appropriate for regulatory and patent prosecution or maintenance purposes. Each Party shall document all preclinical studies and clinical trials to be conducted in formal written study reports according to applicable national and international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ICH, GCP and GLP) guidelines. Zenas shall have the right, at reasonable times and upon written request, to review all records maintained by Licensee for the purposes of any Joint Global Study. Licensee shall have the right, at reasonable times and upon written request, to review all records maintained by Zenas for the purposes of the [***] and any Joint Global Study.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53" w:name="page454"/>
    <w:bookmarkEnd w:id="453"/>
    <w:p>
      <w:pPr>
        <w:jc w:val="both"/>
        <w:ind w:firstLine="1055"/>
        <w:spacing w:after="0" w:line="285" w:lineRule="auto"/>
        <w:rPr>
          <w:sz w:val="20"/>
          <w:szCs w:val="20"/>
          <w:color w:val="auto"/>
        </w:rPr>
      </w:pPr>
      <w:r>
        <w:rPr>
          <w:rFonts w:ascii="Times New Roman" w:cs="Times New Roman" w:eastAsia="Times New Roman" w:hAnsi="Times New Roman"/>
          <w:sz w:val="14"/>
          <w:szCs w:val="14"/>
          <w:b w:val="1"/>
          <w:bCs w:val="1"/>
          <w:color w:val="auto"/>
        </w:rPr>
        <w:t>4.6       Right to Subcontract Development Activities</w:t>
      </w:r>
      <w:r>
        <w:rPr>
          <w:rFonts w:ascii="Times New Roman" w:cs="Times New Roman" w:eastAsia="Times New Roman" w:hAnsi="Times New Roman"/>
          <w:sz w:val="14"/>
          <w:szCs w:val="14"/>
          <w:color w:val="auto"/>
        </w:rPr>
        <w:t>. Licensee shall have the right to subcontract the performance of any of the Development activities of the Compound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Products under this Agreement in accordance with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Without limiting the foregoing, neither Party shall enter into a subcontract with any Person that has been debarred, or is subject to debarment, pursuant to Section 306 of the FD&amp;C Act (or any analogous Applicable Laws in the Territory), or that is the subject of a conviction described in such section.</w:t>
      </w:r>
    </w:p>
    <w:p>
      <w:pPr>
        <w:spacing w:after="0" w:line="130" w:lineRule="exact"/>
        <w:rPr>
          <w:sz w:val="20"/>
          <w:szCs w:val="20"/>
          <w:color w:val="auto"/>
        </w:rPr>
      </w:pPr>
    </w:p>
    <w:p>
      <w:pPr>
        <w:jc w:val="both"/>
        <w:ind w:firstLine="1055"/>
        <w:spacing w:after="0" w:line="253" w:lineRule="auto"/>
        <w:rPr>
          <w:sz w:val="20"/>
          <w:szCs w:val="20"/>
          <w:color w:val="auto"/>
        </w:rPr>
      </w:pPr>
      <w:r>
        <w:rPr>
          <w:rFonts w:ascii="Times New Roman" w:cs="Times New Roman" w:eastAsia="Times New Roman" w:hAnsi="Times New Roman"/>
          <w:sz w:val="15"/>
          <w:szCs w:val="15"/>
          <w:b w:val="1"/>
          <w:bCs w:val="1"/>
          <w:color w:val="auto"/>
        </w:rPr>
        <w:t>4.7       Reports of Development Activities</w:t>
      </w:r>
      <w:r>
        <w:rPr>
          <w:rFonts w:ascii="Times New Roman" w:cs="Times New Roman" w:eastAsia="Times New Roman" w:hAnsi="Times New Roman"/>
          <w:sz w:val="15"/>
          <w:szCs w:val="15"/>
          <w:color w:val="auto"/>
        </w:rPr>
        <w:t>. Each Party shall report to the JSC on a Calendar Quarterly basis a high-level summary of their respective progress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Development of the Compound and Products in or for the Territory (including in respect of Joint Global Studies). In addition, each Party shall, during the fourth Calendar Quarter of each Calendar Year, provide the JSC a reasonably detailed report regarding its significant Development activities involving Product during the preceding four (4) Calendar Quarters and a summary of its anticipated Development activities for the Compound and Products in the Territory during the upcoming Calendar Year.</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4.8       Access to Data.</w:t>
      </w:r>
    </w:p>
    <w:p>
      <w:pPr>
        <w:spacing w:after="0" w:line="18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 xml:space="preserve">4.8.1       Subject to </w:t>
      </w:r>
      <w:r>
        <w:rPr>
          <w:rFonts w:ascii="Times New Roman" w:cs="Times New Roman" w:eastAsia="Times New Roman" w:hAnsi="Times New Roman"/>
          <w:sz w:val="15"/>
          <w:szCs w:val="15"/>
          <w:u w:val="single" w:color="auto"/>
          <w:color w:val="auto"/>
        </w:rPr>
        <w:t>Section 4.8.2</w:t>
      </w:r>
      <w:r>
        <w:rPr>
          <w:rFonts w:ascii="Times New Roman" w:cs="Times New Roman" w:eastAsia="Times New Roman" w:hAnsi="Times New Roman"/>
          <w:sz w:val="15"/>
          <w:szCs w:val="15"/>
          <w:color w:val="auto"/>
        </w:rPr>
        <w:t>, each Party shall promptly provide the other Party with access to all Reference Data Controlled by such Party or its Affiliates.</w:t>
      </w:r>
    </w:p>
    <w:p>
      <w:pPr>
        <w:spacing w:after="0" w:line="179" w:lineRule="exact"/>
        <w:rPr>
          <w:sz w:val="20"/>
          <w:szCs w:val="20"/>
          <w:color w:val="auto"/>
        </w:rPr>
      </w:pPr>
    </w:p>
    <w:p>
      <w:pPr>
        <w:jc w:val="both"/>
        <w:ind w:firstLine="1582"/>
        <w:spacing w:after="0" w:line="252" w:lineRule="auto"/>
        <w:rPr>
          <w:sz w:val="20"/>
          <w:szCs w:val="20"/>
          <w:color w:val="auto"/>
        </w:rPr>
      </w:pPr>
      <w:r>
        <w:rPr>
          <w:rFonts w:ascii="Times New Roman" w:cs="Times New Roman" w:eastAsia="Times New Roman" w:hAnsi="Times New Roman"/>
          <w:sz w:val="15"/>
          <w:szCs w:val="15"/>
          <w:color w:val="auto"/>
        </w:rPr>
        <w:t>4.8.2       Notwithstanding any term of this Agreement to the contrary, if Licensee desires to use any Reference Data generated after the Effective Date as part of a Global Study by or on behalf of Zenas or its Affiliates, collaborators or licensees (other than any Reference Data generated under a Joint Global Study or under the [***] in any Regulatory Filing for a Product made with a Regulatory Authority in the Territory, including an IND or an MAA, then Licensee shall pay to Zenas an amount equal to (I) the lower of [***] and [***] of the patients that were enrolled in the Territory for such Global Study [***].</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5.     </w:t>
      </w:r>
      <w:r>
        <w:rPr>
          <w:rFonts w:ascii="Times New Roman" w:cs="Times New Roman" w:eastAsia="Times New Roman" w:hAnsi="Times New Roman"/>
          <w:sz w:val="15"/>
          <w:szCs w:val="15"/>
          <w:b w:val="1"/>
          <w:bCs w:val="1"/>
          <w:u w:val="single" w:color="auto"/>
          <w:color w:val="auto"/>
        </w:rPr>
        <w:t>  Regulatory Matters.</w:t>
      </w:r>
    </w:p>
    <w:p>
      <w:pPr>
        <w:spacing w:after="0" w:line="179" w:lineRule="exact"/>
        <w:rPr>
          <w:sz w:val="20"/>
          <w:szCs w:val="20"/>
          <w:color w:val="auto"/>
        </w:rPr>
      </w:pPr>
    </w:p>
    <w:p>
      <w:pPr>
        <w:jc w:val="both"/>
        <w:ind w:firstLine="1055"/>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5.1       General. </w:t>
      </w:r>
      <w:r>
        <w:rPr>
          <w:rFonts w:ascii="Times New Roman" w:cs="Times New Roman" w:eastAsia="Times New Roman" w:hAnsi="Times New Roman"/>
          <w:sz w:val="14"/>
          <w:szCs w:val="14"/>
          <w:color w:val="auto"/>
        </w:rPr>
        <w:t>Subject to, and in accordance with, the terms and conditions of this Agreement, the requirements of all Applicable Laws and the relevant Development Plan,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Licensee shall prepare and file all Regulatory Filings required to Develop the Compound and Products and, if successful, to obtain and maintain Regulatory Approvals of the Products in the Field in the Territory. Licensee or its Affiliate shall be the applicant and legal and beneficial owner of all Regulatory Filings and Regulatory Approvals for the Compound or Products in the Territory. Zenas will provide reasonable regulatory and administrative support and assistance to Licensee, to be coordinated by the JSC, in connection with the conduct by Licensee of its activities under this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including the submission by Licensee of any Regulatory Filings in the Territory. Without limiting the remainder of this </w:t>
      </w:r>
      <w:r>
        <w:rPr>
          <w:rFonts w:ascii="Times New Roman" w:cs="Times New Roman" w:eastAsia="Times New Roman" w:hAnsi="Times New Roman"/>
          <w:sz w:val="14"/>
          <w:szCs w:val="14"/>
          <w:u w:val="single" w:color="auto"/>
          <w:color w:val="auto"/>
        </w:rPr>
        <w:t>Article 5</w:t>
      </w:r>
      <w:r>
        <w:rPr>
          <w:rFonts w:ascii="Times New Roman" w:cs="Times New Roman" w:eastAsia="Times New Roman" w:hAnsi="Times New Roman"/>
          <w:sz w:val="14"/>
          <w:szCs w:val="14"/>
          <w:color w:val="auto"/>
        </w:rPr>
        <w:t>, Licensee, through the JSC, shall keep Zenas informed in a timely manner of all material events and developments occurring in the course of seeking and obtaining Regulatory Approvals for the Products in the Territory, including material meetings with Regulatory Authorities in the Territory such that Zenas shall have the option to participate in such activities as provided below.</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54" w:name="page455"/>
    <w:bookmarkEnd w:id="454"/>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 xml:space="preserve">5.2       Regulatory Expenses. </w:t>
      </w:r>
      <w:r>
        <w:rPr>
          <w:rFonts w:ascii="Times New Roman" w:cs="Times New Roman" w:eastAsia="Times New Roman" w:hAnsi="Times New Roman"/>
          <w:sz w:val="15"/>
          <w:szCs w:val="15"/>
          <w:color w:val="auto"/>
        </w:rPr>
        <w:t>Licensee shall be responsible for all costs and expenses of preparing, coordinating, maintaining, formatting, and filing Regulatory Filings for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Products in the Territory and for maintaining Regulatory Approval for the Products in the Territory. Licensee shall be responsible for all costs and expenses of providing English translations of all documents (which are not in English) that Licensee is obligated to provide to Zenas under this </w:t>
      </w:r>
      <w:r>
        <w:rPr>
          <w:rFonts w:ascii="Times New Roman" w:cs="Times New Roman" w:eastAsia="Times New Roman" w:hAnsi="Times New Roman"/>
          <w:sz w:val="15"/>
          <w:szCs w:val="15"/>
          <w:u w:val="single" w:color="auto"/>
          <w:color w:val="auto"/>
        </w:rPr>
        <w:t>Article 5</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jc w:val="both"/>
        <w:ind w:firstLine="1055"/>
        <w:spacing w:after="0" w:line="249" w:lineRule="auto"/>
        <w:rPr>
          <w:sz w:val="20"/>
          <w:szCs w:val="20"/>
          <w:color w:val="auto"/>
        </w:rPr>
      </w:pPr>
      <w:r>
        <w:rPr>
          <w:rFonts w:ascii="Times New Roman" w:cs="Times New Roman" w:eastAsia="Times New Roman" w:hAnsi="Times New Roman"/>
          <w:sz w:val="15"/>
          <w:szCs w:val="15"/>
          <w:b w:val="1"/>
          <w:bCs w:val="1"/>
          <w:color w:val="auto"/>
        </w:rPr>
        <w:t xml:space="preserve">5.3       Regulatory Filings. </w:t>
      </w:r>
      <w:r>
        <w:rPr>
          <w:rFonts w:ascii="Times New Roman" w:cs="Times New Roman" w:eastAsia="Times New Roman" w:hAnsi="Times New Roman"/>
          <w:sz w:val="15"/>
          <w:szCs w:val="15"/>
          <w:color w:val="auto"/>
        </w:rPr>
        <w:t>Licensee shall provide to Zenas for review and comment drafts of all material Regulatory Filings in English language in the Territory for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Products no later than [***] prior to the planned submission. Licensee shall consider in good faith any comments received from Zenas on such Regulatory Filings. In addition, Licensee shall notify Zenas in writing of any material Regulatory Filings for the Products and any other material documents, comments or other correspondences related thereto submitted to or received from any Regulatory Authority in the Territory and shall provide Zenas with copies thereof as soon as reasonably practicable, but in all events within [***] after submission or receipt thereof. If any such Regulatory Filing, comment, or correspondence is not in English, then, in addition to a copy thereof in its original language, (a) Licensee shall also provide Zenas with an English summary thereof within the corresponding timelines as set forth in this </w:t>
      </w:r>
      <w:r>
        <w:rPr>
          <w:rFonts w:ascii="Times New Roman" w:cs="Times New Roman" w:eastAsia="Times New Roman" w:hAnsi="Times New Roman"/>
          <w:sz w:val="15"/>
          <w:szCs w:val="15"/>
          <w:u w:val="single" w:color="auto"/>
          <w:color w:val="auto"/>
        </w:rPr>
        <w:t>Article 5</w:t>
      </w:r>
      <w:r>
        <w:rPr>
          <w:rFonts w:ascii="Times New Roman" w:cs="Times New Roman" w:eastAsia="Times New Roman" w:hAnsi="Times New Roman"/>
          <w:sz w:val="15"/>
          <w:szCs w:val="15"/>
          <w:color w:val="auto"/>
        </w:rPr>
        <w:t xml:space="preserve"> at Licensee’s cost; and (b) upon Zenas’s reasonable request, provide Zenas with an English translation thereof at Zenas’s cost.</w:t>
      </w:r>
    </w:p>
    <w:p>
      <w:pPr>
        <w:spacing w:after="0" w:line="15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5.4       Right of Reference.</w:t>
      </w:r>
    </w:p>
    <w:p>
      <w:pPr>
        <w:spacing w:after="0" w:line="181" w:lineRule="exact"/>
        <w:rPr>
          <w:sz w:val="20"/>
          <w:szCs w:val="20"/>
          <w:color w:val="auto"/>
        </w:rPr>
      </w:pPr>
    </w:p>
    <w:p>
      <w:pPr>
        <w:jc w:val="both"/>
        <w:ind w:firstLine="1582"/>
        <w:spacing w:after="0" w:line="250" w:lineRule="auto"/>
        <w:rPr>
          <w:sz w:val="20"/>
          <w:szCs w:val="20"/>
          <w:color w:val="auto"/>
        </w:rPr>
      </w:pPr>
      <w:r>
        <w:rPr>
          <w:rFonts w:ascii="Times New Roman" w:cs="Times New Roman" w:eastAsia="Times New Roman" w:hAnsi="Times New Roman"/>
          <w:sz w:val="15"/>
          <w:szCs w:val="15"/>
          <w:color w:val="auto"/>
        </w:rPr>
        <w:t xml:space="preserve">5.4.1       Licensee hereby grants to Zenas the right of reference to (a) all Regulatory Filings pertaining to the Compound or Product in the Field in the Territory submitted by or on behalf of Licensee or its Affiliates or Sublicensees (and all data contained or referenced therein), with the right to grant further rights of reference to Zenas’s Affiliates and licensees with respect to the Compound or Product, and (b) Reference Data, in each case of (a) and (b), Controlled by Licensee or its Affiliates as of the Effective Date or during the Term and to the extent necessary or reasonably useful to (i) Develop, Manufacture, or Commercialize the Compound or Product outside the Territory, and (ii) exercise its retained rights under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w:t>
      </w:r>
    </w:p>
    <w:p>
      <w:pPr>
        <w:spacing w:after="0" w:line="156" w:lineRule="exact"/>
        <w:rPr>
          <w:sz w:val="20"/>
          <w:szCs w:val="20"/>
          <w:color w:val="auto"/>
        </w:rPr>
      </w:pPr>
    </w:p>
    <w:p>
      <w:pPr>
        <w:jc w:val="both"/>
        <w:ind w:firstLine="1582"/>
        <w:spacing w:after="0" w:line="250" w:lineRule="auto"/>
        <w:rPr>
          <w:sz w:val="20"/>
          <w:szCs w:val="20"/>
          <w:color w:val="auto"/>
        </w:rPr>
      </w:pPr>
      <w:r>
        <w:rPr>
          <w:rFonts w:ascii="Times New Roman" w:cs="Times New Roman" w:eastAsia="Times New Roman" w:hAnsi="Times New Roman"/>
          <w:sz w:val="15"/>
          <w:szCs w:val="15"/>
          <w:color w:val="auto"/>
        </w:rPr>
        <w:t xml:space="preserve">5.4.2       Subject to and in accordance with </w:t>
      </w:r>
      <w:r>
        <w:rPr>
          <w:rFonts w:ascii="Times New Roman" w:cs="Times New Roman" w:eastAsia="Times New Roman" w:hAnsi="Times New Roman"/>
          <w:sz w:val="15"/>
          <w:szCs w:val="15"/>
          <w:u w:val="single" w:color="auto"/>
          <w:color w:val="auto"/>
        </w:rPr>
        <w:t>Section 4.8.2</w:t>
      </w:r>
      <w:r>
        <w:rPr>
          <w:rFonts w:ascii="Times New Roman" w:cs="Times New Roman" w:eastAsia="Times New Roman" w:hAnsi="Times New Roman"/>
          <w:sz w:val="15"/>
          <w:szCs w:val="15"/>
          <w:color w:val="auto"/>
        </w:rPr>
        <w:t xml:space="preserve">, Zenas hereby grants to Licensee the right of reference to (a) all Regulatory Filings pertaining to the Compound or Product in the Field outside the Territory submitted by or on behalf of Zenas or its Affiliates or licensees (other than Licensee) (and all data contained or referenced therein), with the right to grant further rights of reference to its Affiliates and Sublicensees to the extent permitted pursuant to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and (b) Reference Data, in each case of (a) and (b), Controlled by Zenas or its Affiliates as of the Effective Date or during the Term and to the extent necessary or reasonably useful to Develop or Commercialize the Compound or Products in the Field in the Territory.</w:t>
      </w:r>
    </w:p>
    <w:p>
      <w:pPr>
        <w:spacing w:after="0" w:line="154" w:lineRule="exact"/>
        <w:rPr>
          <w:sz w:val="20"/>
          <w:szCs w:val="20"/>
          <w:color w:val="auto"/>
        </w:rPr>
      </w:pPr>
    </w:p>
    <w:p>
      <w:pPr>
        <w:jc w:val="both"/>
        <w:ind w:firstLine="1055"/>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5.5       Notice of Meetings. </w:t>
      </w:r>
      <w:r>
        <w:rPr>
          <w:rFonts w:ascii="Times New Roman" w:cs="Times New Roman" w:eastAsia="Times New Roman" w:hAnsi="Times New Roman"/>
          <w:sz w:val="15"/>
          <w:szCs w:val="15"/>
          <w:color w:val="auto"/>
        </w:rPr>
        <w:t>Licensee shall provide Zenas with notice of any meeting or discussion with any Regulatory Authority in the Territory related to any Product no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later than [***] after receiving notice thereof. Licensee shall lead any such meeting or discussion and Zenas or its designee shall have the right, but not the obligation, to attend any such meeting or discussion in an observer capacity unless prohibited or restricted by Applicable Laws or Regulatory Authority. At Licensee’s request, Zenas shall reasonably cooperate with Licensee in preparing for any such meeting or discussion. If Zenas elects not to attend such meeting or discussion, then Licensee shall provide to Zenas a written summary thereof in English promptly following such meeting or the issuance or approval of the corresponding official minutes by the applicable Regulatory Authority, as applicable.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55" w:name="page456"/>
    <w:bookmarkEnd w:id="455"/>
    <w:p>
      <w:pPr>
        <w:jc w:val="both"/>
        <w:ind w:firstLine="1055"/>
        <w:spacing w:after="0" w:line="268" w:lineRule="auto"/>
        <w:rPr>
          <w:sz w:val="20"/>
          <w:szCs w:val="20"/>
          <w:color w:val="auto"/>
        </w:rPr>
      </w:pPr>
      <w:r>
        <w:rPr>
          <w:rFonts w:ascii="Times New Roman" w:cs="Times New Roman" w:eastAsia="Times New Roman" w:hAnsi="Times New Roman"/>
          <w:sz w:val="14"/>
          <w:szCs w:val="14"/>
          <w:b w:val="1"/>
          <w:bCs w:val="1"/>
          <w:color w:val="auto"/>
        </w:rPr>
        <w:t>5.6       Remedial Actions</w:t>
      </w:r>
      <w:r>
        <w:rPr>
          <w:rFonts w:ascii="Times New Roman" w:cs="Times New Roman" w:eastAsia="Times New Roman" w:hAnsi="Times New Roman"/>
          <w:sz w:val="14"/>
          <w:szCs w:val="14"/>
          <w:color w:val="auto"/>
        </w:rPr>
        <w:t>. Each Party shall notify the other immediately in writing, and promptly confirm such notice in writing, if it obtains information indicating that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 may be subject to any recall, corrective action or other regulatory action by any governmental authority or Regulatory Authority (a “</w:t>
      </w:r>
      <w:r>
        <w:rPr>
          <w:rFonts w:ascii="Times New Roman" w:cs="Times New Roman" w:eastAsia="Times New Roman" w:hAnsi="Times New Roman"/>
          <w:sz w:val="14"/>
          <w:szCs w:val="14"/>
          <w:b w:val="1"/>
          <w:bCs w:val="1"/>
          <w:color w:val="auto"/>
        </w:rPr>
        <w:t>Remedial Action</w:t>
      </w:r>
      <w:r>
        <w:rPr>
          <w:rFonts w:ascii="Times New Roman" w:cs="Times New Roman" w:eastAsia="Times New Roman" w:hAnsi="Times New Roman"/>
          <w:sz w:val="14"/>
          <w:szCs w:val="14"/>
          <w:color w:val="auto"/>
        </w:rPr>
        <w:t xml:space="preserve">”). The Parties shall assist each other in gathering and evaluating such information as is necessary to determine the necessity of conducting a Remedial Action with respect to the Territory. Licensee shall have sole discretion with respect to any matters relating to any Remedial Action in the Territory, including the decision to commence such Remedial Action and the control over such Remedial Action. Zenas shall have sole discretion with respect to any matters relating to any Remedial Action in the Territory to the extent related to any Global Study;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Zenas shall consult with the JSC regarding such matters and reasonably consider the comments of Licensee’s JSC members. Except as otherwise provided under the Clinical Supply Agreement or the Commercial Supply Agreement, the cost and expenses of any Remedial Action in the Territory shall be borne solely by the Party with sole discretion to control such Remedial Action. Each Party shall, and shall ensure that its Affiliates and sublicensees shall, maintain adequate records to permit the Parties to trace the distribution and use of the Product in their respective territory.</w:t>
      </w:r>
    </w:p>
    <w:p>
      <w:pPr>
        <w:spacing w:after="0" w:line="144" w:lineRule="exact"/>
        <w:rPr>
          <w:sz w:val="20"/>
          <w:szCs w:val="20"/>
          <w:color w:val="auto"/>
        </w:rPr>
      </w:pPr>
    </w:p>
    <w:p>
      <w:pPr>
        <w:jc w:val="both"/>
        <w:ind w:firstLine="1055"/>
        <w:spacing w:after="0" w:line="246" w:lineRule="auto"/>
        <w:rPr>
          <w:sz w:val="20"/>
          <w:szCs w:val="20"/>
          <w:color w:val="auto"/>
        </w:rPr>
      </w:pPr>
      <w:r>
        <w:rPr>
          <w:rFonts w:ascii="Times New Roman" w:cs="Times New Roman" w:eastAsia="Times New Roman" w:hAnsi="Times New Roman"/>
          <w:sz w:val="15"/>
          <w:szCs w:val="15"/>
          <w:b w:val="1"/>
          <w:bCs w:val="1"/>
          <w:color w:val="auto"/>
        </w:rPr>
        <w:t>5.7       Safety Database</w:t>
      </w:r>
      <w:r>
        <w:rPr>
          <w:rFonts w:ascii="Times New Roman" w:cs="Times New Roman" w:eastAsia="Times New Roman" w:hAnsi="Times New Roman"/>
          <w:sz w:val="15"/>
          <w:szCs w:val="15"/>
          <w:color w:val="auto"/>
        </w:rPr>
        <w:t>. Within [***] following the Effective Date, the Parties shall negotiate in good faith and enter into a final version of Licensee’s standard form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pharmacovigilance agreement that includes (a) any revisions necessary to tailor such standard form for the Compound and Products and the terms of this Agreement, and (b) any other revisions mutually agreed by the Parties (the “</w:t>
      </w:r>
      <w:r>
        <w:rPr>
          <w:rFonts w:ascii="Times New Roman" w:cs="Times New Roman" w:eastAsia="Times New Roman" w:hAnsi="Times New Roman"/>
          <w:sz w:val="15"/>
          <w:szCs w:val="15"/>
          <w:b w:val="1"/>
          <w:bCs w:val="1"/>
          <w:color w:val="auto"/>
        </w:rPr>
        <w:t>Pharmacovigilance Agreement</w:t>
      </w:r>
      <w:r>
        <w:rPr>
          <w:rFonts w:ascii="Times New Roman" w:cs="Times New Roman" w:eastAsia="Times New Roman" w:hAnsi="Times New Roman"/>
          <w:sz w:val="15"/>
          <w:szCs w:val="15"/>
          <w:color w:val="auto"/>
        </w:rPr>
        <w:t>”). Such Pharmacovigilance Agreement shall (i) provide that Zenas shall hold and be responsible for the maintenance of the global safety database for the Product, and that Licensee shall hold and be responsible for the maintenance of a safety database for the purposes of regulatory reporting for Clinical Studies that Licensee sponsors, (ii) provide that the sponsoring Party for a Clinical Study, shall be responsible for the safety reporting for the Product study and shall lead all pharmacovigilance activities for such study and (iii) include mutually acceptable guidelines and procedures for the receipt, investigation, recordation, communication, and exchange (as between the Parties) of adverse event reports, pregnancy reports, and any other information concerning the safety of the Product. Such guidelines and procedures shall be in accordance with, and enable the Parties and their Affiliates to fulfill, local and international regulatory reporting obligations to government authorities. Furthermore, such agreed procedures shall be consistent with relevant ICH guidelines, except where said guidelines may conflict with existing local regulatory safety reporting requirements or Applicable Law, in which case local reporting requirements or Applicable Law shall prevail. In the event of a conflict between the terms this Agreement and the terms of Pharmacovigilance Agreement, the Pharmacovigilance Agreement shall supersede to the extent related to pharmacovigilance matters associated with any Clinical Study and the terms of this Agreement control with respect to any other matters. In the event that this Agreement is terminated, the Parties agree to implement the necessary procedures and practices to ensure that any outstanding pharmacovigilance reporting obligations are fulfilled. The Pharmacovigilance Agreement shall be promptly updated if required by changes in legal requirements. Each Party hereby agrees to comply with its respective obligations under the Pharmacovigilance Agreement and to cause its Affiliates, licensees and sublicensees to comply with such obligations. Prior to the execution of the Pharmacovigilance Agreement, the Parties shall cooperate in good faith to exchange safety data and other relevant information relating to the Compound and the Products that is necessary to enable the Parties and their Affiliates to fulfill local and international regulatory reporting obligations to government authorities.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56" w:name="page457"/>
    <w:bookmarkEnd w:id="456"/>
    <w:p>
      <w:pPr>
        <w:jc w:val="both"/>
        <w:ind w:firstLine="1055"/>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5.8       No Harmful Actions. </w:t>
      </w:r>
      <w:r>
        <w:rPr>
          <w:rFonts w:ascii="Times New Roman" w:cs="Times New Roman" w:eastAsia="Times New Roman" w:hAnsi="Times New Roman"/>
          <w:sz w:val="15"/>
          <w:szCs w:val="15"/>
          <w:color w:val="auto"/>
        </w:rPr>
        <w:t>If either Party believes that the other Party is taking or intends to take any action with respect to a Product that could have a material adverse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impact upon the regulatory status of the Product in the other Party’s territory, that Party shall have the right to bring the matter to the attention of the JSC and the Parties shall discuss in good faith to resolve such concern. Without limiting the foregoing, unless the Parties otherwise agree: (a) Licensee shall not communicate with any Regulatory Authority having jurisdiction outside the Territory, unless so ordered by such Regulatory Authority, in which case Licensee shall immediately, in writing, notify Zenas of such order; and (b) Licensee shall not submit any Regulatory Filings or seek Regulatory Approvals for the Product outside the Territory.</w:t>
      </w:r>
    </w:p>
    <w:p>
      <w:pPr>
        <w:spacing w:after="0" w:line="153"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 xml:space="preserve">5.9       Notification of Threatened Action. </w:t>
      </w:r>
      <w:r>
        <w:rPr>
          <w:rFonts w:ascii="Times New Roman" w:cs="Times New Roman" w:eastAsia="Times New Roman" w:hAnsi="Times New Roman"/>
          <w:sz w:val="15"/>
          <w:szCs w:val="15"/>
          <w:color w:val="auto"/>
        </w:rPr>
        <w:t>Each Party shall within [***] notify the other Party in writing of any information it receives regarding any threatened or pending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action, inspection or communication by any Third Party, which would reasonably be expected to affect the safety or efficacy claims of any Product or the continued marketing of any Product by Licensee. Upon receipt of such information, the Parties shall consult with each other in an effort to arrive at a mutually acceptable procedure for taking appropriate action.</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6.     </w:t>
      </w:r>
      <w:r>
        <w:rPr>
          <w:rFonts w:ascii="Times New Roman" w:cs="Times New Roman" w:eastAsia="Times New Roman" w:hAnsi="Times New Roman"/>
          <w:sz w:val="15"/>
          <w:szCs w:val="15"/>
          <w:b w:val="1"/>
          <w:bCs w:val="1"/>
          <w:u w:val="single" w:color="auto"/>
          <w:color w:val="auto"/>
        </w:rPr>
        <w:t>  Manufacture and Supply</w:t>
      </w:r>
      <w:r>
        <w:rPr>
          <w:rFonts w:ascii="Times New Roman" w:cs="Times New Roman" w:eastAsia="Times New Roman" w:hAnsi="Times New Roman"/>
          <w:sz w:val="15"/>
          <w:szCs w:val="15"/>
          <w:b w:val="1"/>
          <w:bCs w:val="1"/>
          <w:color w:val="auto"/>
        </w:rPr>
        <w:t>.</w:t>
      </w:r>
    </w:p>
    <w:p>
      <w:pPr>
        <w:spacing w:after="0" w:line="179" w:lineRule="exact"/>
        <w:rPr>
          <w:sz w:val="20"/>
          <w:szCs w:val="20"/>
          <w:color w:val="auto"/>
        </w:rPr>
      </w:pPr>
    </w:p>
    <w:p>
      <w:pPr>
        <w:jc w:val="both"/>
        <w:ind w:firstLine="1055"/>
        <w:spacing w:after="0" w:line="249" w:lineRule="auto"/>
        <w:rPr>
          <w:sz w:val="20"/>
          <w:szCs w:val="20"/>
          <w:color w:val="auto"/>
        </w:rPr>
      </w:pPr>
      <w:r>
        <w:rPr>
          <w:rFonts w:ascii="Times New Roman" w:cs="Times New Roman" w:eastAsia="Times New Roman" w:hAnsi="Times New Roman"/>
          <w:sz w:val="15"/>
          <w:szCs w:val="15"/>
          <w:b w:val="1"/>
          <w:bCs w:val="1"/>
          <w:color w:val="auto"/>
        </w:rPr>
        <w:t>6.1       Clinical Supply</w:t>
      </w:r>
      <w:r>
        <w:rPr>
          <w:rFonts w:ascii="Times New Roman" w:cs="Times New Roman" w:eastAsia="Times New Roman" w:hAnsi="Times New Roman"/>
          <w:sz w:val="15"/>
          <w:szCs w:val="15"/>
          <w:color w:val="auto"/>
        </w:rPr>
        <w:t>. Subject to Licensee’s right to Manufacture as set forth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(a) Zenas shall, itself or through any Affiliate or Third Party, supply all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Licensee’s and its Affiliates’ and Sublicensees’ requirements of Products (and placebo) for Development in the Field in the Territory, subject to the terms of this </w:t>
      </w:r>
      <w:r>
        <w:rPr>
          <w:rFonts w:ascii="Times New Roman" w:cs="Times New Roman" w:eastAsia="Times New Roman" w:hAnsi="Times New Roman"/>
          <w:sz w:val="15"/>
          <w:szCs w:val="15"/>
          <w:u w:val="single" w:color="auto"/>
          <w:color w:val="auto"/>
        </w:rPr>
        <w:t>Section 6.1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xml:space="preserve">, the Clinical Supply Agreement, and the related Clinical Supply Quality Agreement, and (b) Licensee shall purchase all its requirements of the Product for Development in the Field in the Territory exclusively from Zenas. Licensee shall use all Product and placebo supplied by Zenas under this </w:t>
      </w:r>
      <w:r>
        <w:rPr>
          <w:rFonts w:ascii="Times New Roman" w:cs="Times New Roman" w:eastAsia="Times New Roman" w:hAnsi="Times New Roman"/>
          <w:sz w:val="15"/>
          <w:szCs w:val="15"/>
          <w:u w:val="single" w:color="auto"/>
          <w:color w:val="auto"/>
        </w:rPr>
        <w:t>Section 6.1</w:t>
      </w:r>
      <w:r>
        <w:rPr>
          <w:rFonts w:ascii="Times New Roman" w:cs="Times New Roman" w:eastAsia="Times New Roman" w:hAnsi="Times New Roman"/>
          <w:sz w:val="15"/>
          <w:szCs w:val="15"/>
          <w:color w:val="auto"/>
        </w:rPr>
        <w:t xml:space="preserve"> solely to conduct Development of the Products in the Field in the Territory in accordance with the terms of this Agreement and the relevant Development Plan. Customary terms of forecasting and ordering procedures, Product specifications, and other operational matters relating to the supply of the Product under this </w:t>
      </w:r>
      <w:r>
        <w:rPr>
          <w:rFonts w:ascii="Times New Roman" w:cs="Times New Roman" w:eastAsia="Times New Roman" w:hAnsi="Times New Roman"/>
          <w:sz w:val="15"/>
          <w:szCs w:val="15"/>
          <w:u w:val="single" w:color="auto"/>
          <w:color w:val="auto"/>
        </w:rPr>
        <w:t>Section 6.1</w:t>
      </w:r>
      <w:r>
        <w:rPr>
          <w:rFonts w:ascii="Times New Roman" w:cs="Times New Roman" w:eastAsia="Times New Roman" w:hAnsi="Times New Roman"/>
          <w:sz w:val="15"/>
          <w:szCs w:val="15"/>
          <w:color w:val="auto"/>
        </w:rPr>
        <w:t xml:space="preserve"> shall be set forth in a clinical supply agreement to be mutually agreed upon by the Parties within [***] following the Effective Date or such longer period as agreed by the Parties (the “</w:t>
      </w:r>
      <w:r>
        <w:rPr>
          <w:rFonts w:ascii="Times New Roman" w:cs="Times New Roman" w:eastAsia="Times New Roman" w:hAnsi="Times New Roman"/>
          <w:sz w:val="15"/>
          <w:szCs w:val="15"/>
          <w:b w:val="1"/>
          <w:bCs w:val="1"/>
          <w:color w:val="auto"/>
        </w:rPr>
        <w:t>Clinical Supply Agreement</w:t>
      </w:r>
      <w:r>
        <w:rPr>
          <w:rFonts w:ascii="Times New Roman" w:cs="Times New Roman" w:eastAsia="Times New Roman" w:hAnsi="Times New Roman"/>
          <w:sz w:val="15"/>
          <w:szCs w:val="15"/>
          <w:color w:val="auto"/>
        </w:rPr>
        <w:t>”), whereby:</w:t>
      </w:r>
    </w:p>
    <w:p>
      <w:pPr>
        <w:spacing w:after="0" w:line="15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 xml:space="preserve">6.1.1       The Products will be delivered </w:t>
      </w:r>
      <w:r>
        <w:rPr>
          <w:rFonts w:ascii="Times New Roman" w:cs="Times New Roman" w:eastAsia="Times New Roman" w:hAnsi="Times New Roman"/>
          <w:sz w:val="15"/>
          <w:szCs w:val="15"/>
          <w:color w:val="232323"/>
        </w:rPr>
        <w:t>FCA the manufacturing facility (Incoterms 2020).</w:t>
      </w:r>
    </w:p>
    <w:p>
      <w:pPr>
        <w:spacing w:after="0" w:line="179" w:lineRule="exact"/>
        <w:rPr>
          <w:sz w:val="20"/>
          <w:szCs w:val="20"/>
          <w:color w:val="auto"/>
        </w:rPr>
      </w:pPr>
    </w:p>
    <w:p>
      <w:pPr>
        <w:jc w:val="both"/>
        <w:ind w:firstLine="1582"/>
        <w:spacing w:after="0" w:line="269" w:lineRule="auto"/>
        <w:rPr>
          <w:sz w:val="20"/>
          <w:szCs w:val="20"/>
          <w:color w:val="auto"/>
        </w:rPr>
      </w:pPr>
      <w:r>
        <w:rPr>
          <w:rFonts w:ascii="Times New Roman" w:cs="Times New Roman" w:eastAsia="Times New Roman" w:hAnsi="Times New Roman"/>
          <w:sz w:val="15"/>
          <w:szCs w:val="15"/>
          <w:color w:val="auto"/>
        </w:rPr>
        <w:t>6.1.2       All Product and placebo supplied by Zenas for Development use will be supplied at [***]. As between the Parties, Licensee shall be responsible for paying all consumption taxes on Product supplied by Zenas prior to the import of such Product into the Territory.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57" w:name="page458"/>
    <w:bookmarkEnd w:id="457"/>
    <w:p>
      <w:pPr>
        <w:jc w:val="both"/>
        <w:ind w:firstLine="1582"/>
        <w:spacing w:after="0" w:line="269" w:lineRule="auto"/>
        <w:rPr>
          <w:sz w:val="20"/>
          <w:szCs w:val="20"/>
          <w:color w:val="auto"/>
        </w:rPr>
      </w:pPr>
      <w:r>
        <w:rPr>
          <w:rFonts w:ascii="Times New Roman" w:cs="Times New Roman" w:eastAsia="Times New Roman" w:hAnsi="Times New Roman"/>
          <w:sz w:val="15"/>
          <w:szCs w:val="15"/>
          <w:color w:val="auto"/>
        </w:rPr>
        <w:t>6.1.3       The terms of the Clinical Supply Agreement shall be consistent with Zena’s supply agreements with any applicable Third Party contract manufacturers or suppliers within the supply chain for the Product.</w:t>
      </w:r>
    </w:p>
    <w:p>
      <w:pPr>
        <w:spacing w:after="0" w:line="141" w:lineRule="exact"/>
        <w:rPr>
          <w:sz w:val="20"/>
          <w:szCs w:val="20"/>
          <w:color w:val="auto"/>
        </w:rPr>
      </w:pPr>
    </w:p>
    <w:p>
      <w:pPr>
        <w:jc w:val="both"/>
        <w:ind w:firstLine="1582"/>
        <w:spacing w:after="0" w:line="257" w:lineRule="auto"/>
        <w:rPr>
          <w:sz w:val="20"/>
          <w:szCs w:val="20"/>
          <w:color w:val="auto"/>
        </w:rPr>
      </w:pPr>
      <w:r>
        <w:rPr>
          <w:rFonts w:ascii="Times New Roman" w:cs="Times New Roman" w:eastAsia="Times New Roman" w:hAnsi="Times New Roman"/>
          <w:sz w:val="15"/>
          <w:szCs w:val="15"/>
          <w:color w:val="auto"/>
        </w:rPr>
        <w:t>6.1.4       Licensee or its Affiliates shall (a) obtain and maintain all required export or import licenses or authorizations, and shall serve as importer of record for all Products in the Territory pursuant to this Agreement and the Clinical Supply Agreement; and (b) be responsible for shipment and insurance from the manufacturing facility and all customs’ duties, import tariffs, taxes, freight, insurance, inspection costs and the like attributed to or for the transport and importation of the Product in the Territory.</w:t>
      </w:r>
    </w:p>
    <w:p>
      <w:pPr>
        <w:spacing w:after="0" w:line="147" w:lineRule="exact"/>
        <w:rPr>
          <w:sz w:val="20"/>
          <w:szCs w:val="20"/>
          <w:color w:val="auto"/>
        </w:rPr>
      </w:pPr>
    </w:p>
    <w:p>
      <w:pPr>
        <w:jc w:val="both"/>
        <w:ind w:firstLine="1055"/>
        <w:spacing w:after="0" w:line="250" w:lineRule="auto"/>
        <w:rPr>
          <w:sz w:val="20"/>
          <w:szCs w:val="20"/>
          <w:color w:val="auto"/>
        </w:rPr>
      </w:pPr>
      <w:r>
        <w:rPr>
          <w:rFonts w:ascii="Times New Roman" w:cs="Times New Roman" w:eastAsia="Times New Roman" w:hAnsi="Times New Roman"/>
          <w:sz w:val="15"/>
          <w:szCs w:val="15"/>
          <w:b w:val="1"/>
          <w:bCs w:val="1"/>
          <w:color w:val="auto"/>
        </w:rPr>
        <w:t>6.2       Commercial Supply</w:t>
      </w:r>
      <w:r>
        <w:rPr>
          <w:rFonts w:ascii="Times New Roman" w:cs="Times New Roman" w:eastAsia="Times New Roman" w:hAnsi="Times New Roman"/>
          <w:sz w:val="15"/>
          <w:szCs w:val="15"/>
          <w:color w:val="auto"/>
        </w:rPr>
        <w:t>. Subject to Licensee’s right to Manufacture as set forth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(a) Zenas shall, itself or through any Affiliate or Third Party, supply all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Licensee’s and its Affiliates’ and Sublicensees’ requirements of Finished Products for Commercialization in the Field in the Territory, subject to the terms of this </w:t>
      </w:r>
      <w:r>
        <w:rPr>
          <w:rFonts w:ascii="Times New Roman" w:cs="Times New Roman" w:eastAsia="Times New Roman" w:hAnsi="Times New Roman"/>
          <w:sz w:val="15"/>
          <w:szCs w:val="15"/>
          <w:u w:val="single" w:color="auto"/>
          <w:color w:val="auto"/>
        </w:rPr>
        <w:t>Section 6.2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xml:space="preserve">, the Commercial Supply Agreement, and the related Commercial Supply Quality Agreement, and (b) subject to Section 6.5, Licensee shall purchase all its requirements of the Product for Commercialization in the Territory exclusively from Zenas. Customary terms of forecasting and ordering procedures, Product specifications, and other operational matters relating to the supply of the Product under this </w:t>
      </w:r>
      <w:r>
        <w:rPr>
          <w:rFonts w:ascii="Times New Roman" w:cs="Times New Roman" w:eastAsia="Times New Roman" w:hAnsi="Times New Roman"/>
          <w:sz w:val="15"/>
          <w:szCs w:val="15"/>
          <w:u w:val="single" w:color="auto"/>
          <w:color w:val="auto"/>
        </w:rPr>
        <w:t>Section 6.2</w:t>
      </w:r>
      <w:r>
        <w:rPr>
          <w:rFonts w:ascii="Times New Roman" w:cs="Times New Roman" w:eastAsia="Times New Roman" w:hAnsi="Times New Roman"/>
          <w:sz w:val="15"/>
          <w:szCs w:val="15"/>
          <w:color w:val="auto"/>
        </w:rPr>
        <w:t>, shall be set forth in a commercial supply agreement to be mutually agreed upon by the Parties and executed by the Parties no later than [***] prior to the anticipated first Regulatory Approval in the Territory, or such longer period as agreed by the Parties (the “</w:t>
      </w:r>
      <w:r>
        <w:rPr>
          <w:rFonts w:ascii="Times New Roman" w:cs="Times New Roman" w:eastAsia="Times New Roman" w:hAnsi="Times New Roman"/>
          <w:sz w:val="15"/>
          <w:szCs w:val="15"/>
          <w:b w:val="1"/>
          <w:bCs w:val="1"/>
          <w:color w:val="auto"/>
        </w:rPr>
        <w:t>Commercial Supply Agreement</w:t>
      </w:r>
      <w:r>
        <w:rPr>
          <w:rFonts w:ascii="Times New Roman" w:cs="Times New Roman" w:eastAsia="Times New Roman" w:hAnsi="Times New Roman"/>
          <w:sz w:val="15"/>
          <w:szCs w:val="15"/>
          <w:color w:val="auto"/>
        </w:rPr>
        <w:t>”), whereby:</w:t>
      </w:r>
    </w:p>
    <w:p>
      <w:pPr>
        <w:spacing w:after="0" w:line="15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 xml:space="preserve">6.2.1       The Finished Products will be delivered </w:t>
      </w:r>
      <w:r>
        <w:rPr>
          <w:rFonts w:ascii="Times New Roman" w:cs="Times New Roman" w:eastAsia="Times New Roman" w:hAnsi="Times New Roman"/>
          <w:sz w:val="15"/>
          <w:szCs w:val="15"/>
          <w:color w:val="232323"/>
        </w:rPr>
        <w:t>FCA the manufacturing facility (Incoterms 2020).</w:t>
      </w:r>
    </w:p>
    <w:p>
      <w:pPr>
        <w:spacing w:after="0" w:line="179" w:lineRule="exact"/>
        <w:rPr>
          <w:sz w:val="20"/>
          <w:szCs w:val="20"/>
          <w:color w:val="auto"/>
        </w:rPr>
      </w:pPr>
    </w:p>
    <w:p>
      <w:pPr>
        <w:jc w:val="both"/>
        <w:ind w:firstLine="1582"/>
        <w:spacing w:after="0" w:line="269" w:lineRule="auto"/>
        <w:rPr>
          <w:sz w:val="20"/>
          <w:szCs w:val="20"/>
          <w:color w:val="auto"/>
        </w:rPr>
      </w:pPr>
      <w:r>
        <w:rPr>
          <w:rFonts w:ascii="Times New Roman" w:cs="Times New Roman" w:eastAsia="Times New Roman" w:hAnsi="Times New Roman"/>
          <w:sz w:val="15"/>
          <w:szCs w:val="15"/>
          <w:color w:val="auto"/>
        </w:rPr>
        <w:t>6.2.2       All Product supplied by Zenas for commercial use will be supplied at [***]. As between the Parties, Licensee shall be responsible for paying all consumption taxes on Product supplied by Zenas prior to the import of such Product into the Territory.</w:t>
      </w:r>
    </w:p>
    <w:p>
      <w:pPr>
        <w:spacing w:after="0" w:line="141" w:lineRule="exact"/>
        <w:rPr>
          <w:sz w:val="20"/>
          <w:szCs w:val="20"/>
          <w:color w:val="auto"/>
        </w:rPr>
      </w:pPr>
    </w:p>
    <w:p>
      <w:pPr>
        <w:jc w:val="both"/>
        <w:ind w:firstLine="1582"/>
        <w:spacing w:after="0" w:line="269" w:lineRule="auto"/>
        <w:rPr>
          <w:sz w:val="20"/>
          <w:szCs w:val="20"/>
          <w:color w:val="auto"/>
        </w:rPr>
      </w:pPr>
      <w:r>
        <w:rPr>
          <w:rFonts w:ascii="Times New Roman" w:cs="Times New Roman" w:eastAsia="Times New Roman" w:hAnsi="Times New Roman"/>
          <w:sz w:val="15"/>
          <w:szCs w:val="15"/>
          <w:color w:val="auto"/>
        </w:rPr>
        <w:t>6.2.3       The terms of the Commercial Supply Agreement shall be consistent with Zenas’s supply agreements with any applicable Third Party contract manufacturers or suppliers within the supply chain for the Product.</w:t>
      </w:r>
    </w:p>
    <w:p>
      <w:pPr>
        <w:spacing w:after="0" w:line="141" w:lineRule="exact"/>
        <w:rPr>
          <w:sz w:val="20"/>
          <w:szCs w:val="20"/>
          <w:color w:val="auto"/>
        </w:rPr>
      </w:pPr>
    </w:p>
    <w:p>
      <w:pPr>
        <w:jc w:val="both"/>
        <w:ind w:firstLine="1582"/>
        <w:spacing w:after="0" w:line="257" w:lineRule="auto"/>
        <w:rPr>
          <w:sz w:val="20"/>
          <w:szCs w:val="20"/>
          <w:color w:val="auto"/>
        </w:rPr>
      </w:pPr>
      <w:r>
        <w:rPr>
          <w:rFonts w:ascii="Times New Roman" w:cs="Times New Roman" w:eastAsia="Times New Roman" w:hAnsi="Times New Roman"/>
          <w:sz w:val="15"/>
          <w:szCs w:val="15"/>
          <w:color w:val="auto"/>
        </w:rPr>
        <w:t>6.2.4       Licensee or its Affiliates shall (a) obtain and maintain all required export or import licenses or authorizations, and shall serve as importer of record for all Products in the Territory pursuant to this Agreement and the Commercial Supply Agreement; and (b) be responsible for shipment and insurance from the manufacturing facility and all customs’ duties, import tariffs, taxes, freight, insurance, inspection costs and the like attributed to or for the transport and importation of the Product in the Territory.</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458" w:name="page459"/>
    <w:bookmarkEnd w:id="458"/>
    <w:p>
      <w:pPr>
        <w:ind w:left="1060"/>
        <w:spacing w:after="0"/>
        <w:rPr>
          <w:sz w:val="20"/>
          <w:szCs w:val="20"/>
          <w:color w:val="auto"/>
        </w:rPr>
      </w:pPr>
      <w:r>
        <w:rPr>
          <w:rFonts w:ascii="Times New Roman" w:cs="Times New Roman" w:eastAsia="Times New Roman" w:hAnsi="Times New Roman"/>
          <w:sz w:val="15"/>
          <w:szCs w:val="15"/>
          <w:b w:val="1"/>
          <w:bCs w:val="1"/>
          <w:color w:val="auto"/>
        </w:rPr>
        <w:t>6.3       Shortfall.</w:t>
      </w:r>
    </w:p>
    <w:p>
      <w:pPr>
        <w:spacing w:after="0" w:line="181" w:lineRule="exact"/>
        <w:rPr>
          <w:sz w:val="20"/>
          <w:szCs w:val="20"/>
          <w:color w:val="auto"/>
        </w:rPr>
      </w:pPr>
    </w:p>
    <w:p>
      <w:pPr>
        <w:jc w:val="both"/>
        <w:ind w:firstLine="1582"/>
        <w:spacing w:after="0" w:line="268" w:lineRule="auto"/>
        <w:rPr>
          <w:sz w:val="20"/>
          <w:szCs w:val="20"/>
          <w:color w:val="auto"/>
        </w:rPr>
      </w:pPr>
      <w:r>
        <w:rPr>
          <w:rFonts w:ascii="Times New Roman" w:cs="Times New Roman" w:eastAsia="Times New Roman" w:hAnsi="Times New Roman"/>
          <w:sz w:val="14"/>
          <w:szCs w:val="14"/>
          <w:color w:val="auto"/>
        </w:rPr>
        <w:t>6.3.1       If, for any reason, Zenas is not able to Manufacture Licensee’s and its Affiliates’ and Sublicensees’ requirements of (i) clinical supply of Products (and placebo) and/or (ii) Finished Products for Commercialization in the Field in the Territory; provided, that if the shortage is more than [***] of Licensee’s and its Affiliates’ and Sublicensees’ requirements, Zenas will promptly notify in writing (but in no event more than [***] Licensee of such shortage, the nature and cause of the shortage, and when such shortage is expected to end. In such event, Zenas will allocate the Manufacturing capacity and supply of such Product to Licensee and its Affiliates and Sublicensees, Zenas and its Affiliates, and Zenas’s other licensees outside the Territory, if any, on an approximately pro rata basis, based on the quantities of Product required by Licensee and its Affiliates and Sublicensees, Zenas and its Affiliates, and Zenas’s other licensees, as determined based on all purchase orders for Product submitted by any such party under their relevant supply agreements or other arrangements with Zenas or its Affiliates or Third Party contract manufacturing organizations used by Zenas for the Product (or, if Zenas or its Affiliates Manufacture and supply Product for themselves, their internal documented requirements for Product) during the period of such shortage, whether or not such purchase orders are accepted under such supply agreements or other arrangements.</w:t>
      </w:r>
    </w:p>
    <w:p>
      <w:pPr>
        <w:spacing w:after="0" w:line="144" w:lineRule="exact"/>
        <w:rPr>
          <w:sz w:val="20"/>
          <w:szCs w:val="20"/>
          <w:color w:val="auto"/>
        </w:rPr>
      </w:pPr>
    </w:p>
    <w:p>
      <w:pPr>
        <w:jc w:val="both"/>
        <w:ind w:firstLine="1582"/>
        <w:spacing w:after="0" w:line="250" w:lineRule="auto"/>
        <w:rPr>
          <w:sz w:val="20"/>
          <w:szCs w:val="20"/>
          <w:color w:val="auto"/>
        </w:rPr>
      </w:pPr>
      <w:r>
        <w:rPr>
          <w:rFonts w:ascii="Times New Roman" w:cs="Times New Roman" w:eastAsia="Times New Roman" w:hAnsi="Times New Roman"/>
          <w:sz w:val="15"/>
          <w:szCs w:val="15"/>
          <w:color w:val="auto"/>
        </w:rPr>
        <w:t>6.3.2       Zenas will give prompt written notice, but in no event more than [***] to Licensee of any event that would reasonably be expected to affect Zenas’s ability to deliver at least [***] of confirmed orders of Product in accordance with the Clinical Supply Agreement or Commercial Supply Agreement (as applicable). In addition, Zenas will give prompt written notice to Licensee (but in no event more than [***] of any event that would reasonably be expected to affect Zenas’s (or its CMO’s) inventory levels or Manufacturing capacity resulting in a shortage of more than [***] of Licensee’s and its Affiliates’ and Sublicensees’ requirements of Product. If Zenas so notifies Licensee, the JSC will discuss in good faith any steps to prevent or mitigate a supply delay or failure, including any appropriate remediation actions or capacity or forecast adjustments.</w:t>
      </w:r>
    </w:p>
    <w:p>
      <w:pPr>
        <w:spacing w:after="0" w:line="15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6.4       Quality Agreements.</w:t>
      </w:r>
    </w:p>
    <w:p>
      <w:pPr>
        <w:spacing w:after="0" w:line="181" w:lineRule="exact"/>
        <w:rPr>
          <w:sz w:val="20"/>
          <w:szCs w:val="20"/>
          <w:color w:val="auto"/>
        </w:rPr>
      </w:pPr>
    </w:p>
    <w:p>
      <w:pPr>
        <w:jc w:val="both"/>
        <w:ind w:firstLine="1666"/>
        <w:spacing w:after="0" w:line="284" w:lineRule="auto"/>
        <w:rPr>
          <w:sz w:val="20"/>
          <w:szCs w:val="20"/>
          <w:color w:val="auto"/>
        </w:rPr>
      </w:pPr>
      <w:r>
        <w:rPr>
          <w:rFonts w:ascii="Times New Roman" w:cs="Times New Roman" w:eastAsia="Times New Roman" w:hAnsi="Times New Roman"/>
          <w:sz w:val="14"/>
          <w:szCs w:val="14"/>
          <w:color w:val="auto"/>
        </w:rPr>
        <w:t>6.4.1       Within [***] following the Effective Date, or such longer period as agreed by the Parties, the Parties will develop a mutually acceptable quality agreement for clinical supply (to be agreed upon and executed by the Parties) setting forth the Parties’ respective obligations in detail regarding the manufacture, packaging, testing, storage, and release of clinical Product to assure such Product is manufactured according to agreed specifications and complies with Applicable Laws (the “</w:t>
      </w:r>
      <w:r>
        <w:rPr>
          <w:rFonts w:ascii="Times New Roman" w:cs="Times New Roman" w:eastAsia="Times New Roman" w:hAnsi="Times New Roman"/>
          <w:sz w:val="14"/>
          <w:szCs w:val="14"/>
          <w:b w:val="1"/>
          <w:bCs w:val="1"/>
          <w:color w:val="auto"/>
        </w:rPr>
        <w:t>Clinical Supply Quality Agreement</w:t>
      </w:r>
      <w:r>
        <w:rPr>
          <w:rFonts w:ascii="Times New Roman" w:cs="Times New Roman" w:eastAsia="Times New Roman" w:hAnsi="Times New Roman"/>
          <w:sz w:val="14"/>
          <w:szCs w:val="14"/>
          <w:color w:val="auto"/>
        </w:rPr>
        <w:t>”).</w:t>
      </w:r>
    </w:p>
    <w:p>
      <w:pPr>
        <w:spacing w:after="0" w:line="132" w:lineRule="exact"/>
        <w:rPr>
          <w:sz w:val="20"/>
          <w:szCs w:val="20"/>
          <w:color w:val="auto"/>
        </w:rPr>
      </w:pPr>
    </w:p>
    <w:p>
      <w:pPr>
        <w:jc w:val="both"/>
        <w:ind w:firstLine="1582"/>
        <w:spacing w:after="0" w:line="252" w:lineRule="auto"/>
        <w:rPr>
          <w:sz w:val="20"/>
          <w:szCs w:val="20"/>
          <w:color w:val="auto"/>
        </w:rPr>
      </w:pPr>
      <w:r>
        <w:rPr>
          <w:rFonts w:ascii="Times New Roman" w:cs="Times New Roman" w:eastAsia="Times New Roman" w:hAnsi="Times New Roman"/>
          <w:sz w:val="15"/>
          <w:szCs w:val="15"/>
          <w:color w:val="auto"/>
        </w:rPr>
        <w:t>6.4.2       No fewer than [***] prior to the anticipated first Regulatory Approval in the Territory, or such longer period as agreed by the Parties, the JSC will develop a mutually acceptable quality agreement for commercial supply (to be agreed upon and executed by the Parties) setting forth the Parties’ respective obligations in detail regarding the manufacture, packaging, testing, storage, and release of commercial Product to assure such Product is manufactured according to agreed specifications and complies with Applicable Laws (the “</w:t>
      </w:r>
      <w:r>
        <w:rPr>
          <w:rFonts w:ascii="Times New Roman" w:cs="Times New Roman" w:eastAsia="Times New Roman" w:hAnsi="Times New Roman"/>
          <w:sz w:val="15"/>
          <w:szCs w:val="15"/>
          <w:b w:val="1"/>
          <w:bCs w:val="1"/>
          <w:color w:val="auto"/>
        </w:rPr>
        <w:t>Commercial Supply Quality Agreement</w:t>
      </w:r>
      <w:r>
        <w:rPr>
          <w:rFonts w:ascii="Times New Roman" w:cs="Times New Roman" w:eastAsia="Times New Roman" w:hAnsi="Times New Roman"/>
          <w:sz w:val="15"/>
          <w:szCs w:val="15"/>
          <w:color w:val="auto"/>
        </w:rPr>
        <w: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59" w:name="page460"/>
    <w:bookmarkEnd w:id="459"/>
    <w:p>
      <w:pPr>
        <w:ind w:left="1060"/>
        <w:spacing w:after="0"/>
        <w:rPr>
          <w:sz w:val="20"/>
          <w:szCs w:val="20"/>
          <w:color w:val="auto"/>
        </w:rPr>
      </w:pPr>
      <w:r>
        <w:rPr>
          <w:rFonts w:ascii="Times New Roman" w:cs="Times New Roman" w:eastAsia="Times New Roman" w:hAnsi="Times New Roman"/>
          <w:sz w:val="15"/>
          <w:szCs w:val="15"/>
          <w:b w:val="1"/>
          <w:bCs w:val="1"/>
          <w:color w:val="auto"/>
        </w:rPr>
        <w:t>6.5       Licensee Right to Manufacture the Products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6.5.1       Licensee may elect to Manufacture the Product (either itself or through a Third Party contract manufacturer) to support the Development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Commercialization of the Products by Licensee and its Affiliates and Sublicensees in the Field in the Territory (each a “</w:t>
      </w:r>
      <w:r>
        <w:rPr>
          <w:rFonts w:ascii="Times New Roman" w:cs="Times New Roman" w:eastAsia="Times New Roman" w:hAnsi="Times New Roman"/>
          <w:sz w:val="15"/>
          <w:szCs w:val="15"/>
          <w:b w:val="1"/>
          <w:bCs w:val="1"/>
          <w:color w:val="auto"/>
        </w:rPr>
        <w:t>Manufacturing Transfer Election</w:t>
      </w:r>
      <w:r>
        <w:rPr>
          <w:rFonts w:ascii="Times New Roman" w:cs="Times New Roman" w:eastAsia="Times New Roman" w:hAnsi="Times New Roman"/>
          <w:sz w:val="15"/>
          <w:szCs w:val="15"/>
          <w:color w:val="auto"/>
        </w:rPr>
        <w:t>”):</w:t>
      </w:r>
    </w:p>
    <w:p>
      <w:pPr>
        <w:spacing w:after="0" w:line="16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(a)       at any time after the [***] following the Effective Date; or</w:t>
      </w:r>
    </w:p>
    <w:p>
      <w:pPr>
        <w:spacing w:after="0" w:line="179"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(b)       during the [***] following the Effective Date if, for any reason, in any given Calendar Quarter, Zenas fails to supply at least [***] of the total quantity of Product ordered by Licensee scheduled to be delivered during such Calendar Quarter within [***] of the end of such Calendar Quarter (a “</w:t>
      </w:r>
      <w:r>
        <w:rPr>
          <w:rFonts w:ascii="Times New Roman" w:cs="Times New Roman" w:eastAsia="Times New Roman" w:hAnsi="Times New Roman"/>
          <w:sz w:val="15"/>
          <w:szCs w:val="15"/>
          <w:b w:val="1"/>
          <w:bCs w:val="1"/>
          <w:color w:val="auto"/>
        </w:rPr>
        <w:t>Persistent Supply Failure</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jc w:val="both"/>
        <w:ind w:firstLine="1582"/>
        <w:spacing w:after="0" w:line="246" w:lineRule="auto"/>
        <w:rPr>
          <w:sz w:val="20"/>
          <w:szCs w:val="20"/>
          <w:color w:val="auto"/>
        </w:rPr>
      </w:pPr>
      <w:r>
        <w:rPr>
          <w:rFonts w:ascii="Times New Roman" w:cs="Times New Roman" w:eastAsia="Times New Roman" w:hAnsi="Times New Roman"/>
          <w:sz w:val="15"/>
          <w:szCs w:val="15"/>
          <w:color w:val="auto"/>
        </w:rPr>
        <w:t>6.5.2       Licensee may exercise the Manufacturing Transfer Election by providing written notice thereof to Zenas, including the name of any Third Party contract manufacturer proposed by Licensee to Manufacture the Product on Licensee’s behalf (the “</w:t>
      </w:r>
      <w:r>
        <w:rPr>
          <w:rFonts w:ascii="Times New Roman" w:cs="Times New Roman" w:eastAsia="Times New Roman" w:hAnsi="Times New Roman"/>
          <w:sz w:val="15"/>
          <w:szCs w:val="15"/>
          <w:b w:val="1"/>
          <w:bCs w:val="1"/>
          <w:color w:val="auto"/>
        </w:rPr>
        <w:t>Manufacturing Transfer Notice</w:t>
      </w:r>
      <w:r>
        <w:rPr>
          <w:rFonts w:ascii="Times New Roman" w:cs="Times New Roman" w:eastAsia="Times New Roman" w:hAnsi="Times New Roman"/>
          <w:sz w:val="15"/>
          <w:szCs w:val="15"/>
          <w:color w:val="auto"/>
        </w:rPr>
        <w:t>”). If Licensee elects to use a Third Party contract manufacturer to Manufacture the Product on its behalf, then any such Third Party contract manufacturer (a) must be acceptable to Zenas (consent not to be unreasonably withheld, conditioned or delayed by Zenas), and (b) upon the request of Zenas, shall enter into a confidentiality and non-use agreement with Zenas on terms reasonably acceptable to Zenas. Following Zenas’s receipt of the Manufacturing Transfer Notice, the Parties shall cooperate in good faith to negotiate and agree on a written transfer plan to transfer Manufacturing of the Product (including the Zenas Manufacturing Know-How) for use in the Field in the Territory to Licensee (the “</w:t>
      </w:r>
      <w:r>
        <w:rPr>
          <w:rFonts w:ascii="Times New Roman" w:cs="Times New Roman" w:eastAsia="Times New Roman" w:hAnsi="Times New Roman"/>
          <w:sz w:val="15"/>
          <w:szCs w:val="15"/>
          <w:b w:val="1"/>
          <w:bCs w:val="1"/>
          <w:color w:val="auto"/>
        </w:rPr>
        <w:t>Manufacturing Transfer Plan</w:t>
      </w:r>
      <w:r>
        <w:rPr>
          <w:rFonts w:ascii="Times New Roman" w:cs="Times New Roman" w:eastAsia="Times New Roman" w:hAnsi="Times New Roman"/>
          <w:sz w:val="15"/>
          <w:szCs w:val="15"/>
          <w:color w:val="auto"/>
        </w:rPr>
        <w:t xml:space="preserve">”). The Manufacturing Transfer Plan shall include at a minimum the following terms: (i) a reasonable period of time agreed by Zenas before Manufacturing of the Product for the Territory is fully transitioned from Zenas to Licensee; (ii) agreement on mutually satisfactory terms to wind down and terminate the Clinical Supply Agreement and/or the Commercial Supply Agreement, as applicable; and (iii) a technology transfer plan,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technology transfer must be reasonably acceptable to Zenas and conducted at Licensee’s sole cost, including with respect to Zenas’s reasonable and documented internal costs, except in the event of a Persistent Supply Failure, in which case the technology transfer shall be at Zenas’s sole cost. Once agreed, the Manufacturing Transfer Plan shall be incorporated herein by reference, and the Parties will execute on the Manufacturing Transfer Plan. Following the transfer contemplated by the Manufacturing Transfer Plan, Licensee shall ensure that the supply of the Product Manufactured by or on behalf of Licensee and its Affiliates that is introduced into the market for sale in the Field in the Territory meets all quality standards required by Applicable Law, including cGMP.</w:t>
      </w:r>
    </w:p>
    <w:p>
      <w:pPr>
        <w:spacing w:after="0" w:line="1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7.     </w:t>
      </w:r>
      <w:r>
        <w:rPr>
          <w:rFonts w:ascii="Times New Roman" w:cs="Times New Roman" w:eastAsia="Times New Roman" w:hAnsi="Times New Roman"/>
          <w:sz w:val="15"/>
          <w:szCs w:val="15"/>
          <w:b w:val="1"/>
          <w:bCs w:val="1"/>
          <w:u w:val="single" w:color="auto"/>
          <w:color w:val="auto"/>
        </w:rPr>
        <w:t>  Commercialization.</w:t>
      </w:r>
    </w:p>
    <w:p>
      <w:pPr>
        <w:spacing w:after="0" w:line="179" w:lineRule="exact"/>
        <w:rPr>
          <w:sz w:val="20"/>
          <w:szCs w:val="20"/>
          <w:color w:val="auto"/>
        </w:rPr>
      </w:pPr>
    </w:p>
    <w:p>
      <w:pPr>
        <w:jc w:val="both"/>
        <w:ind w:firstLine="1055"/>
        <w:spacing w:after="0" w:line="250" w:lineRule="auto"/>
        <w:rPr>
          <w:sz w:val="20"/>
          <w:szCs w:val="20"/>
          <w:color w:val="auto"/>
        </w:rPr>
      </w:pPr>
      <w:r>
        <w:rPr>
          <w:rFonts w:ascii="Times New Roman" w:cs="Times New Roman" w:eastAsia="Times New Roman" w:hAnsi="Times New Roman"/>
          <w:sz w:val="15"/>
          <w:szCs w:val="15"/>
          <w:b w:val="1"/>
          <w:bCs w:val="1"/>
          <w:color w:val="auto"/>
        </w:rPr>
        <w:t>7.1       Commercialization Activities</w:t>
      </w:r>
      <w:r>
        <w:rPr>
          <w:rFonts w:ascii="Times New Roman" w:cs="Times New Roman" w:eastAsia="Times New Roman" w:hAnsi="Times New Roman"/>
          <w:sz w:val="15"/>
          <w:szCs w:val="15"/>
          <w:color w:val="auto"/>
        </w:rPr>
        <w:t>. Licensee shall have sole and exclusive responsibility, as well as sole control and decision-making authority for all aspects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Commercialization of the Products in the Field in the Territory, including all costs and expenses associated therewith, which Commercialization shall, in any event, be in accordance with this Agreement. Licensee shall use Commercially Reasonable Efforts to Commercialize Products in the Field in Japan, [***] after obtaining the applicable Regulatory Approvals. Licensee shall undertake Commercialization activities with respect to each Compound and Product in the Field in the Territory in accordance with all Applicable Laws and applicable industry professional standards. [***]. The JSC shall discuss proposed commercial strategy for the Products in the Territory and shall consider in good faith any comments from Zenas in relation to such commercial strategy.</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60" w:name="page461"/>
    <w:bookmarkEnd w:id="460"/>
    <w:p>
      <w:pPr>
        <w:jc w:val="both"/>
        <w:ind w:firstLine="1055"/>
        <w:spacing w:after="0" w:line="273" w:lineRule="auto"/>
        <w:rPr>
          <w:sz w:val="20"/>
          <w:szCs w:val="20"/>
          <w:color w:val="auto"/>
        </w:rPr>
      </w:pPr>
      <w:r>
        <w:rPr>
          <w:rFonts w:ascii="Times New Roman" w:cs="Times New Roman" w:eastAsia="Times New Roman" w:hAnsi="Times New Roman"/>
          <w:sz w:val="14"/>
          <w:szCs w:val="14"/>
          <w:b w:val="1"/>
          <w:bCs w:val="1"/>
          <w:color w:val="auto"/>
        </w:rPr>
        <w:t>7.2       Commercialization Plan</w:t>
      </w:r>
      <w:r>
        <w:rPr>
          <w:rFonts w:ascii="Times New Roman" w:cs="Times New Roman" w:eastAsia="Times New Roman" w:hAnsi="Times New Roman"/>
          <w:sz w:val="14"/>
          <w:szCs w:val="14"/>
          <w:color w:val="auto"/>
        </w:rPr>
        <w:t>. Licensee shall develop a reasonably detailed summary of its Commercialization plan for the Compound and the Products in the Field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Territory and the associated budget, which will contain in reasonable detail the major Commercialization activities and the planned timelines for achieving such activities (the “</w:t>
      </w:r>
      <w:r>
        <w:rPr>
          <w:rFonts w:ascii="Times New Roman" w:cs="Times New Roman" w:eastAsia="Times New Roman" w:hAnsi="Times New Roman"/>
          <w:sz w:val="14"/>
          <w:szCs w:val="14"/>
          <w:b w:val="1"/>
          <w:bCs w:val="1"/>
          <w:color w:val="auto"/>
        </w:rPr>
        <w:t>Commercialization Plan</w:t>
      </w:r>
      <w:r>
        <w:rPr>
          <w:rFonts w:ascii="Times New Roman" w:cs="Times New Roman" w:eastAsia="Times New Roman" w:hAnsi="Times New Roman"/>
          <w:sz w:val="14"/>
          <w:szCs w:val="14"/>
          <w:color w:val="auto"/>
        </w:rPr>
        <w:t>”). Licensee shall prepare the Commercialization Plan, which may be updated and revised from time to time by Licensee and discussed with Zenas through the JSC, and shall provide a copy of the initial Commercialization Plan and any material updates thereto promptly to the JSC. Licensee shall consider any comments provided by Zenas through the JSC in good faith. If the terms of the Commercialization Plan contradict, or create inconsistencies or ambiguities with, the terms of this Agreement, then the terms of this Agreement shall govern.</w:t>
      </w:r>
    </w:p>
    <w:p>
      <w:pPr>
        <w:spacing w:after="0" w:line="139"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7.3       Commercialization Reports</w:t>
      </w:r>
      <w:r>
        <w:rPr>
          <w:rFonts w:ascii="Times New Roman" w:cs="Times New Roman" w:eastAsia="Times New Roman" w:hAnsi="Times New Roman"/>
          <w:sz w:val="15"/>
          <w:szCs w:val="15"/>
          <w:color w:val="auto"/>
        </w:rPr>
        <w:t>. Licensee shall report to the JSC on a [***] regarding a high-level summary of Licensee’s Commercialization activities for the Products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Territory and the progress and results thereof. In addition, Licensee shall, during each of the [***] after First Commercial Sale of a Product, provide the JSC a reasonably detailed report regarding its significant Commercialization activities involving Product in the Territory during the preceding [***].</w:t>
      </w:r>
    </w:p>
    <w:p>
      <w:pPr>
        <w:spacing w:after="0" w:line="147" w:lineRule="exact"/>
        <w:rPr>
          <w:sz w:val="20"/>
          <w:szCs w:val="20"/>
          <w:color w:val="auto"/>
        </w:rPr>
      </w:pPr>
    </w:p>
    <w:p>
      <w:pPr>
        <w:jc w:val="both"/>
        <w:ind w:firstLine="1055"/>
        <w:spacing w:after="0" w:line="267" w:lineRule="auto"/>
        <w:rPr>
          <w:sz w:val="20"/>
          <w:szCs w:val="20"/>
          <w:color w:val="auto"/>
        </w:rPr>
      </w:pPr>
      <w:r>
        <w:rPr>
          <w:rFonts w:ascii="Times New Roman" w:cs="Times New Roman" w:eastAsia="Times New Roman" w:hAnsi="Times New Roman"/>
          <w:sz w:val="14"/>
          <w:szCs w:val="14"/>
          <w:b w:val="1"/>
          <w:bCs w:val="1"/>
          <w:color w:val="auto"/>
        </w:rPr>
        <w:t>7.4       Diversion</w:t>
      </w:r>
      <w:r>
        <w:rPr>
          <w:rFonts w:ascii="Times New Roman" w:cs="Times New Roman" w:eastAsia="Times New Roman" w:hAnsi="Times New Roman"/>
          <w:sz w:val="14"/>
          <w:szCs w:val="14"/>
          <w:color w:val="auto"/>
        </w:rPr>
        <w:t>. Subject to Applicable Law, each Party covenants and agrees that it shall not, and shall ensure that its Affiliates and licensees do not, either directly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indirectly, promote, market, distribute, import, sell or have sold any Products, including via the Internet or mail order, to any Third Party or to any address or Internet Protocol address or the like in the other Party’s territory (i.e., the Territory with respect to Licensee, and outside the Territory with respect to Zenas);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each Party shall have the right to attend conferences and meetings of congresses in the other Party’s territory and to promote and market, for their territory, Products to Third Party attendees at such conferences and meetings, subject to this </w:t>
      </w:r>
      <w:r>
        <w:rPr>
          <w:rFonts w:ascii="Times New Roman" w:cs="Times New Roman" w:eastAsia="Times New Roman" w:hAnsi="Times New Roman"/>
          <w:sz w:val="14"/>
          <w:szCs w:val="14"/>
          <w:u w:val="single" w:color="auto"/>
          <w:color w:val="auto"/>
        </w:rPr>
        <w:t>Section 7.4</w:t>
      </w:r>
      <w:r>
        <w:rPr>
          <w:rFonts w:ascii="Times New Roman" w:cs="Times New Roman" w:eastAsia="Times New Roman" w:hAnsi="Times New Roman"/>
          <w:sz w:val="14"/>
          <w:szCs w:val="14"/>
          <w:color w:val="auto"/>
        </w:rPr>
        <w:t xml:space="preserve">. Neither Party shall engage, or shall permit its Affiliates or licensees to engage, in any advertising or promotional activities relating to any Products for use directed primarily to customers or users of Products located in the other Party’s territory, or solicit orders from any prospective purchaser that such Party has reason to believe intends to distribute such Product in the other Party’s territory. If a Party or any of its Affiliates or licensees receives any order for the Products for use from a prospective purchaser that intends to distribute such Product in the other Party’s territory, then such Party shall promptly, but in any event within [***] of receipt, refer that order to such other Party and shall not accept any such orders. Except as otherwise provided herein, neither Party shall, or shall permit its Affiliates or licensees to, deliver or tender (or cause or knowingly permit to be delivered or tendered) any Products for use in the other Party’s territory. Notwithstanding the foregoing, this </w:t>
      </w:r>
      <w:r>
        <w:rPr>
          <w:rFonts w:ascii="Times New Roman" w:cs="Times New Roman" w:eastAsia="Times New Roman" w:hAnsi="Times New Roman"/>
          <w:sz w:val="14"/>
          <w:szCs w:val="14"/>
          <w:u w:val="single" w:color="auto"/>
          <w:color w:val="auto"/>
        </w:rPr>
        <w:t>Section 7.4</w:t>
      </w:r>
      <w:r>
        <w:rPr>
          <w:rFonts w:ascii="Times New Roman" w:cs="Times New Roman" w:eastAsia="Times New Roman" w:hAnsi="Times New Roman"/>
          <w:sz w:val="14"/>
          <w:szCs w:val="14"/>
          <w:color w:val="auto"/>
        </w:rPr>
        <w:t xml:space="preserve"> is not intended to limit, and shall not limit, Zenas’s retained rights as set forth in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8.     </w:t>
      </w:r>
      <w:r>
        <w:rPr>
          <w:rFonts w:ascii="Times New Roman" w:cs="Times New Roman" w:eastAsia="Times New Roman" w:hAnsi="Times New Roman"/>
          <w:sz w:val="15"/>
          <w:szCs w:val="15"/>
          <w:b w:val="1"/>
          <w:bCs w:val="1"/>
          <w:u w:val="single" w:color="auto"/>
          <w:color w:val="auto"/>
        </w:rPr>
        <w:t>  Consideration</w:t>
      </w:r>
      <w:r>
        <w:rPr>
          <w:rFonts w:ascii="Times New Roman" w:cs="Times New Roman" w:eastAsia="Times New Roman" w:hAnsi="Times New Roman"/>
          <w:sz w:val="15"/>
          <w:szCs w:val="15"/>
          <w:b w:val="1"/>
          <w:bCs w:val="1"/>
          <w:color w:val="auto"/>
        </w:rPr>
        <w:t>.</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8.1       Upfront Payment</w:t>
      </w:r>
      <w:r>
        <w:rPr>
          <w:rFonts w:ascii="Times New Roman" w:cs="Times New Roman" w:eastAsia="Times New Roman" w:hAnsi="Times New Roman"/>
          <w:sz w:val="14"/>
          <w:szCs w:val="14"/>
          <w:color w:val="auto"/>
        </w:rPr>
        <w:t>. After the Effective Date, Licensee shall pay to Zenas a one-time, irrevocable, non-refundable, non-creditable upfront payment of Fifty Million 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Dollars ($50,000,000) (the “</w:t>
      </w:r>
      <w:r>
        <w:rPr>
          <w:rFonts w:ascii="Times New Roman" w:cs="Times New Roman" w:eastAsia="Times New Roman" w:hAnsi="Times New Roman"/>
          <w:sz w:val="15"/>
          <w:szCs w:val="15"/>
          <w:b w:val="1"/>
          <w:bCs w:val="1"/>
          <w:color w:val="auto"/>
        </w:rPr>
        <w:t>Upfront Payment</w:t>
      </w:r>
      <w:r>
        <w:rPr>
          <w:rFonts w:ascii="Times New Roman" w:cs="Times New Roman" w:eastAsia="Times New Roman" w:hAnsi="Times New Roman"/>
          <w:sz w:val="15"/>
          <w:szCs w:val="15"/>
          <w:color w:val="auto"/>
        </w:rPr>
        <w:t>”) within [***] of receipt of an invoice from Zenas.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61" w:name="page462"/>
    <w:bookmarkEnd w:id="461"/>
    <w:p>
      <w:pPr>
        <w:ind w:left="1060"/>
        <w:spacing w:after="0"/>
        <w:rPr>
          <w:sz w:val="20"/>
          <w:szCs w:val="20"/>
          <w:color w:val="auto"/>
        </w:rPr>
      </w:pPr>
      <w:r>
        <w:rPr>
          <w:rFonts w:ascii="Times New Roman" w:cs="Times New Roman" w:eastAsia="Times New Roman" w:hAnsi="Times New Roman"/>
          <w:sz w:val="15"/>
          <w:szCs w:val="15"/>
          <w:b w:val="1"/>
          <w:bCs w:val="1"/>
          <w:color w:val="auto"/>
        </w:rPr>
        <w:t>8.2       Milestones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firstLine="1582"/>
        <w:spacing w:after="0" w:line="277" w:lineRule="auto"/>
        <w:rPr>
          <w:sz w:val="20"/>
          <w:szCs w:val="20"/>
          <w:color w:val="auto"/>
        </w:rPr>
      </w:pPr>
      <w:r>
        <w:rPr>
          <w:rFonts w:ascii="Times New Roman" w:cs="Times New Roman" w:eastAsia="Times New Roman" w:hAnsi="Times New Roman"/>
          <w:sz w:val="14"/>
          <w:szCs w:val="14"/>
          <w:color w:val="auto"/>
        </w:rPr>
        <w:t>8.2.1       </w:t>
      </w:r>
      <w:r>
        <w:rPr>
          <w:rFonts w:ascii="Times New Roman" w:cs="Times New Roman" w:eastAsia="Times New Roman" w:hAnsi="Times New Roman"/>
          <w:sz w:val="14"/>
          <w:szCs w:val="14"/>
          <w:b w:val="1"/>
          <w:bCs w:val="1"/>
          <w:color w:val="auto"/>
        </w:rPr>
        <w:t>Development and Regulatory Milestones</w:t>
      </w:r>
      <w:r>
        <w:rPr>
          <w:rFonts w:ascii="Times New Roman" w:cs="Times New Roman" w:eastAsia="Times New Roman" w:hAnsi="Times New Roman"/>
          <w:sz w:val="14"/>
          <w:szCs w:val="14"/>
          <w:color w:val="auto"/>
        </w:rPr>
        <w:t xml:space="preserve">. Licensee shall notify in writing Zenas within [***] of the achievement of the first each of the following development and regulatory milestone events in the Territory. Licensee shall pay Zenas’s invoice with a non-refundable, non-creditable (except any owed and undisputed payments due pursuant to </w:t>
      </w:r>
      <w:r>
        <w:rPr>
          <w:rFonts w:ascii="Times New Roman" w:cs="Times New Roman" w:eastAsia="Times New Roman" w:hAnsi="Times New Roman"/>
          <w:sz w:val="14"/>
          <w:szCs w:val="14"/>
          <w:u w:val="single" w:color="auto"/>
          <w:color w:val="auto"/>
        </w:rPr>
        <w:t>Section 4.4.9(b)</w:t>
      </w:r>
      <w:r>
        <w:rPr>
          <w:rFonts w:ascii="Times New Roman" w:cs="Times New Roman" w:eastAsia="Times New Roman" w:hAnsi="Times New Roman"/>
          <w:sz w:val="14"/>
          <w:szCs w:val="14"/>
          <w:color w:val="auto"/>
        </w:rPr>
        <w:t xml:space="preserve"> and past due for at least [***], one-time milestone payment for each such corresponding milestone within (i) [***] after receipt of such invoice for invoices relating to the [***] and [***] milestone events to be achieved in [***] and (ii) [***] after receipt of such invoice for all others invoices relating to development and regulatory milestone events.</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360" w:type="dxa"/>
            <w:vAlign w:val="bottom"/>
            <w:tcBorders>
              <w:top w:val="single" w:sz="8" w:color="auto"/>
              <w:left w:val="single" w:sz="8" w:color="auto"/>
              <w:right w:val="single" w:sz="8" w:color="auto"/>
            </w:tcBorders>
            <w:vMerge w:val="restart"/>
          </w:tcPr>
          <w:p>
            <w:pPr>
              <w:jc w:val="right"/>
              <w:ind w:right="2167"/>
              <w:spacing w:after="0"/>
              <w:rPr>
                <w:sz w:val="20"/>
                <w:szCs w:val="20"/>
                <w:color w:val="auto"/>
              </w:rPr>
            </w:pPr>
            <w:r>
              <w:rPr>
                <w:rFonts w:ascii="Times New Roman" w:cs="Times New Roman" w:eastAsia="Times New Roman" w:hAnsi="Times New Roman"/>
                <w:sz w:val="15"/>
                <w:szCs w:val="15"/>
                <w:b w:val="1"/>
                <w:bCs w:val="1"/>
                <w:color w:val="auto"/>
              </w:rPr>
              <w:t>Development and Regulatory Milestone Event</w:t>
            </w:r>
          </w:p>
        </w:tc>
        <w:tc>
          <w:tcPr>
            <w:tcW w:w="3920" w:type="dxa"/>
            <w:vAlign w:val="bottom"/>
            <w:tcBorders>
              <w:top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5"/>
                <w:szCs w:val="15"/>
                <w:b w:val="1"/>
                <w:bCs w:val="1"/>
                <w:color w:val="auto"/>
                <w:w w:val="97"/>
              </w:rPr>
              <w:t>Development and Regulatory</w:t>
            </w:r>
          </w:p>
        </w:tc>
        <w:tc>
          <w:tcPr>
            <w:tcW w:w="0" w:type="dxa"/>
            <w:vAlign w:val="bottom"/>
          </w:tcPr>
          <w:p>
            <w:pPr>
              <w:spacing w:after="0"/>
              <w:rPr>
                <w:sz w:val="1"/>
                <w:szCs w:val="1"/>
                <w:color w:val="auto"/>
              </w:rPr>
            </w:pPr>
          </w:p>
        </w:tc>
      </w:tr>
      <w:tr>
        <w:trPr>
          <w:trHeight w:val="105"/>
        </w:trPr>
        <w:tc>
          <w:tcPr>
            <w:tcW w:w="7360" w:type="dxa"/>
            <w:vAlign w:val="bottom"/>
            <w:tcBorders>
              <w:left w:val="single" w:sz="8" w:color="auto"/>
              <w:right w:val="single" w:sz="8" w:color="auto"/>
            </w:tcBorders>
            <w:vMerge w:val="continue"/>
          </w:tcPr>
          <w:p>
            <w:pPr>
              <w:spacing w:after="0"/>
              <w:rPr>
                <w:sz w:val="9"/>
                <w:szCs w:val="9"/>
                <w:color w:val="auto"/>
              </w:rPr>
            </w:pPr>
          </w:p>
        </w:tc>
        <w:tc>
          <w:tcPr>
            <w:tcW w:w="3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Milestone Payment</w:t>
            </w:r>
          </w:p>
        </w:tc>
        <w:tc>
          <w:tcPr>
            <w:tcW w:w="0" w:type="dxa"/>
            <w:vAlign w:val="bottom"/>
          </w:tcPr>
          <w:p>
            <w:pPr>
              <w:spacing w:after="0"/>
              <w:rPr>
                <w:sz w:val="1"/>
                <w:szCs w:val="1"/>
                <w:color w:val="auto"/>
              </w:rPr>
            </w:pPr>
          </w:p>
        </w:tc>
      </w:tr>
      <w:tr>
        <w:trPr>
          <w:trHeight w:val="88"/>
        </w:trPr>
        <w:tc>
          <w:tcPr>
            <w:tcW w:w="7360" w:type="dxa"/>
            <w:vAlign w:val="bottom"/>
            <w:tcBorders>
              <w:left w:val="single" w:sz="8" w:color="auto"/>
              <w:bottom w:val="single" w:sz="8" w:color="auto"/>
              <w:right w:val="single" w:sz="8" w:color="auto"/>
            </w:tcBorders>
          </w:tcPr>
          <w:p>
            <w:pPr>
              <w:spacing w:after="0"/>
              <w:rPr>
                <w:sz w:val="7"/>
                <w:szCs w:val="7"/>
                <w:color w:val="auto"/>
              </w:rPr>
            </w:pPr>
          </w:p>
        </w:tc>
        <w:tc>
          <w:tcPr>
            <w:tcW w:w="3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7360" w:type="dxa"/>
            <w:vAlign w:val="bottom"/>
            <w:tcBorders>
              <w:left w:val="single" w:sz="8" w:color="auto"/>
              <w:bottom w:val="single" w:sz="8" w:color="auto"/>
              <w:right w:val="single" w:sz="8" w:color="auto"/>
            </w:tcBorders>
          </w:tcPr>
          <w:p>
            <w:pPr>
              <w:jc w:val="right"/>
              <w:ind w:right="6927"/>
              <w:spacing w:after="0"/>
              <w:rPr>
                <w:sz w:val="20"/>
                <w:szCs w:val="20"/>
                <w:color w:val="auto"/>
              </w:rPr>
            </w:pPr>
            <w:r>
              <w:rPr>
                <w:rFonts w:ascii="Times New Roman" w:cs="Times New Roman" w:eastAsia="Times New Roman" w:hAnsi="Times New Roman"/>
                <w:sz w:val="15"/>
                <w:szCs w:val="15"/>
                <w:color w:val="auto"/>
              </w:rPr>
              <w:t>[***]</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w:t>
            </w:r>
          </w:p>
        </w:tc>
        <w:tc>
          <w:tcPr>
            <w:tcW w:w="0" w:type="dxa"/>
            <w:vAlign w:val="bottom"/>
          </w:tcPr>
          <w:p>
            <w:pPr>
              <w:spacing w:after="0"/>
              <w:rPr>
                <w:sz w:val="1"/>
                <w:szCs w:val="1"/>
                <w:color w:val="auto"/>
              </w:rPr>
            </w:pPr>
          </w:p>
        </w:tc>
      </w:tr>
      <w:tr>
        <w:trPr>
          <w:trHeight w:val="189"/>
        </w:trPr>
        <w:tc>
          <w:tcPr>
            <w:tcW w:w="7360" w:type="dxa"/>
            <w:vAlign w:val="bottom"/>
            <w:tcBorders>
              <w:left w:val="single" w:sz="8" w:color="auto"/>
              <w:bottom w:val="single" w:sz="8" w:color="auto"/>
              <w:right w:val="single" w:sz="8" w:color="auto"/>
            </w:tcBorders>
          </w:tcPr>
          <w:p>
            <w:pPr>
              <w:jc w:val="right"/>
              <w:ind w:right="6927"/>
              <w:spacing w:after="0"/>
              <w:rPr>
                <w:sz w:val="20"/>
                <w:szCs w:val="20"/>
                <w:color w:val="auto"/>
              </w:rPr>
            </w:pPr>
            <w:r>
              <w:rPr>
                <w:rFonts w:ascii="Times New Roman" w:cs="Times New Roman" w:eastAsia="Times New Roman" w:hAnsi="Times New Roman"/>
                <w:sz w:val="15"/>
                <w:szCs w:val="15"/>
                <w:color w:val="auto"/>
              </w:rPr>
              <w:t>[***]</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w:t>
            </w:r>
          </w:p>
        </w:tc>
        <w:tc>
          <w:tcPr>
            <w:tcW w:w="0" w:type="dxa"/>
            <w:vAlign w:val="bottom"/>
          </w:tcPr>
          <w:p>
            <w:pPr>
              <w:spacing w:after="0"/>
              <w:rPr>
                <w:sz w:val="1"/>
                <w:szCs w:val="1"/>
                <w:color w:val="auto"/>
              </w:rPr>
            </w:pPr>
          </w:p>
        </w:tc>
      </w:tr>
      <w:tr>
        <w:trPr>
          <w:trHeight w:val="189"/>
        </w:trPr>
        <w:tc>
          <w:tcPr>
            <w:tcW w:w="7360" w:type="dxa"/>
            <w:vAlign w:val="bottom"/>
            <w:tcBorders>
              <w:left w:val="single" w:sz="8" w:color="auto"/>
              <w:bottom w:val="single" w:sz="8" w:color="auto"/>
              <w:right w:val="single" w:sz="8" w:color="auto"/>
            </w:tcBorders>
          </w:tcPr>
          <w:p>
            <w:pPr>
              <w:jc w:val="right"/>
              <w:ind w:right="6927"/>
              <w:spacing w:after="0"/>
              <w:rPr>
                <w:sz w:val="20"/>
                <w:szCs w:val="20"/>
                <w:color w:val="auto"/>
              </w:rPr>
            </w:pPr>
            <w:r>
              <w:rPr>
                <w:rFonts w:ascii="Times New Roman" w:cs="Times New Roman" w:eastAsia="Times New Roman" w:hAnsi="Times New Roman"/>
                <w:sz w:val="15"/>
                <w:szCs w:val="15"/>
                <w:color w:val="auto"/>
              </w:rPr>
              <w:t>[***]</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w:t>
            </w:r>
          </w:p>
        </w:tc>
        <w:tc>
          <w:tcPr>
            <w:tcW w:w="0" w:type="dxa"/>
            <w:vAlign w:val="bottom"/>
          </w:tcPr>
          <w:p>
            <w:pPr>
              <w:spacing w:after="0"/>
              <w:rPr>
                <w:sz w:val="1"/>
                <w:szCs w:val="1"/>
                <w:color w:val="auto"/>
              </w:rPr>
            </w:pPr>
          </w:p>
        </w:tc>
      </w:tr>
      <w:tr>
        <w:trPr>
          <w:trHeight w:val="189"/>
        </w:trPr>
        <w:tc>
          <w:tcPr>
            <w:tcW w:w="7360" w:type="dxa"/>
            <w:vAlign w:val="bottom"/>
            <w:tcBorders>
              <w:left w:val="single" w:sz="8" w:color="auto"/>
              <w:bottom w:val="single" w:sz="8" w:color="auto"/>
              <w:right w:val="single" w:sz="8" w:color="auto"/>
            </w:tcBorders>
          </w:tcPr>
          <w:p>
            <w:pPr>
              <w:jc w:val="right"/>
              <w:ind w:right="6927"/>
              <w:spacing w:after="0"/>
              <w:rPr>
                <w:sz w:val="20"/>
                <w:szCs w:val="20"/>
                <w:color w:val="auto"/>
              </w:rPr>
            </w:pPr>
            <w:r>
              <w:rPr>
                <w:rFonts w:ascii="Times New Roman" w:cs="Times New Roman" w:eastAsia="Times New Roman" w:hAnsi="Times New Roman"/>
                <w:sz w:val="15"/>
                <w:szCs w:val="15"/>
                <w:color w:val="auto"/>
              </w:rPr>
              <w:t>[***]</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w:t>
            </w:r>
          </w:p>
        </w:tc>
        <w:tc>
          <w:tcPr>
            <w:tcW w:w="0" w:type="dxa"/>
            <w:vAlign w:val="bottom"/>
          </w:tcPr>
          <w:p>
            <w:pPr>
              <w:spacing w:after="0"/>
              <w:rPr>
                <w:sz w:val="1"/>
                <w:szCs w:val="1"/>
                <w:color w:val="auto"/>
              </w:rPr>
            </w:pPr>
          </w:p>
        </w:tc>
      </w:tr>
      <w:tr>
        <w:trPr>
          <w:trHeight w:val="189"/>
        </w:trPr>
        <w:tc>
          <w:tcPr>
            <w:tcW w:w="7360" w:type="dxa"/>
            <w:vAlign w:val="bottom"/>
            <w:tcBorders>
              <w:left w:val="single" w:sz="8" w:color="auto"/>
              <w:bottom w:val="single" w:sz="8" w:color="auto"/>
              <w:right w:val="single" w:sz="8" w:color="auto"/>
            </w:tcBorders>
          </w:tcPr>
          <w:p>
            <w:pPr>
              <w:jc w:val="right"/>
              <w:ind w:right="6927"/>
              <w:spacing w:after="0"/>
              <w:rPr>
                <w:sz w:val="20"/>
                <w:szCs w:val="20"/>
                <w:color w:val="auto"/>
              </w:rPr>
            </w:pPr>
            <w:r>
              <w:rPr>
                <w:rFonts w:ascii="Times New Roman" w:cs="Times New Roman" w:eastAsia="Times New Roman" w:hAnsi="Times New Roman"/>
                <w:sz w:val="15"/>
                <w:szCs w:val="15"/>
                <w:color w:val="auto"/>
              </w:rPr>
              <w:t>[***]</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w:t>
            </w:r>
          </w:p>
        </w:tc>
        <w:tc>
          <w:tcPr>
            <w:tcW w:w="0" w:type="dxa"/>
            <w:vAlign w:val="bottom"/>
          </w:tcPr>
          <w:p>
            <w:pPr>
              <w:spacing w:after="0"/>
              <w:rPr>
                <w:sz w:val="1"/>
                <w:szCs w:val="1"/>
                <w:color w:val="auto"/>
              </w:rPr>
            </w:pPr>
          </w:p>
        </w:tc>
      </w:tr>
      <w:tr>
        <w:trPr>
          <w:trHeight w:val="189"/>
        </w:trPr>
        <w:tc>
          <w:tcPr>
            <w:tcW w:w="7360" w:type="dxa"/>
            <w:vAlign w:val="bottom"/>
            <w:tcBorders>
              <w:left w:val="single" w:sz="8" w:color="auto"/>
              <w:bottom w:val="single" w:sz="8" w:color="auto"/>
              <w:right w:val="single" w:sz="8" w:color="auto"/>
            </w:tcBorders>
          </w:tcPr>
          <w:p>
            <w:pPr>
              <w:jc w:val="right"/>
              <w:ind w:right="6927"/>
              <w:spacing w:after="0"/>
              <w:rPr>
                <w:sz w:val="20"/>
                <w:szCs w:val="20"/>
                <w:color w:val="auto"/>
              </w:rPr>
            </w:pPr>
            <w:r>
              <w:rPr>
                <w:rFonts w:ascii="Times New Roman" w:cs="Times New Roman" w:eastAsia="Times New Roman" w:hAnsi="Times New Roman"/>
                <w:sz w:val="15"/>
                <w:szCs w:val="15"/>
                <w:color w:val="auto"/>
              </w:rPr>
              <w:t>[***]</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w:t>
            </w:r>
          </w:p>
        </w:tc>
        <w:tc>
          <w:tcPr>
            <w:tcW w:w="0" w:type="dxa"/>
            <w:vAlign w:val="bottom"/>
          </w:tcPr>
          <w:p>
            <w:pPr>
              <w:spacing w:after="0"/>
              <w:rPr>
                <w:sz w:val="1"/>
                <w:szCs w:val="1"/>
                <w:color w:val="auto"/>
              </w:rPr>
            </w:pPr>
          </w:p>
        </w:tc>
      </w:tr>
      <w:tr>
        <w:trPr>
          <w:trHeight w:val="189"/>
        </w:trPr>
        <w:tc>
          <w:tcPr>
            <w:tcW w:w="7360" w:type="dxa"/>
            <w:vAlign w:val="bottom"/>
            <w:tcBorders>
              <w:left w:val="single" w:sz="8" w:color="auto"/>
              <w:bottom w:val="single" w:sz="8" w:color="auto"/>
              <w:right w:val="single" w:sz="8" w:color="auto"/>
            </w:tcBorders>
          </w:tcPr>
          <w:p>
            <w:pPr>
              <w:jc w:val="right"/>
              <w:ind w:right="6927"/>
              <w:spacing w:after="0"/>
              <w:rPr>
                <w:sz w:val="20"/>
                <w:szCs w:val="20"/>
                <w:color w:val="auto"/>
              </w:rPr>
            </w:pPr>
            <w:r>
              <w:rPr>
                <w:rFonts w:ascii="Times New Roman" w:cs="Times New Roman" w:eastAsia="Times New Roman" w:hAnsi="Times New Roman"/>
                <w:sz w:val="15"/>
                <w:szCs w:val="15"/>
                <w:color w:val="auto"/>
              </w:rPr>
              <w:t>[***]</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w:t>
            </w:r>
          </w:p>
        </w:tc>
        <w:tc>
          <w:tcPr>
            <w:tcW w:w="0" w:type="dxa"/>
            <w:vAlign w:val="bottom"/>
          </w:tcPr>
          <w:p>
            <w:pPr>
              <w:spacing w:after="0"/>
              <w:rPr>
                <w:sz w:val="1"/>
                <w:szCs w:val="1"/>
                <w:color w:val="auto"/>
              </w:rPr>
            </w:pPr>
          </w:p>
        </w:tc>
      </w:tr>
      <w:tr>
        <w:trPr>
          <w:trHeight w:val="189"/>
        </w:trPr>
        <w:tc>
          <w:tcPr>
            <w:tcW w:w="7360" w:type="dxa"/>
            <w:vAlign w:val="bottom"/>
            <w:tcBorders>
              <w:left w:val="single" w:sz="8" w:color="auto"/>
              <w:bottom w:val="single" w:sz="8" w:color="auto"/>
              <w:right w:val="single" w:sz="8" w:color="auto"/>
            </w:tcBorders>
          </w:tcPr>
          <w:p>
            <w:pPr>
              <w:jc w:val="right"/>
              <w:ind w:right="6927"/>
              <w:spacing w:after="0"/>
              <w:rPr>
                <w:sz w:val="20"/>
                <w:szCs w:val="20"/>
                <w:color w:val="auto"/>
              </w:rPr>
            </w:pPr>
            <w:r>
              <w:rPr>
                <w:rFonts w:ascii="Times New Roman" w:cs="Times New Roman" w:eastAsia="Times New Roman" w:hAnsi="Times New Roman"/>
                <w:sz w:val="15"/>
                <w:szCs w:val="15"/>
                <w:color w:val="auto"/>
              </w:rPr>
              <w:t>[***]</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w:t>
            </w:r>
          </w:p>
        </w:tc>
        <w:tc>
          <w:tcPr>
            <w:tcW w:w="0" w:type="dxa"/>
            <w:vAlign w:val="bottom"/>
          </w:tcPr>
          <w:p>
            <w:pPr>
              <w:spacing w:after="0"/>
              <w:rPr>
                <w:sz w:val="1"/>
                <w:szCs w:val="1"/>
                <w:color w:val="auto"/>
              </w:rPr>
            </w:pPr>
          </w:p>
        </w:tc>
      </w:tr>
      <w:tr>
        <w:trPr>
          <w:trHeight w:val="189"/>
        </w:trPr>
        <w:tc>
          <w:tcPr>
            <w:tcW w:w="7360" w:type="dxa"/>
            <w:vAlign w:val="bottom"/>
            <w:tcBorders>
              <w:left w:val="single" w:sz="8" w:color="auto"/>
              <w:bottom w:val="single" w:sz="8" w:color="auto"/>
              <w:right w:val="single" w:sz="8" w:color="auto"/>
            </w:tcBorders>
          </w:tcPr>
          <w:p>
            <w:pPr>
              <w:jc w:val="right"/>
              <w:ind w:right="6927"/>
              <w:spacing w:after="0"/>
              <w:rPr>
                <w:sz w:val="20"/>
                <w:szCs w:val="20"/>
                <w:color w:val="auto"/>
              </w:rPr>
            </w:pPr>
            <w:r>
              <w:rPr>
                <w:rFonts w:ascii="Times New Roman" w:cs="Times New Roman" w:eastAsia="Times New Roman" w:hAnsi="Times New Roman"/>
                <w:sz w:val="15"/>
                <w:szCs w:val="15"/>
                <w:color w:val="auto"/>
              </w:rPr>
              <w:t>[***]</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w:t>
            </w:r>
          </w:p>
        </w:tc>
        <w:tc>
          <w:tcPr>
            <w:tcW w:w="0" w:type="dxa"/>
            <w:vAlign w:val="bottom"/>
          </w:tcPr>
          <w:p>
            <w:pPr>
              <w:spacing w:after="0"/>
              <w:rPr>
                <w:sz w:val="1"/>
                <w:szCs w:val="1"/>
                <w:color w:val="auto"/>
              </w:rPr>
            </w:pPr>
          </w:p>
        </w:tc>
      </w:tr>
      <w:tr>
        <w:trPr>
          <w:trHeight w:val="189"/>
        </w:trPr>
        <w:tc>
          <w:tcPr>
            <w:tcW w:w="7360" w:type="dxa"/>
            <w:vAlign w:val="bottom"/>
            <w:tcBorders>
              <w:left w:val="single" w:sz="8" w:color="auto"/>
              <w:bottom w:val="single" w:sz="8" w:color="auto"/>
              <w:right w:val="single" w:sz="8" w:color="auto"/>
            </w:tcBorders>
          </w:tcPr>
          <w:p>
            <w:pPr>
              <w:jc w:val="right"/>
              <w:ind w:right="6927"/>
              <w:spacing w:after="0"/>
              <w:rPr>
                <w:sz w:val="20"/>
                <w:szCs w:val="20"/>
                <w:color w:val="auto"/>
              </w:rPr>
            </w:pPr>
            <w:r>
              <w:rPr>
                <w:rFonts w:ascii="Times New Roman" w:cs="Times New Roman" w:eastAsia="Times New Roman" w:hAnsi="Times New Roman"/>
                <w:sz w:val="15"/>
                <w:szCs w:val="15"/>
                <w:color w:val="auto"/>
              </w:rPr>
              <w:t>[***]</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w:t>
            </w:r>
          </w:p>
        </w:tc>
        <w:tc>
          <w:tcPr>
            <w:tcW w:w="0" w:type="dxa"/>
            <w:vAlign w:val="bottom"/>
          </w:tcPr>
          <w:p>
            <w:pPr>
              <w:spacing w:after="0"/>
              <w:rPr>
                <w:sz w:val="1"/>
                <w:szCs w:val="1"/>
                <w:color w:val="auto"/>
              </w:rPr>
            </w:pPr>
          </w:p>
        </w:tc>
      </w:tr>
      <w:tr>
        <w:trPr>
          <w:trHeight w:val="190"/>
        </w:trPr>
        <w:tc>
          <w:tcPr>
            <w:tcW w:w="736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 xml:space="preserve">US </w:t>
            </w:r>
            <w:r>
              <w:rPr>
                <w:rFonts w:ascii="Times New Roman" w:cs="Times New Roman" w:eastAsia="Times New Roman" w:hAnsi="Times New Roman"/>
                <w:sz w:val="15"/>
                <w:szCs w:val="15"/>
                <w:color w:val="auto"/>
                <w:w w:val="97"/>
              </w:rPr>
              <w:t>[***]</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1582"/>
        <w:spacing w:after="0" w:line="258" w:lineRule="auto"/>
        <w:rPr>
          <w:sz w:val="20"/>
          <w:szCs w:val="20"/>
          <w:color w:val="auto"/>
        </w:rPr>
      </w:pPr>
      <w:r>
        <w:rPr>
          <w:rFonts w:ascii="Times New Roman" w:cs="Times New Roman" w:eastAsia="Times New Roman" w:hAnsi="Times New Roman"/>
          <w:sz w:val="15"/>
          <w:szCs w:val="15"/>
          <w:color w:val="auto"/>
        </w:rPr>
        <w:t>8.2.2       </w:t>
      </w:r>
      <w:r>
        <w:rPr>
          <w:rFonts w:ascii="Times New Roman" w:cs="Times New Roman" w:eastAsia="Times New Roman" w:hAnsi="Times New Roman"/>
          <w:sz w:val="15"/>
          <w:szCs w:val="15"/>
          <w:b w:val="1"/>
          <w:bCs w:val="1"/>
          <w:color w:val="auto"/>
        </w:rPr>
        <w:t>Sales Milestones</w:t>
      </w:r>
      <w:r>
        <w:rPr>
          <w:rFonts w:ascii="Times New Roman" w:cs="Times New Roman" w:eastAsia="Times New Roman" w:hAnsi="Times New Roman"/>
          <w:sz w:val="15"/>
          <w:szCs w:val="15"/>
          <w:color w:val="auto"/>
        </w:rPr>
        <w:t xml:space="preserve">. Licensee shall notify Zenas in writing within [***] of the end of the Calendar Year in which the following sales milestones are first achieved in the Territory, and shall pay Zenas’s invoice with a one-time, non-refundable, non-creditable (except any owed and undisputed payments due pursuant to </w:t>
      </w:r>
      <w:r>
        <w:rPr>
          <w:rFonts w:ascii="Times New Roman" w:cs="Times New Roman" w:eastAsia="Times New Roman" w:hAnsi="Times New Roman"/>
          <w:sz w:val="15"/>
          <w:szCs w:val="15"/>
          <w:u w:val="single" w:color="auto"/>
          <w:color w:val="auto"/>
        </w:rPr>
        <w:t>Section 4.4.9(b)</w:t>
      </w:r>
      <w:r>
        <w:rPr>
          <w:rFonts w:ascii="Times New Roman" w:cs="Times New Roman" w:eastAsia="Times New Roman" w:hAnsi="Times New Roman"/>
          <w:sz w:val="15"/>
          <w:szCs w:val="15"/>
          <w:color w:val="auto"/>
        </w:rPr>
        <w:t xml:space="preserve"> and past due for at least [***] milestone payment for each such milestone within [***] after receipt of such invoice:</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480" w:type="dxa"/>
            <w:vAlign w:val="bottom"/>
            <w:tcBorders>
              <w:top w:val="single" w:sz="8" w:color="auto"/>
              <w:left w:val="single" w:sz="8" w:color="auto"/>
              <w:right w:val="single" w:sz="8" w:color="auto"/>
            </w:tcBorders>
            <w:vMerge w:val="restart"/>
          </w:tcPr>
          <w:p>
            <w:pPr>
              <w:ind w:left="3560"/>
              <w:spacing w:after="0"/>
              <w:rPr>
                <w:sz w:val="20"/>
                <w:szCs w:val="20"/>
                <w:color w:val="auto"/>
              </w:rPr>
            </w:pPr>
            <w:r>
              <w:rPr>
                <w:rFonts w:ascii="Times New Roman" w:cs="Times New Roman" w:eastAsia="Times New Roman" w:hAnsi="Times New Roman"/>
                <w:sz w:val="15"/>
                <w:szCs w:val="15"/>
                <w:b w:val="1"/>
                <w:bCs w:val="1"/>
                <w:color w:val="auto"/>
              </w:rPr>
              <w:t>Sales Milestone Event</w:t>
            </w:r>
          </w:p>
        </w:tc>
        <w:tc>
          <w:tcPr>
            <w:tcW w:w="2800" w:type="dxa"/>
            <w:vAlign w:val="bottom"/>
            <w:tcBorders>
              <w:top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5"/>
                <w:szCs w:val="15"/>
                <w:b w:val="1"/>
                <w:bCs w:val="1"/>
                <w:color w:val="auto"/>
                <w:w w:val="99"/>
              </w:rPr>
              <w:t>Sales Milestone</w:t>
            </w:r>
          </w:p>
        </w:tc>
        <w:tc>
          <w:tcPr>
            <w:tcW w:w="0" w:type="dxa"/>
            <w:vAlign w:val="bottom"/>
          </w:tcPr>
          <w:p>
            <w:pPr>
              <w:spacing w:after="0"/>
              <w:rPr>
                <w:sz w:val="1"/>
                <w:szCs w:val="1"/>
                <w:color w:val="auto"/>
              </w:rPr>
            </w:pPr>
          </w:p>
        </w:tc>
      </w:tr>
      <w:tr>
        <w:trPr>
          <w:trHeight w:val="105"/>
        </w:trPr>
        <w:tc>
          <w:tcPr>
            <w:tcW w:w="8480" w:type="dxa"/>
            <w:vAlign w:val="bottom"/>
            <w:tcBorders>
              <w:left w:val="single" w:sz="8" w:color="auto"/>
              <w:right w:val="single" w:sz="8" w:color="auto"/>
            </w:tcBorders>
            <w:vMerge w:val="continue"/>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Payment</w:t>
            </w:r>
          </w:p>
        </w:tc>
        <w:tc>
          <w:tcPr>
            <w:tcW w:w="0" w:type="dxa"/>
            <w:vAlign w:val="bottom"/>
          </w:tcPr>
          <w:p>
            <w:pPr>
              <w:spacing w:after="0"/>
              <w:rPr>
                <w:sz w:val="1"/>
                <w:szCs w:val="1"/>
                <w:color w:val="auto"/>
              </w:rPr>
            </w:pPr>
          </w:p>
        </w:tc>
      </w:tr>
      <w:tr>
        <w:trPr>
          <w:trHeight w:val="88"/>
        </w:trPr>
        <w:tc>
          <w:tcPr>
            <w:tcW w:w="8480" w:type="dxa"/>
            <w:vAlign w:val="bottom"/>
            <w:tcBorders>
              <w:left w:val="single" w:sz="8" w:color="auto"/>
              <w:bottom w:val="single" w:sz="8" w:color="auto"/>
              <w:right w:val="single" w:sz="8" w:color="auto"/>
            </w:tcBorders>
          </w:tcPr>
          <w:p>
            <w:pPr>
              <w:spacing w:after="0"/>
              <w:rPr>
                <w:sz w:val="7"/>
                <w:szCs w:val="7"/>
                <w:color w:val="auto"/>
              </w:rPr>
            </w:pPr>
          </w:p>
        </w:tc>
        <w:tc>
          <w:tcPr>
            <w:tcW w:w="28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848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color w:val="auto"/>
              </w:rPr>
              <w:t>Upon the Net Sales in the Territory of a Product in a given Calendar Year equaling or exceeding [***]</w:t>
            </w:r>
          </w:p>
        </w:tc>
        <w:tc>
          <w:tcPr>
            <w:tcW w:w="280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w:t>
            </w:r>
          </w:p>
        </w:tc>
        <w:tc>
          <w:tcPr>
            <w:tcW w:w="0" w:type="dxa"/>
            <w:vAlign w:val="bottom"/>
          </w:tcPr>
          <w:p>
            <w:pPr>
              <w:spacing w:after="0"/>
              <w:rPr>
                <w:sz w:val="1"/>
                <w:szCs w:val="1"/>
                <w:color w:val="auto"/>
              </w:rPr>
            </w:pPr>
          </w:p>
        </w:tc>
      </w:tr>
      <w:tr>
        <w:trPr>
          <w:trHeight w:val="167"/>
        </w:trPr>
        <w:tc>
          <w:tcPr>
            <w:tcW w:w="848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color w:val="auto"/>
              </w:rPr>
              <w:t>Upon the Net Sales in the Territory of a Product in a given Calendar Year equaling or exceeding [***]</w:t>
            </w:r>
          </w:p>
        </w:tc>
        <w:tc>
          <w:tcPr>
            <w:tcW w:w="280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w:t>
            </w:r>
          </w:p>
        </w:tc>
        <w:tc>
          <w:tcPr>
            <w:tcW w:w="0" w:type="dxa"/>
            <w:vAlign w:val="bottom"/>
          </w:tcPr>
          <w:p>
            <w:pPr>
              <w:spacing w:after="0"/>
              <w:rPr>
                <w:sz w:val="1"/>
                <w:szCs w:val="1"/>
                <w:color w:val="auto"/>
              </w:rPr>
            </w:pPr>
          </w:p>
        </w:tc>
      </w:tr>
      <w:tr>
        <w:trPr>
          <w:trHeight w:val="167"/>
        </w:trPr>
        <w:tc>
          <w:tcPr>
            <w:tcW w:w="848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color w:val="auto"/>
              </w:rPr>
              <w:t>Upon the Net Sales in the Territory of a Product in a given Calendar Year equaling or exceeding [***]</w:t>
            </w:r>
          </w:p>
        </w:tc>
        <w:tc>
          <w:tcPr>
            <w:tcW w:w="280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w:t>
            </w:r>
          </w:p>
        </w:tc>
        <w:tc>
          <w:tcPr>
            <w:tcW w:w="0" w:type="dxa"/>
            <w:vAlign w:val="bottom"/>
          </w:tcPr>
          <w:p>
            <w:pPr>
              <w:spacing w:after="0"/>
              <w:rPr>
                <w:sz w:val="1"/>
                <w:szCs w:val="1"/>
                <w:color w:val="auto"/>
              </w:rPr>
            </w:pPr>
          </w:p>
        </w:tc>
      </w:tr>
      <w:tr>
        <w:trPr>
          <w:trHeight w:val="167"/>
        </w:trPr>
        <w:tc>
          <w:tcPr>
            <w:tcW w:w="848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b w:val="1"/>
                <w:bCs w:val="1"/>
                <w:color w:val="auto"/>
              </w:rPr>
              <w:t>TOTAL:</w:t>
            </w:r>
          </w:p>
        </w:tc>
        <w:tc>
          <w:tcPr>
            <w:tcW w:w="280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b w:val="1"/>
                <w:bCs w:val="1"/>
                <w:color w:val="auto"/>
                <w:w w:val="97"/>
              </w:rPr>
              <w:t>US$</w:t>
            </w:r>
            <w:r>
              <w:rPr>
                <w:rFonts w:ascii="Times New Roman" w:cs="Times New Roman" w:eastAsia="Times New Roman" w:hAnsi="Times New Roman"/>
                <w:sz w:val="15"/>
                <w:szCs w:val="15"/>
                <w:color w:val="auto"/>
                <w:w w:val="97"/>
              </w:rPr>
              <w:t>[***]</w:t>
            </w:r>
          </w:p>
        </w:tc>
        <w:tc>
          <w:tcPr>
            <w:tcW w:w="0" w:type="dxa"/>
            <w:vAlign w:val="bottom"/>
          </w:tcPr>
          <w:p>
            <w:pPr>
              <w:spacing w:after="0"/>
              <w:rPr>
                <w:sz w:val="1"/>
                <w:szCs w:val="1"/>
                <w:color w:val="auto"/>
              </w:rPr>
            </w:pPr>
          </w:p>
        </w:tc>
      </w:tr>
      <w:tr>
        <w:trPr>
          <w:trHeight w:val="518"/>
        </w:trPr>
        <w:tc>
          <w:tcPr>
            <w:tcW w:w="84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5"/>
                <w:szCs w:val="15"/>
                <w:color w:val="auto"/>
              </w:rPr>
              <w:t>35</w:t>
            </w:r>
          </w:p>
        </w:tc>
        <w:tc>
          <w:tcPr>
            <w:tcW w:w="2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60" w:right="319" w:bottom="1440" w:gutter="0" w:footer="0" w:header="0"/>
        </w:sectPr>
      </w:pPr>
    </w:p>
    <w:bookmarkStart w:id="462" w:name="page463"/>
    <w:bookmarkEnd w:id="462"/>
    <w:p>
      <w:pPr>
        <w:jc w:val="both"/>
        <w:ind w:firstLine="1582"/>
        <w:spacing w:after="0" w:line="285" w:lineRule="auto"/>
        <w:rPr>
          <w:sz w:val="20"/>
          <w:szCs w:val="20"/>
          <w:color w:val="auto"/>
        </w:rPr>
      </w:pPr>
      <w:r>
        <w:rPr>
          <w:rFonts w:ascii="Times New Roman" w:cs="Times New Roman" w:eastAsia="Times New Roman" w:hAnsi="Times New Roman"/>
          <w:sz w:val="14"/>
          <w:szCs w:val="14"/>
          <w:color w:val="auto"/>
        </w:rPr>
        <w:t>8.2.3            </w:t>
      </w:r>
      <w:r>
        <w:rPr>
          <w:rFonts w:ascii="Times New Roman" w:cs="Times New Roman" w:eastAsia="Times New Roman" w:hAnsi="Times New Roman"/>
          <w:sz w:val="14"/>
          <w:szCs w:val="14"/>
          <w:b w:val="1"/>
          <w:bCs w:val="1"/>
          <w:color w:val="auto"/>
        </w:rPr>
        <w:t>Determination that Milestone Events Have Occurred</w:t>
      </w:r>
      <w:r>
        <w:rPr>
          <w:rFonts w:ascii="Times New Roman" w:cs="Times New Roman" w:eastAsia="Times New Roman" w:hAnsi="Times New Roman"/>
          <w:sz w:val="14"/>
          <w:szCs w:val="14"/>
          <w:color w:val="auto"/>
        </w:rPr>
        <w:t xml:space="preserve">. Licensee shall promptly notify Zenas in writing of the achievement of each development, regulatory and sales milestone contemplated in this </w:t>
      </w:r>
      <w:r>
        <w:rPr>
          <w:rFonts w:ascii="Times New Roman" w:cs="Times New Roman" w:eastAsia="Times New Roman" w:hAnsi="Times New Roman"/>
          <w:sz w:val="14"/>
          <w:szCs w:val="14"/>
          <w:u w:val="single" w:color="auto"/>
          <w:color w:val="auto"/>
        </w:rPr>
        <w:t>Section 8.2</w:t>
      </w:r>
      <w:r>
        <w:rPr>
          <w:rFonts w:ascii="Times New Roman" w:cs="Times New Roman" w:eastAsia="Times New Roman" w:hAnsi="Times New Roman"/>
          <w:sz w:val="14"/>
          <w:szCs w:val="14"/>
          <w:color w:val="auto"/>
        </w:rPr>
        <w:t>. In the event that, notwithstanding the fact that Licensee has not provided Zenas such a notice, Zenas believes that any such milestone event has been achieved, it shall so notify Licensee in writing and the Parties shall promptly meet and discuss in good faith whether such milestone event has been achieved. [***].</w:t>
      </w:r>
    </w:p>
    <w:p>
      <w:pPr>
        <w:spacing w:after="0" w:line="13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8.3          Royalty</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8.3.1            </w:t>
      </w:r>
      <w:r>
        <w:rPr>
          <w:rFonts w:ascii="Times New Roman" w:cs="Times New Roman" w:eastAsia="Times New Roman" w:hAnsi="Times New Roman"/>
          <w:sz w:val="15"/>
          <w:szCs w:val="15"/>
          <w:b w:val="1"/>
          <w:bCs w:val="1"/>
          <w:color w:val="auto"/>
        </w:rPr>
        <w:t>Generally</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2110"/>
        <w:spacing w:after="0" w:line="250" w:lineRule="auto"/>
        <w:rPr>
          <w:sz w:val="20"/>
          <w:szCs w:val="20"/>
          <w:color w:val="auto"/>
        </w:rPr>
      </w:pPr>
      <w:r>
        <w:rPr>
          <w:rFonts w:ascii="Times New Roman" w:cs="Times New Roman" w:eastAsia="Times New Roman" w:hAnsi="Times New Roman"/>
          <w:sz w:val="15"/>
          <w:szCs w:val="15"/>
          <w:color w:val="auto"/>
        </w:rPr>
        <w:t xml:space="preserve">(a)            Subject to the remainder of this </w:t>
      </w:r>
      <w:r>
        <w:rPr>
          <w:rFonts w:ascii="Times New Roman" w:cs="Times New Roman" w:eastAsia="Times New Roman" w:hAnsi="Times New Roman"/>
          <w:sz w:val="15"/>
          <w:szCs w:val="15"/>
          <w:u w:val="single" w:color="auto"/>
          <w:color w:val="auto"/>
        </w:rPr>
        <w:t>Section 8.3</w:t>
      </w:r>
      <w:r>
        <w:rPr>
          <w:rFonts w:ascii="Times New Roman" w:cs="Times New Roman" w:eastAsia="Times New Roman" w:hAnsi="Times New Roman"/>
          <w:sz w:val="15"/>
          <w:szCs w:val="15"/>
          <w:color w:val="auto"/>
        </w:rPr>
        <w:t xml:space="preserve">, Licensee shall pay to Zenas a running royalty on aggregated Net Sales of all Products sold by Licensee, its Affiliates or its Sublicensees in the Field in the Territory, calculated by multiplying the applicable royalty rate set forth in </w:t>
      </w:r>
      <w:r>
        <w:rPr>
          <w:rFonts w:ascii="Times New Roman" w:cs="Times New Roman" w:eastAsia="Times New Roman" w:hAnsi="Times New Roman"/>
          <w:sz w:val="15"/>
          <w:szCs w:val="15"/>
          <w:u w:val="single" w:color="auto"/>
          <w:color w:val="auto"/>
        </w:rPr>
        <w:t>Section 8.3.1(b)</w:t>
      </w:r>
      <w:r>
        <w:rPr>
          <w:rFonts w:ascii="Times New Roman" w:cs="Times New Roman" w:eastAsia="Times New Roman" w:hAnsi="Times New Roman"/>
          <w:sz w:val="15"/>
          <w:szCs w:val="15"/>
          <w:color w:val="auto"/>
        </w:rPr>
        <w:t xml:space="preserve"> (Royalty Rates) below by the corresponding amount of incremental, aggregated annual Net Sales of all Products sold by Licensee, its Affiliates or its Sublicensees in the Field in the Territory in the applicable Calendar Year. For each Calendar Year, the below tiered royalties shall be calculated such that the next tiered royalty rates are only used after Net Sales in the Territory in each Calendar Year exceed the top threshold of the previous tier of Net Sales, and such next tiered royalty rate shall only apply to the portion of Net Sales in the Territory that falls within that tier.</w:t>
      </w:r>
    </w:p>
    <w:p>
      <w:pPr>
        <w:spacing w:after="0" w:line="15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(b)            Royalty Rates: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6800" w:type="dxa"/>
            <w:vAlign w:val="bottom"/>
            <w:tcBorders>
              <w:top w:val="single" w:sz="8" w:color="auto"/>
              <w:left w:val="single" w:sz="8" w:color="auto"/>
              <w:bottom w:val="single" w:sz="8" w:color="auto"/>
            </w:tcBorders>
          </w:tcPr>
          <w:p>
            <w:pPr>
              <w:jc w:val="right"/>
              <w:ind w:right="2047"/>
              <w:spacing w:after="0"/>
              <w:rPr>
                <w:sz w:val="20"/>
                <w:szCs w:val="20"/>
                <w:color w:val="auto"/>
              </w:rPr>
            </w:pPr>
            <w:r>
              <w:rPr>
                <w:rFonts w:ascii="Times New Roman" w:cs="Times New Roman" w:eastAsia="Times New Roman" w:hAnsi="Times New Roman"/>
                <w:sz w:val="15"/>
                <w:szCs w:val="15"/>
                <w:b w:val="1"/>
                <w:bCs w:val="1"/>
                <w:color w:val="auto"/>
              </w:rPr>
              <w:t>Royalty Rates</w:t>
            </w:r>
          </w:p>
        </w:tc>
        <w:tc>
          <w:tcPr>
            <w:tcW w:w="1680" w:type="dxa"/>
            <w:vAlign w:val="bottom"/>
            <w:tcBorders>
              <w:top w:val="single" w:sz="8" w:color="auto"/>
              <w:bottom w:val="single" w:sz="8" w:color="auto"/>
              <w:right w:val="single" w:sz="8" w:color="auto"/>
            </w:tcBorders>
          </w:tcPr>
          <w:p>
            <w:pPr>
              <w:spacing w:after="0"/>
              <w:rPr>
                <w:sz w:val="16"/>
                <w:szCs w:val="16"/>
                <w:color w:val="auto"/>
              </w:rPr>
            </w:pPr>
          </w:p>
        </w:tc>
        <w:tc>
          <w:tcPr>
            <w:tcW w:w="2800" w:type="dxa"/>
            <w:vAlign w:val="bottom"/>
            <w:tcBorders>
              <w:top w:val="single" w:sz="8" w:color="auto"/>
              <w:bottom w:val="single" w:sz="8" w:color="auto"/>
              <w:right w:val="single" w:sz="8" w:color="auto"/>
            </w:tcBorders>
          </w:tcPr>
          <w:p>
            <w:pPr>
              <w:spacing w:after="0"/>
              <w:rPr>
                <w:sz w:val="16"/>
                <w:szCs w:val="16"/>
                <w:color w:val="auto"/>
              </w:rPr>
            </w:pPr>
          </w:p>
        </w:tc>
      </w:tr>
      <w:tr>
        <w:trPr>
          <w:trHeight w:val="167"/>
        </w:trPr>
        <w:tc>
          <w:tcPr>
            <w:tcW w:w="6800" w:type="dxa"/>
            <w:vAlign w:val="bottom"/>
            <w:tcBorders>
              <w:left w:val="single" w:sz="8" w:color="auto"/>
              <w:bottom w:val="single" w:sz="8" w:color="auto"/>
              <w:right w:val="single" w:sz="8" w:color="auto"/>
            </w:tcBorders>
          </w:tcPr>
          <w:p>
            <w:pPr>
              <w:jc w:val="right"/>
              <w:ind w:right="1547"/>
              <w:spacing w:after="0" w:line="167" w:lineRule="exact"/>
              <w:rPr>
                <w:sz w:val="20"/>
                <w:szCs w:val="20"/>
                <w:color w:val="auto"/>
              </w:rPr>
            </w:pPr>
            <w:r>
              <w:rPr>
                <w:rFonts w:ascii="Times New Roman" w:cs="Times New Roman" w:eastAsia="Times New Roman" w:hAnsi="Times New Roman"/>
                <w:sz w:val="15"/>
                <w:szCs w:val="15"/>
                <w:b w:val="1"/>
                <w:bCs w:val="1"/>
                <w:color w:val="auto"/>
              </w:rPr>
              <w:t>Total Calendar Year Aggregate Net Sales in the Territory</w:t>
            </w:r>
          </w:p>
        </w:tc>
        <w:tc>
          <w:tcPr>
            <w:tcW w:w="168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b w:val="1"/>
                <w:bCs w:val="1"/>
                <w:color w:val="auto"/>
                <w:w w:val="96"/>
              </w:rPr>
              <w:t xml:space="preserve">Royalty Rate in </w:t>
            </w:r>
            <w:r>
              <w:rPr>
                <w:rFonts w:ascii="Times New Roman" w:cs="Times New Roman" w:eastAsia="Times New Roman" w:hAnsi="Times New Roman"/>
                <w:sz w:val="15"/>
                <w:szCs w:val="15"/>
                <w:color w:val="auto"/>
                <w:w w:val="96"/>
              </w:rPr>
              <w:t>[***]</w:t>
            </w:r>
          </w:p>
        </w:tc>
        <w:tc>
          <w:tcPr>
            <w:tcW w:w="280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b w:val="1"/>
                <w:bCs w:val="1"/>
                <w:color w:val="auto"/>
                <w:w w:val="98"/>
              </w:rPr>
              <w:t xml:space="preserve">Royalty Rate in </w:t>
            </w:r>
            <w:r>
              <w:rPr>
                <w:rFonts w:ascii="Times New Roman" w:cs="Times New Roman" w:eastAsia="Times New Roman" w:hAnsi="Times New Roman"/>
                <w:sz w:val="15"/>
                <w:szCs w:val="15"/>
                <w:color w:val="auto"/>
                <w:w w:val="98"/>
              </w:rPr>
              <w:t>[***]</w:t>
            </w:r>
          </w:p>
        </w:tc>
      </w:tr>
      <w:tr>
        <w:trPr>
          <w:trHeight w:val="167"/>
        </w:trPr>
        <w:tc>
          <w:tcPr>
            <w:tcW w:w="6800" w:type="dxa"/>
            <w:vAlign w:val="bottom"/>
            <w:tcBorders>
              <w:left w:val="single" w:sz="8" w:color="auto"/>
              <w:bottom w:val="single" w:sz="8" w:color="auto"/>
              <w:right w:val="single" w:sz="8" w:color="auto"/>
            </w:tcBorders>
          </w:tcPr>
          <w:p>
            <w:pPr>
              <w:jc w:val="right"/>
              <w:ind w:right="630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w:t>
            </w:r>
          </w:p>
        </w:tc>
        <w:tc>
          <w:tcPr>
            <w:tcW w:w="280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w:t>
            </w:r>
          </w:p>
        </w:tc>
      </w:tr>
      <w:tr>
        <w:trPr>
          <w:trHeight w:val="167"/>
        </w:trPr>
        <w:tc>
          <w:tcPr>
            <w:tcW w:w="6800" w:type="dxa"/>
            <w:vAlign w:val="bottom"/>
            <w:tcBorders>
              <w:left w:val="single" w:sz="8" w:color="auto"/>
              <w:bottom w:val="single" w:sz="8" w:color="auto"/>
              <w:right w:val="single" w:sz="8" w:color="auto"/>
            </w:tcBorders>
          </w:tcPr>
          <w:p>
            <w:pPr>
              <w:jc w:val="right"/>
              <w:ind w:right="630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w:t>
            </w:r>
          </w:p>
        </w:tc>
        <w:tc>
          <w:tcPr>
            <w:tcW w:w="280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w:t>
            </w:r>
          </w:p>
        </w:tc>
      </w:tr>
      <w:tr>
        <w:trPr>
          <w:trHeight w:val="167"/>
        </w:trPr>
        <w:tc>
          <w:tcPr>
            <w:tcW w:w="6800" w:type="dxa"/>
            <w:vAlign w:val="bottom"/>
            <w:tcBorders>
              <w:left w:val="single" w:sz="8" w:color="auto"/>
              <w:bottom w:val="single" w:sz="8" w:color="auto"/>
              <w:right w:val="single" w:sz="8" w:color="auto"/>
            </w:tcBorders>
          </w:tcPr>
          <w:p>
            <w:pPr>
              <w:jc w:val="right"/>
              <w:ind w:right="630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w:t>
            </w:r>
          </w:p>
        </w:tc>
        <w:tc>
          <w:tcPr>
            <w:tcW w:w="280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w:t>
            </w:r>
          </w:p>
        </w:tc>
      </w:tr>
    </w:tbl>
    <w:p>
      <w:pPr>
        <w:spacing w:after="0" w:line="15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8.3.2            </w:t>
      </w:r>
      <w:r>
        <w:rPr>
          <w:rFonts w:ascii="Times New Roman" w:cs="Times New Roman" w:eastAsia="Times New Roman" w:hAnsi="Times New Roman"/>
          <w:sz w:val="14"/>
          <w:szCs w:val="14"/>
          <w:b w:val="1"/>
          <w:bCs w:val="1"/>
          <w:color w:val="auto"/>
        </w:rPr>
        <w:t>Royalty Term</w:t>
      </w:r>
      <w:r>
        <w:rPr>
          <w:rFonts w:ascii="Times New Roman" w:cs="Times New Roman" w:eastAsia="Times New Roman" w:hAnsi="Times New Roman"/>
          <w:sz w:val="14"/>
          <w:szCs w:val="14"/>
          <w:color w:val="auto"/>
        </w:rPr>
        <w:t>. Royalties will be payable Product-by-Product and country-by-country basis from the First Commercial Sale of a Product in the Territory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until the later of: (a) the expiration of the last Valid Claim of [***] in such country in the Territory; and (b) the last to expire Regulatory Exclusivity period for such Product in such country 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Territory; or (c) twelve (12) years from the First Commercial Sale of such Product in such country in the Territory (the “</w:t>
      </w:r>
      <w:r>
        <w:rPr>
          <w:rFonts w:ascii="Times New Roman" w:cs="Times New Roman" w:eastAsia="Times New Roman" w:hAnsi="Times New Roman"/>
          <w:sz w:val="15"/>
          <w:szCs w:val="15"/>
          <w:b w:val="1"/>
          <w:bCs w:val="1"/>
          <w:color w:val="auto"/>
        </w:rPr>
        <w:t>Royalty Term</w:t>
      </w:r>
      <w:r>
        <w:rPr>
          <w:rFonts w:ascii="Times New Roman" w:cs="Times New Roman" w:eastAsia="Times New Roman" w:hAnsi="Times New Roman"/>
          <w:sz w:val="15"/>
          <w:szCs w:val="15"/>
          <w:color w:val="auto"/>
        </w:rPr>
        <w:t>”).</w:t>
      </w:r>
    </w:p>
    <w:p>
      <w:pPr>
        <w:spacing w:after="0" w:line="162" w:lineRule="exact"/>
        <w:rPr>
          <w:sz w:val="20"/>
          <w:szCs w:val="20"/>
          <w:color w:val="auto"/>
        </w:rPr>
      </w:pPr>
    </w:p>
    <w:p>
      <w:pPr>
        <w:jc w:val="both"/>
        <w:ind w:firstLine="1582"/>
        <w:spacing w:after="0" w:line="251" w:lineRule="auto"/>
        <w:rPr>
          <w:sz w:val="20"/>
          <w:szCs w:val="20"/>
          <w:color w:val="auto"/>
        </w:rPr>
      </w:pPr>
      <w:r>
        <w:rPr>
          <w:rFonts w:ascii="Times New Roman" w:cs="Times New Roman" w:eastAsia="Times New Roman" w:hAnsi="Times New Roman"/>
          <w:sz w:val="15"/>
          <w:szCs w:val="15"/>
          <w:color w:val="auto"/>
        </w:rPr>
        <w:t>8.3.3            </w:t>
      </w:r>
      <w:r>
        <w:rPr>
          <w:rFonts w:ascii="Times New Roman" w:cs="Times New Roman" w:eastAsia="Times New Roman" w:hAnsi="Times New Roman"/>
          <w:sz w:val="15"/>
          <w:szCs w:val="15"/>
          <w:b w:val="1"/>
          <w:bCs w:val="1"/>
          <w:color w:val="auto"/>
        </w:rPr>
        <w:t>Royalty Reports and Payments</w:t>
      </w:r>
      <w:r>
        <w:rPr>
          <w:rFonts w:ascii="Times New Roman" w:cs="Times New Roman" w:eastAsia="Times New Roman" w:hAnsi="Times New Roman"/>
          <w:sz w:val="15"/>
          <w:szCs w:val="15"/>
          <w:color w:val="auto"/>
        </w:rPr>
        <w:t>. Within [***], commencing with the [***] during which the First Commercial Sale of a Product is made anywhere in the Territory, Licensee shall provide Zenas with a report that contains the following information for the applicable [***], on a Product-by-Product and country-by-country basis: [***]. Without limiting the generality of the foregoing, Licensee shall require its Affiliates and Sublicensees to account for their Net Sales and to provide such reports with respect thereto as if such sales were made by Licensee. Concurrent with the delivery of the applicable [***] report, Licensee shall pay to Zenas in U.S. Dollars all royalties due under this Agreement with respect to Net Sales by Licensee, its Affiliates and their respective Sublicensees for such [***].</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936" w:right="319" w:bottom="1440" w:gutter="0" w:footer="0" w:header="0"/>
        </w:sectPr>
      </w:pPr>
    </w:p>
    <w:bookmarkStart w:id="463" w:name="page464"/>
    <w:bookmarkEnd w:id="463"/>
    <w:p>
      <w:pPr>
        <w:ind w:left="1060"/>
        <w:spacing w:after="0"/>
        <w:rPr>
          <w:sz w:val="20"/>
          <w:szCs w:val="20"/>
          <w:color w:val="auto"/>
        </w:rPr>
      </w:pPr>
      <w:r>
        <w:rPr>
          <w:rFonts w:ascii="Times New Roman" w:cs="Times New Roman" w:eastAsia="Times New Roman" w:hAnsi="Times New Roman"/>
          <w:sz w:val="14"/>
          <w:szCs w:val="14"/>
          <w:b w:val="1"/>
          <w:bCs w:val="1"/>
          <w:color w:val="auto"/>
        </w:rPr>
        <w:t xml:space="preserve">8.4          Royalty Reduction. </w:t>
      </w:r>
      <w:r>
        <w:rPr>
          <w:rFonts w:ascii="Times New Roman" w:cs="Times New Roman" w:eastAsia="Times New Roman" w:hAnsi="Times New Roman"/>
          <w:sz w:val="14"/>
          <w:szCs w:val="14"/>
          <w:color w:val="auto"/>
        </w:rPr>
        <w:t>The royalty payment due and payable to Zenas for Net Sales of a Product in the Territory pursuant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will be reduced, on a Product-by-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Product basis, as follows:</w:t>
      </w:r>
    </w:p>
    <w:p>
      <w:pPr>
        <w:spacing w:after="0" w:line="162" w:lineRule="exact"/>
        <w:rPr>
          <w:sz w:val="20"/>
          <w:szCs w:val="20"/>
          <w:color w:val="auto"/>
        </w:rPr>
      </w:pPr>
    </w:p>
    <w:p>
      <w:pPr>
        <w:jc w:val="both"/>
        <w:ind w:firstLine="1582"/>
        <w:spacing w:after="0" w:line="272" w:lineRule="auto"/>
        <w:rPr>
          <w:sz w:val="20"/>
          <w:szCs w:val="20"/>
          <w:color w:val="auto"/>
        </w:rPr>
      </w:pPr>
      <w:r>
        <w:rPr>
          <w:rFonts w:ascii="Times New Roman" w:cs="Times New Roman" w:eastAsia="Times New Roman" w:hAnsi="Times New Roman"/>
          <w:sz w:val="15"/>
          <w:szCs w:val="15"/>
          <w:color w:val="auto"/>
        </w:rPr>
        <w:t>8.4.1            </w:t>
      </w:r>
      <w:r>
        <w:rPr>
          <w:rFonts w:ascii="Times New Roman" w:cs="Times New Roman" w:eastAsia="Times New Roman" w:hAnsi="Times New Roman"/>
          <w:sz w:val="15"/>
          <w:szCs w:val="15"/>
          <w:b w:val="1"/>
          <w:bCs w:val="1"/>
          <w:color w:val="auto"/>
        </w:rPr>
        <w:t>Expiration of Valid Claims</w:t>
      </w:r>
      <w:r>
        <w:rPr>
          <w:rFonts w:ascii="Times New Roman" w:cs="Times New Roman" w:eastAsia="Times New Roman" w:hAnsi="Times New Roman"/>
          <w:sz w:val="15"/>
          <w:szCs w:val="15"/>
          <w:color w:val="auto"/>
        </w:rPr>
        <w:t>. If at any time during the Royalty Term there is no Valid Claim [***], then the applicable royalties in effect with respect to such Product sold in the Territory shall be reduced by [***].</w:t>
      </w:r>
    </w:p>
    <w:p>
      <w:pPr>
        <w:spacing w:after="0" w:line="136" w:lineRule="exact"/>
        <w:rPr>
          <w:sz w:val="20"/>
          <w:szCs w:val="20"/>
          <w:color w:val="auto"/>
        </w:rPr>
      </w:pPr>
    </w:p>
    <w:p>
      <w:pPr>
        <w:jc w:val="both"/>
        <w:ind w:firstLine="1582"/>
        <w:spacing w:after="0" w:line="285" w:lineRule="auto"/>
        <w:rPr>
          <w:sz w:val="20"/>
          <w:szCs w:val="20"/>
          <w:color w:val="auto"/>
        </w:rPr>
      </w:pPr>
      <w:r>
        <w:rPr>
          <w:rFonts w:ascii="Times New Roman" w:cs="Times New Roman" w:eastAsia="Times New Roman" w:hAnsi="Times New Roman"/>
          <w:sz w:val="14"/>
          <w:szCs w:val="14"/>
          <w:color w:val="auto"/>
        </w:rPr>
        <w:t>8.4.2            </w:t>
      </w:r>
      <w:r>
        <w:rPr>
          <w:rFonts w:ascii="Times New Roman" w:cs="Times New Roman" w:eastAsia="Times New Roman" w:hAnsi="Times New Roman"/>
          <w:sz w:val="14"/>
          <w:szCs w:val="14"/>
          <w:b w:val="1"/>
          <w:bCs w:val="1"/>
          <w:color w:val="auto"/>
        </w:rPr>
        <w:t>Entry of Biosimilar Products</w:t>
      </w:r>
      <w:r>
        <w:rPr>
          <w:rFonts w:ascii="Times New Roman" w:cs="Times New Roman" w:eastAsia="Times New Roman" w:hAnsi="Times New Roman"/>
          <w:sz w:val="14"/>
          <w:szCs w:val="14"/>
          <w:color w:val="auto"/>
        </w:rPr>
        <w:t>. If, in the Territory during the Royalty Term for a Product, one or more Biosimilar Products to such Product are sold by any Third Party in the Territory for [***], and sales of such Biosimilar Product(s) during each such [***] represent at least [***] of the total sales in the Territory on a unit basis (as measured against the total sales of such Product and Biosimilar Products in the Territory), then the then-applicable royalty rates for such [***] for such Product in the Territory will be reduced by [***].</w:t>
      </w:r>
    </w:p>
    <w:p>
      <w:pPr>
        <w:spacing w:after="0" w:line="130" w:lineRule="exact"/>
        <w:rPr>
          <w:sz w:val="20"/>
          <w:szCs w:val="20"/>
          <w:color w:val="auto"/>
        </w:rPr>
      </w:pPr>
    </w:p>
    <w:p>
      <w:pPr>
        <w:jc w:val="both"/>
        <w:ind w:firstLine="1582"/>
        <w:spacing w:after="0" w:line="253" w:lineRule="auto"/>
        <w:rPr>
          <w:sz w:val="20"/>
          <w:szCs w:val="20"/>
          <w:color w:val="auto"/>
        </w:rPr>
      </w:pPr>
      <w:r>
        <w:rPr>
          <w:rFonts w:ascii="Times New Roman" w:cs="Times New Roman" w:eastAsia="Times New Roman" w:hAnsi="Times New Roman"/>
          <w:sz w:val="15"/>
          <w:szCs w:val="15"/>
          <w:color w:val="auto"/>
        </w:rPr>
        <w:t>8.4.3            </w:t>
      </w:r>
      <w:r>
        <w:rPr>
          <w:rFonts w:ascii="Times New Roman" w:cs="Times New Roman" w:eastAsia="Times New Roman" w:hAnsi="Times New Roman"/>
          <w:sz w:val="15"/>
          <w:szCs w:val="15"/>
          <w:b w:val="1"/>
          <w:bCs w:val="1"/>
          <w:color w:val="auto"/>
        </w:rPr>
        <w:t>Third Party Payments</w:t>
      </w:r>
      <w:r>
        <w:rPr>
          <w:rFonts w:ascii="Times New Roman" w:cs="Times New Roman" w:eastAsia="Times New Roman" w:hAnsi="Times New Roman"/>
          <w:sz w:val="15"/>
          <w:szCs w:val="15"/>
          <w:color w:val="auto"/>
        </w:rPr>
        <w:t xml:space="preserve">. In the event Licensee obtains a Third Party license to any Third Party Patent Right that is necessary to avoid infringement of such Third Party Patent Right through the practice of Zenas Know-How and Zenas Patent Rights licensed under </w:t>
      </w:r>
      <w:r>
        <w:rPr>
          <w:rFonts w:ascii="Times New Roman" w:cs="Times New Roman" w:eastAsia="Times New Roman" w:hAnsi="Times New Roman"/>
          <w:sz w:val="15"/>
          <w:szCs w:val="15"/>
          <w:u w:val="single" w:color="auto"/>
          <w:color w:val="auto"/>
        </w:rPr>
        <w:t>Section 2.1.1</w:t>
      </w:r>
      <w:r>
        <w:rPr>
          <w:rFonts w:ascii="Times New Roman" w:cs="Times New Roman" w:eastAsia="Times New Roman" w:hAnsi="Times New Roman"/>
          <w:sz w:val="15"/>
          <w:szCs w:val="15"/>
          <w:color w:val="auto"/>
        </w:rPr>
        <w:t xml:space="preserve"> for the Development, Manufacture, or Commercialization of the Compound or such Product in the Territory, then Licensee shall have the right to deduct from the royalty payment that would otherwise have been due with respect to such Product in the Territory in a [***] under </w:t>
      </w:r>
      <w:r>
        <w:rPr>
          <w:rFonts w:ascii="Times New Roman" w:cs="Times New Roman" w:eastAsia="Times New Roman" w:hAnsi="Times New Roman"/>
          <w:sz w:val="15"/>
          <w:szCs w:val="15"/>
          <w:u w:val="single" w:color="auto"/>
          <w:color w:val="auto"/>
        </w:rPr>
        <w:t>Section 8.3.1</w:t>
      </w:r>
      <w:r>
        <w:rPr>
          <w:rFonts w:ascii="Times New Roman" w:cs="Times New Roman" w:eastAsia="Times New Roman" w:hAnsi="Times New Roman"/>
          <w:sz w:val="15"/>
          <w:szCs w:val="15"/>
          <w:color w:val="auto"/>
        </w:rPr>
        <w:t xml:space="preserve"> an amount equal to [***] of any amount paid to such Third Party for such license during such [***].</w:t>
      </w:r>
    </w:p>
    <w:p>
      <w:pPr>
        <w:spacing w:after="0" w:line="152" w:lineRule="exact"/>
        <w:rPr>
          <w:sz w:val="20"/>
          <w:szCs w:val="20"/>
          <w:color w:val="auto"/>
        </w:rPr>
      </w:pPr>
    </w:p>
    <w:p>
      <w:pPr>
        <w:jc w:val="both"/>
        <w:ind w:firstLine="1582"/>
        <w:spacing w:after="0" w:line="258" w:lineRule="auto"/>
        <w:rPr>
          <w:sz w:val="20"/>
          <w:szCs w:val="20"/>
          <w:color w:val="auto"/>
        </w:rPr>
      </w:pPr>
      <w:r>
        <w:rPr>
          <w:rFonts w:ascii="Times New Roman" w:cs="Times New Roman" w:eastAsia="Times New Roman" w:hAnsi="Times New Roman"/>
          <w:sz w:val="15"/>
          <w:szCs w:val="15"/>
          <w:color w:val="auto"/>
        </w:rPr>
        <w:t>8.4.4            </w:t>
      </w:r>
      <w:r>
        <w:rPr>
          <w:rFonts w:ascii="Times New Roman" w:cs="Times New Roman" w:eastAsia="Times New Roman" w:hAnsi="Times New Roman"/>
          <w:sz w:val="15"/>
          <w:szCs w:val="15"/>
          <w:b w:val="1"/>
          <w:bCs w:val="1"/>
          <w:color w:val="auto"/>
        </w:rPr>
        <w:t>Reduction Floor</w:t>
      </w:r>
      <w:r>
        <w:rPr>
          <w:rFonts w:ascii="Times New Roman" w:cs="Times New Roman" w:eastAsia="Times New Roman" w:hAnsi="Times New Roman"/>
          <w:sz w:val="15"/>
          <w:szCs w:val="15"/>
          <w:color w:val="auto"/>
        </w:rPr>
        <w:t xml:space="preserve">. In no circumstances will the royalties payable to Zenas under </w:t>
      </w:r>
      <w:r>
        <w:rPr>
          <w:rFonts w:ascii="Times New Roman" w:cs="Times New Roman" w:eastAsia="Times New Roman" w:hAnsi="Times New Roman"/>
          <w:sz w:val="15"/>
          <w:szCs w:val="15"/>
          <w:u w:val="single" w:color="auto"/>
          <w:color w:val="auto"/>
        </w:rPr>
        <w:t>Section 8.3.1</w:t>
      </w:r>
      <w:r>
        <w:rPr>
          <w:rFonts w:ascii="Times New Roman" w:cs="Times New Roman" w:eastAsia="Times New Roman" w:hAnsi="Times New Roman"/>
          <w:sz w:val="15"/>
          <w:szCs w:val="15"/>
          <w:color w:val="auto"/>
        </w:rPr>
        <w:t xml:space="preserve"> in any [***] be reduced to, as a result of </w:t>
      </w:r>
      <w:r>
        <w:rPr>
          <w:rFonts w:ascii="Times New Roman" w:cs="Times New Roman" w:eastAsia="Times New Roman" w:hAnsi="Times New Roman"/>
          <w:sz w:val="15"/>
          <w:szCs w:val="15"/>
          <w:u w:val="single" w:color="auto"/>
          <w:color w:val="auto"/>
        </w:rPr>
        <w:t>Section 8.4.1–8.4.3</w:t>
      </w:r>
      <w:r>
        <w:rPr>
          <w:rFonts w:ascii="Times New Roman" w:cs="Times New Roman" w:eastAsia="Times New Roman" w:hAnsi="Times New Roman"/>
          <w:sz w:val="15"/>
          <w:szCs w:val="15"/>
          <w:color w:val="auto"/>
        </w:rPr>
        <w:t xml:space="preserve"> below [***] of the royalties otherwise payable under </w:t>
      </w:r>
      <w:r>
        <w:rPr>
          <w:rFonts w:ascii="Times New Roman" w:cs="Times New Roman" w:eastAsia="Times New Roman" w:hAnsi="Times New Roman"/>
          <w:sz w:val="15"/>
          <w:szCs w:val="15"/>
          <w:u w:val="single" w:color="auto"/>
          <w:color w:val="auto"/>
        </w:rPr>
        <w:t>Section 8.3.1</w:t>
      </w:r>
      <w:r>
        <w:rPr>
          <w:rFonts w:ascii="Times New Roman" w:cs="Times New Roman" w:eastAsia="Times New Roman" w:hAnsi="Times New Roman"/>
          <w:sz w:val="15"/>
          <w:szCs w:val="15"/>
          <w:color w:val="auto"/>
        </w:rPr>
        <w:t xml:space="preserve"> with respect to Net Sales of any Product in the Territory. Licensee may not carry forward to subsequent [***] any deductions that it was not able to deduct as a result of the foregoing proviso.</w:t>
      </w:r>
    </w:p>
    <w:p>
      <w:pPr>
        <w:spacing w:after="0" w:line="1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8.5          Taxes and Withholding</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1582"/>
        <w:spacing w:after="0" w:line="257" w:lineRule="auto"/>
        <w:rPr>
          <w:sz w:val="20"/>
          <w:szCs w:val="20"/>
          <w:color w:val="auto"/>
        </w:rPr>
      </w:pPr>
      <w:r>
        <w:rPr>
          <w:rFonts w:ascii="Times New Roman" w:cs="Times New Roman" w:eastAsia="Times New Roman" w:hAnsi="Times New Roman"/>
          <w:sz w:val="15"/>
          <w:szCs w:val="15"/>
          <w:color w:val="auto"/>
        </w:rPr>
        <w:t>8.5.1            Each Party agrees to treat, for U.S. federal and applicable state and local income tax purposes, Licensee’s shared portion of the Shared Development Costs as payment for services, and each Party shall file all tax returns (including information returns) that are required to be filed in a manner consistent with such treatment and shall not take any contrary position unless otherwise required by Applicable Law.</w:t>
      </w:r>
    </w:p>
    <w:p>
      <w:pPr>
        <w:spacing w:after="0" w:line="149" w:lineRule="exact"/>
        <w:rPr>
          <w:sz w:val="20"/>
          <w:szCs w:val="20"/>
          <w:color w:val="auto"/>
        </w:rPr>
      </w:pPr>
    </w:p>
    <w:p>
      <w:pPr>
        <w:jc w:val="both"/>
        <w:ind w:firstLine="1582"/>
        <w:spacing w:after="0" w:line="269" w:lineRule="auto"/>
        <w:rPr>
          <w:sz w:val="20"/>
          <w:szCs w:val="20"/>
          <w:color w:val="auto"/>
        </w:rPr>
      </w:pPr>
      <w:r>
        <w:rPr>
          <w:rFonts w:ascii="Times New Roman" w:cs="Times New Roman" w:eastAsia="Times New Roman" w:hAnsi="Times New Roman"/>
          <w:sz w:val="15"/>
          <w:szCs w:val="15"/>
          <w:color w:val="auto"/>
        </w:rPr>
        <w:t>8.5.2            It is the Parties’ mutual objective and intent to minimize, to the extent possible in compliance with Applicable Law, taxes payable with respect to their collaborative efforts under this Agreement to cooperate and coordinate with each other to achieve such objective.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64" w:name="page465"/>
    <w:bookmarkEnd w:id="464"/>
    <w:p>
      <w:pPr>
        <w:jc w:val="both"/>
        <w:ind w:firstLine="1582"/>
        <w:spacing w:after="0" w:line="246" w:lineRule="auto"/>
        <w:rPr>
          <w:sz w:val="20"/>
          <w:szCs w:val="20"/>
          <w:color w:val="auto"/>
        </w:rPr>
      </w:pPr>
      <w:r>
        <w:rPr>
          <w:rFonts w:ascii="Times New Roman" w:cs="Times New Roman" w:eastAsia="Times New Roman" w:hAnsi="Times New Roman"/>
          <w:sz w:val="15"/>
          <w:szCs w:val="15"/>
          <w:color w:val="auto"/>
        </w:rPr>
        <w:t xml:space="preserve">8.5.3            Each Party shall each [***];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Licensee shall be solely responsible for any consumption taxes levied by Government Authorities on any amounts payable to Zenas under this Agreement, and shall pay to Zenas any additional amounts necessary to enable Zenas to receive the full amount of the payments owed to it as if such consumption taxes had not been levied on such payments. Where consumption tax or similar tax is properly charged by Zenas and added to an amount invoiced under this Agreement, Licensee will pay the amount of consumption tax or similar tax only on receipt of a valid tax invoice from Zenas issued in accordance with the Applicable Law. In the event that the Licensee is required, under Applicable Laws, to withhold any deduction or tax from any payment due to Zenas under this Agreement, such amount shall be deducted from the payment to be made by Licensee and paid to the proper taxing authority;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Licensee shall take reasonable and lawful actions to avoid or minimize such withholding and upon becoming aware of any applicable withholding taxes or amounts required to be withheld and before deducting and withholding any amount payable to Zenas, promptly notify Zenas in writing (including by sending proof of such payment)of such withholding obligation, in writing and in reasonable detail, so that Zenas may take lawful actions to avoid or minimize such withholding. Licensee shall promptly furnish Zenas, as applicable, with copies of any tax certificate or other documentation evidencing such withholding as necessary to satisfy the requirements of the relevant Government Authority related to any application by Zenas for foreign tax credit for such payment, and cooperate with Zenas to obtain available reductions, eliminations, exemptions, credits or refunds of such taxes. Each Party agrees to cooperate with the other Party in claiming exemptions from such deductions or withholdings under any agreement or treaty from time to time in effect.</w:t>
      </w:r>
    </w:p>
    <w:p>
      <w:pPr>
        <w:spacing w:after="0" w:line="162" w:lineRule="exact"/>
        <w:rPr>
          <w:sz w:val="20"/>
          <w:szCs w:val="20"/>
          <w:color w:val="auto"/>
        </w:rPr>
      </w:pPr>
    </w:p>
    <w:p>
      <w:pPr>
        <w:jc w:val="both"/>
        <w:ind w:firstLine="1055"/>
        <w:spacing w:after="0" w:line="253" w:lineRule="auto"/>
        <w:rPr>
          <w:sz w:val="20"/>
          <w:szCs w:val="20"/>
          <w:color w:val="auto"/>
        </w:rPr>
      </w:pPr>
      <w:r>
        <w:rPr>
          <w:rFonts w:ascii="Times New Roman" w:cs="Times New Roman" w:eastAsia="Times New Roman" w:hAnsi="Times New Roman"/>
          <w:sz w:val="15"/>
          <w:szCs w:val="15"/>
          <w:b w:val="1"/>
          <w:bCs w:val="1"/>
          <w:color w:val="auto"/>
        </w:rPr>
        <w:t>8.6          Currency; Exchange Rate</w:t>
      </w:r>
      <w:r>
        <w:rPr>
          <w:rFonts w:ascii="Times New Roman" w:cs="Times New Roman" w:eastAsia="Times New Roman" w:hAnsi="Times New Roman"/>
          <w:sz w:val="15"/>
          <w:szCs w:val="15"/>
          <w:color w:val="auto"/>
        </w:rPr>
        <w:t>. All amounts payable and calculations hereunder shall be in U.S. dollars. Conversion of Net Sales recorded in local currencies will be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converted to Dollars at the exchange rate set forth in The Wall Street Journal, Western U.S. Edition, or any successor thereto for the last Business Day of the Calendar Quarter in which the applicable payment obligation became due and payable or performed in a manner consistent with Licensee’s normal practices used to prepare its audited financial statements for internal and external reporting purposes.</w:t>
      </w:r>
    </w:p>
    <w:p>
      <w:pPr>
        <w:spacing w:after="0" w:line="152" w:lineRule="exact"/>
        <w:rPr>
          <w:sz w:val="20"/>
          <w:szCs w:val="20"/>
          <w:color w:val="auto"/>
        </w:rPr>
      </w:pPr>
    </w:p>
    <w:p>
      <w:pPr>
        <w:jc w:val="both"/>
        <w:ind w:firstLine="1055"/>
        <w:spacing w:after="0" w:line="253" w:lineRule="auto"/>
        <w:rPr>
          <w:sz w:val="20"/>
          <w:szCs w:val="20"/>
          <w:color w:val="auto"/>
        </w:rPr>
      </w:pPr>
      <w:r>
        <w:rPr>
          <w:rFonts w:ascii="Times New Roman" w:cs="Times New Roman" w:eastAsia="Times New Roman" w:hAnsi="Times New Roman"/>
          <w:sz w:val="15"/>
          <w:szCs w:val="15"/>
          <w:b w:val="1"/>
          <w:bCs w:val="1"/>
          <w:color w:val="auto"/>
        </w:rPr>
        <w:t>8.7          Method of Payment; Payment Terms</w:t>
      </w:r>
      <w:r>
        <w:rPr>
          <w:rFonts w:ascii="Times New Roman" w:cs="Times New Roman" w:eastAsia="Times New Roman" w:hAnsi="Times New Roman"/>
          <w:sz w:val="15"/>
          <w:szCs w:val="15"/>
          <w:color w:val="auto"/>
        </w:rPr>
        <w:t>. Payments due to Zenas under this Agreement shall be made in U.S. Dollars by electronic funds wire transfer in immediately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available funds to an account designated by Zenas, unless otherwise specified in writing by Zenas. Unless otherwise expressly payable in certain time frames as provided in this Agreement, a Party will invoice the other Party for all amounts due to that Party under this Agreement, and payments of any undisputed amounts set forth in that invoice will be made within [***] following the receipt of that invoice. A Party receiving an invoice will promptly advise the other Party of any disputed amounts.</w:t>
      </w:r>
    </w:p>
    <w:p>
      <w:pPr>
        <w:spacing w:after="0" w:line="152"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8.8          Record Keeping</w:t>
      </w:r>
      <w:r>
        <w:rPr>
          <w:rFonts w:ascii="Times New Roman" w:cs="Times New Roman" w:eastAsia="Times New Roman" w:hAnsi="Times New Roman"/>
          <w:sz w:val="15"/>
          <w:szCs w:val="15"/>
          <w:color w:val="auto"/>
        </w:rPr>
        <w:t>. Licensee shall keep and maintain, and shall cause its Affiliates and Sublicensees to keep and maintain, complete and accurate books and records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sufficient to support and confirm the calculation of gross invoiced sales, Net Sales, exchange rates and milestone and royalty payments under </w:t>
      </w:r>
      <w:r>
        <w:rPr>
          <w:rFonts w:ascii="Times New Roman" w:cs="Times New Roman" w:eastAsia="Times New Roman" w:hAnsi="Times New Roman"/>
          <w:sz w:val="15"/>
          <w:szCs w:val="15"/>
          <w:u w:val="single" w:color="auto"/>
          <w:color w:val="auto"/>
        </w:rPr>
        <w:t>Sections 8.2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8.3</w:t>
      </w:r>
      <w:r>
        <w:rPr>
          <w:rFonts w:ascii="Times New Roman" w:cs="Times New Roman" w:eastAsia="Times New Roman" w:hAnsi="Times New Roman"/>
          <w:sz w:val="15"/>
          <w:szCs w:val="15"/>
          <w:color w:val="auto"/>
        </w:rPr>
        <w:t xml:space="preserve"> in accordance with Accounting Standard and shall retain such books and records for a period of at least [***] after the end of the Calendar Quarter in which they are generated.</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65" w:name="page466"/>
    <w:bookmarkEnd w:id="465"/>
    <w:p>
      <w:pPr>
        <w:jc w:val="both"/>
        <w:ind w:firstLine="1055"/>
        <w:spacing w:after="0" w:line="248" w:lineRule="auto"/>
        <w:rPr>
          <w:sz w:val="20"/>
          <w:szCs w:val="20"/>
          <w:color w:val="auto"/>
        </w:rPr>
      </w:pPr>
      <w:r>
        <w:rPr>
          <w:rFonts w:ascii="Times New Roman" w:cs="Times New Roman" w:eastAsia="Times New Roman" w:hAnsi="Times New Roman"/>
          <w:sz w:val="15"/>
          <w:szCs w:val="15"/>
          <w:b w:val="1"/>
          <w:bCs w:val="1"/>
          <w:color w:val="auto"/>
        </w:rPr>
        <w:t>8.9          Audits</w:t>
      </w:r>
      <w:r>
        <w:rPr>
          <w:rFonts w:ascii="Times New Roman" w:cs="Times New Roman" w:eastAsia="Times New Roman" w:hAnsi="Times New Roman"/>
          <w:sz w:val="15"/>
          <w:szCs w:val="15"/>
          <w:color w:val="auto"/>
        </w:rPr>
        <w:t>. Upon [***] prior written notice from Zenas, Licensee shall permit an independent certified public accounting firm of nationally recognized standing selected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by Zenas and reasonably acceptable to Licensee, to examine, at Zenas’s sole expense (subject to </w:t>
      </w:r>
      <w:r>
        <w:rPr>
          <w:rFonts w:ascii="Times New Roman" w:cs="Times New Roman" w:eastAsia="Times New Roman" w:hAnsi="Times New Roman"/>
          <w:sz w:val="15"/>
          <w:szCs w:val="15"/>
          <w:u w:val="single" w:color="auto"/>
          <w:color w:val="auto"/>
        </w:rPr>
        <w:t>Section 8.10</w:t>
      </w:r>
      <w:r>
        <w:rPr>
          <w:rFonts w:ascii="Times New Roman" w:cs="Times New Roman" w:eastAsia="Times New Roman" w:hAnsi="Times New Roman"/>
          <w:sz w:val="15"/>
          <w:szCs w:val="15"/>
          <w:color w:val="auto"/>
        </w:rPr>
        <w:t xml:space="preserve">), the relevant financial records of Licensee, its Affiliates or Sublicensees as may be reasonably necessary to verify the accuracy of the royalties and sales milestone payments made by Licensee in accordance with this </w:t>
      </w:r>
      <w:r>
        <w:rPr>
          <w:rFonts w:ascii="Times New Roman" w:cs="Times New Roman" w:eastAsia="Times New Roman" w:hAnsi="Times New Roman"/>
          <w:sz w:val="15"/>
          <w:szCs w:val="15"/>
          <w:u w:val="single" w:color="auto"/>
          <w:color w:val="auto"/>
        </w:rPr>
        <w:t>Article 8</w:t>
      </w:r>
      <w:r>
        <w:rPr>
          <w:rFonts w:ascii="Times New Roman" w:cs="Times New Roman" w:eastAsia="Times New Roman" w:hAnsi="Times New Roman"/>
          <w:sz w:val="15"/>
          <w:szCs w:val="15"/>
          <w:color w:val="auto"/>
        </w:rPr>
        <w:t xml:space="preserve">. Zenas shall be entitled to conduct an audit in accordance with this </w:t>
      </w:r>
      <w:r>
        <w:rPr>
          <w:rFonts w:ascii="Times New Roman" w:cs="Times New Roman" w:eastAsia="Times New Roman" w:hAnsi="Times New Roman"/>
          <w:sz w:val="15"/>
          <w:szCs w:val="15"/>
          <w:u w:val="single" w:color="auto"/>
          <w:color w:val="auto"/>
        </w:rPr>
        <w:t>Section 8.9</w:t>
      </w:r>
      <w:r>
        <w:rPr>
          <w:rFonts w:ascii="Times New Roman" w:cs="Times New Roman" w:eastAsia="Times New Roman" w:hAnsi="Times New Roman"/>
          <w:sz w:val="15"/>
          <w:szCs w:val="15"/>
          <w:color w:val="auto"/>
        </w:rPr>
        <w:t xml:space="preserve"> [***], except in the case of any subsequent “for cause” audits, and such audit shall be limited to the pertinent financial records from any Calendar Year ending [***]. The notice must identify the period of time subject to inspection. Records from a period of time already subject to an inspection pursuant to this </w:t>
      </w:r>
      <w:r>
        <w:rPr>
          <w:rFonts w:ascii="Times New Roman" w:cs="Times New Roman" w:eastAsia="Times New Roman" w:hAnsi="Times New Roman"/>
          <w:sz w:val="15"/>
          <w:szCs w:val="15"/>
          <w:u w:val="single" w:color="auto"/>
          <w:color w:val="auto"/>
        </w:rPr>
        <w:t>Section 8.9</w:t>
      </w:r>
      <w:r>
        <w:rPr>
          <w:rFonts w:ascii="Times New Roman" w:cs="Times New Roman" w:eastAsia="Times New Roman" w:hAnsi="Times New Roman"/>
          <w:sz w:val="15"/>
          <w:szCs w:val="15"/>
          <w:color w:val="auto"/>
        </w:rPr>
        <w:t xml:space="preserve"> may not be inspected again, except in the case of any subsequent “for cause” audits. The accounting firm shall be provided access to such records at the facility(ies) where such records are normally kept and such audit shall be conducted during normal business hours. Such accountant must have agreed in writing to maintain the confidentiality of all information learned in confidence, except as necessary to disclose any discrepancy to Zenas. Any information provided by Licensee to the accounting firm and any disclosure of the accounting firm to Zenas pursuant to the immediately preceding sentence shall be the Confidential Information of Licensee.</w:t>
      </w:r>
    </w:p>
    <w:p>
      <w:pPr>
        <w:spacing w:after="0" w:line="154" w:lineRule="exact"/>
        <w:rPr>
          <w:sz w:val="20"/>
          <w:szCs w:val="20"/>
          <w:color w:val="auto"/>
        </w:rPr>
      </w:pPr>
    </w:p>
    <w:p>
      <w:pPr>
        <w:jc w:val="both"/>
        <w:ind w:firstLine="1055"/>
        <w:spacing w:after="0" w:line="251" w:lineRule="auto"/>
        <w:rPr>
          <w:sz w:val="20"/>
          <w:szCs w:val="20"/>
          <w:color w:val="auto"/>
        </w:rPr>
      </w:pPr>
      <w:r>
        <w:rPr>
          <w:rFonts w:ascii="Times New Roman" w:cs="Times New Roman" w:eastAsia="Times New Roman" w:hAnsi="Times New Roman"/>
          <w:sz w:val="15"/>
          <w:szCs w:val="15"/>
          <w:b w:val="1"/>
          <w:bCs w:val="1"/>
          <w:color w:val="auto"/>
        </w:rPr>
        <w:t>8.10        Underpayments/Overpayments</w:t>
      </w:r>
      <w:r>
        <w:rPr>
          <w:rFonts w:ascii="Times New Roman" w:cs="Times New Roman" w:eastAsia="Times New Roman" w:hAnsi="Times New Roman"/>
          <w:sz w:val="15"/>
          <w:szCs w:val="15"/>
          <w:color w:val="auto"/>
        </w:rPr>
        <w:t>. If a report of an independent public accounting firm submitted to Zenas and Licensee in accordance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8.9</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shows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underpayment of royalties or milestone payments due under this </w:t>
      </w:r>
      <w:r>
        <w:rPr>
          <w:rFonts w:ascii="Times New Roman" w:cs="Times New Roman" w:eastAsia="Times New Roman" w:hAnsi="Times New Roman"/>
          <w:sz w:val="15"/>
          <w:szCs w:val="15"/>
          <w:u w:val="single" w:color="auto"/>
          <w:color w:val="auto"/>
        </w:rPr>
        <w:t>Article 8</w:t>
      </w:r>
      <w:r>
        <w:rPr>
          <w:rFonts w:ascii="Times New Roman" w:cs="Times New Roman" w:eastAsia="Times New Roman" w:hAnsi="Times New Roman"/>
          <w:sz w:val="15"/>
          <w:szCs w:val="15"/>
          <w:color w:val="auto"/>
        </w:rPr>
        <w:t xml:space="preserve">, Licensee shall remit to Zenas within [***] after receipt of such report by Licensee: (a) the amount of such underpayment and (b) if such underpayment exceeds [***] of the total amount owed to Zenas for the Calendar Year then being audited, the reasonable fees and expenses of such independent public accounting firm performing the audit, subject to reasonable substantiation thereof. If such independent public accounting firm’s written report shows any overpayment of royalties and milestone payments due under this </w:t>
      </w:r>
      <w:r>
        <w:rPr>
          <w:rFonts w:ascii="Times New Roman" w:cs="Times New Roman" w:eastAsia="Times New Roman" w:hAnsi="Times New Roman"/>
          <w:sz w:val="15"/>
          <w:szCs w:val="15"/>
          <w:u w:val="single" w:color="auto"/>
          <w:color w:val="auto"/>
        </w:rPr>
        <w:t>Article 8</w:t>
      </w:r>
      <w:r>
        <w:rPr>
          <w:rFonts w:ascii="Times New Roman" w:cs="Times New Roman" w:eastAsia="Times New Roman" w:hAnsi="Times New Roman"/>
          <w:sz w:val="15"/>
          <w:szCs w:val="15"/>
          <w:color w:val="auto"/>
        </w:rPr>
        <w:t>, Zenas shall, [***].</w:t>
      </w:r>
    </w:p>
    <w:p>
      <w:pPr>
        <w:spacing w:after="0" w:line="153" w:lineRule="exact"/>
        <w:rPr>
          <w:sz w:val="20"/>
          <w:szCs w:val="20"/>
          <w:color w:val="auto"/>
        </w:rPr>
      </w:pPr>
    </w:p>
    <w:p>
      <w:pPr>
        <w:jc w:val="both"/>
        <w:ind w:firstLine="1055"/>
        <w:spacing w:after="0" w:line="251" w:lineRule="auto"/>
        <w:rPr>
          <w:sz w:val="20"/>
          <w:szCs w:val="20"/>
          <w:color w:val="auto"/>
        </w:rPr>
      </w:pPr>
      <w:r>
        <w:rPr>
          <w:rFonts w:ascii="Times New Roman" w:cs="Times New Roman" w:eastAsia="Times New Roman" w:hAnsi="Times New Roman"/>
          <w:sz w:val="15"/>
          <w:szCs w:val="15"/>
          <w:b w:val="1"/>
          <w:bCs w:val="1"/>
          <w:color w:val="auto"/>
        </w:rPr>
        <w:t>8.11        Interest</w:t>
      </w:r>
      <w:r>
        <w:rPr>
          <w:rFonts w:ascii="Times New Roman" w:cs="Times New Roman" w:eastAsia="Times New Roman" w:hAnsi="Times New Roman"/>
          <w:sz w:val="15"/>
          <w:szCs w:val="15"/>
          <w:color w:val="auto"/>
        </w:rPr>
        <w:t>. Licensee shall pay interest on any amounts overdue under this Agreement at a per annum rate of [***] above the average of the prime rate as published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The Wall Street Journal</w:t>
      </w:r>
      <w:r>
        <w:rPr>
          <w:rFonts w:ascii="Times New Roman" w:cs="Times New Roman" w:eastAsia="Times New Roman" w:hAnsi="Times New Roman"/>
          <w:sz w:val="15"/>
          <w:szCs w:val="15"/>
          <w:color w:val="auto"/>
        </w:rPr>
        <w:t>, Western U.S. Edition, or any successor thereto during the [***] immediately preceding the due date of such overdue payment;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in no event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shall such rate exceed the maximum legal annual interest rate. Royalties and other payments required to be paid by Licensee pursuant to this Agreement shall, if overdue, bear interest from the day the original payment was due until the day that the payment was received by Zenas. The payment of such interest shall not foreclose Zenas from exercising any other rights it may have because any payment is overdue.</w:t>
      </w:r>
    </w:p>
    <w:p>
      <w:pPr>
        <w:spacing w:after="0" w:line="153" w:lineRule="exact"/>
        <w:rPr>
          <w:sz w:val="20"/>
          <w:szCs w:val="20"/>
          <w:color w:val="auto"/>
        </w:rPr>
      </w:pPr>
    </w:p>
    <w:p>
      <w:pPr>
        <w:jc w:val="both"/>
        <w:ind w:firstLine="1055"/>
        <w:spacing w:after="0" w:line="253" w:lineRule="auto"/>
        <w:rPr>
          <w:sz w:val="20"/>
          <w:szCs w:val="20"/>
          <w:color w:val="auto"/>
        </w:rPr>
      </w:pPr>
      <w:r>
        <w:rPr>
          <w:rFonts w:ascii="Times New Roman" w:cs="Times New Roman" w:eastAsia="Times New Roman" w:hAnsi="Times New Roman"/>
          <w:sz w:val="15"/>
          <w:szCs w:val="15"/>
          <w:b w:val="1"/>
          <w:bCs w:val="1"/>
          <w:color w:val="auto"/>
        </w:rPr>
        <w:t>8.12        Offset Rights</w:t>
      </w:r>
      <w:r>
        <w:rPr>
          <w:rFonts w:ascii="Times New Roman" w:cs="Times New Roman" w:eastAsia="Times New Roman" w:hAnsi="Times New Roman"/>
          <w:sz w:val="15"/>
          <w:szCs w:val="15"/>
          <w:color w:val="auto"/>
        </w:rPr>
        <w:t>. Each Party shall have the right to offset any (a) undisputed amount or (b) disputed amount once such dispute has been finally resolved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15.3</w:t>
      </w:r>
      <w:r>
        <w:rPr>
          <w:rFonts w:ascii="Times New Roman" w:cs="Times New Roman" w:eastAsia="Times New Roman" w:hAnsi="Times New Roman"/>
          <w:sz w:val="15"/>
          <w:szCs w:val="15"/>
          <w:color w:val="auto"/>
        </w:rPr>
        <w:t xml:space="preserve">, in each case ((a) and (b)), owed by the other Party to such first Party under or in connection with this Agreement, including if such amount were originally payable pursuant to </w:t>
      </w:r>
      <w:r>
        <w:rPr>
          <w:rFonts w:ascii="Times New Roman" w:cs="Times New Roman" w:eastAsia="Times New Roman" w:hAnsi="Times New Roman"/>
          <w:sz w:val="15"/>
          <w:szCs w:val="15"/>
          <w:u w:val="single" w:color="auto"/>
          <w:color w:val="auto"/>
        </w:rPr>
        <w:t>Article 14</w:t>
      </w:r>
      <w:r>
        <w:rPr>
          <w:rFonts w:ascii="Times New Roman" w:cs="Times New Roman" w:eastAsia="Times New Roman" w:hAnsi="Times New Roman"/>
          <w:sz w:val="15"/>
          <w:szCs w:val="15"/>
          <w:color w:val="auto"/>
        </w:rPr>
        <w:t xml:space="preserve"> or in connection with any breach, against any royalty payments or any undisputed payments due pursuant to </w:t>
      </w:r>
      <w:r>
        <w:rPr>
          <w:rFonts w:ascii="Times New Roman" w:cs="Times New Roman" w:eastAsia="Times New Roman" w:hAnsi="Times New Roman"/>
          <w:sz w:val="15"/>
          <w:szCs w:val="15"/>
          <w:u w:val="single" w:color="auto"/>
          <w:color w:val="auto"/>
        </w:rPr>
        <w:t>Section 4.4.9(b)</w:t>
      </w:r>
      <w:r>
        <w:rPr>
          <w:rFonts w:ascii="Times New Roman" w:cs="Times New Roman" w:eastAsia="Times New Roman" w:hAnsi="Times New Roman"/>
          <w:sz w:val="15"/>
          <w:szCs w:val="15"/>
          <w:color w:val="auto"/>
        </w:rPr>
        <w:t xml:space="preserve"> owed by such first Party to such other Party under this Agreement. Such offsets shall be in addition to any other rights or remedies available under this Agreement and Applicable Laws.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66" w:name="page467"/>
    <w:bookmarkEnd w:id="466"/>
    <w:p>
      <w:pPr>
        <w:ind w:left="540"/>
        <w:spacing w:after="0"/>
        <w:rPr>
          <w:sz w:val="20"/>
          <w:szCs w:val="20"/>
          <w:color w:val="auto"/>
        </w:rPr>
      </w:pPr>
      <w:r>
        <w:rPr>
          <w:rFonts w:ascii="Times New Roman" w:cs="Times New Roman" w:eastAsia="Times New Roman" w:hAnsi="Times New Roman"/>
          <w:sz w:val="15"/>
          <w:szCs w:val="15"/>
          <w:b w:val="1"/>
          <w:bCs w:val="1"/>
          <w:color w:val="auto"/>
        </w:rPr>
        <w:t>9.          </w:t>
      </w:r>
      <w:r>
        <w:rPr>
          <w:rFonts w:ascii="Times New Roman" w:cs="Times New Roman" w:eastAsia="Times New Roman" w:hAnsi="Times New Roman"/>
          <w:sz w:val="15"/>
          <w:szCs w:val="15"/>
          <w:b w:val="1"/>
          <w:bCs w:val="1"/>
          <w:u w:val="single" w:color="auto"/>
          <w:color w:val="auto"/>
        </w:rPr>
        <w:t>  Covenants</w:t>
      </w:r>
      <w:r>
        <w:rPr>
          <w:rFonts w:ascii="Times New Roman" w:cs="Times New Roman" w:eastAsia="Times New Roman" w:hAnsi="Times New Roman"/>
          <w:sz w:val="15"/>
          <w:szCs w:val="15"/>
          <w:b w:val="1"/>
          <w:bCs w:val="1"/>
          <w:color w:val="auto"/>
        </w:rPr>
        <w:t>.</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9.1          Confidentiality</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firstLine="1582"/>
        <w:spacing w:after="0" w:line="248" w:lineRule="auto"/>
        <w:rPr>
          <w:sz w:val="20"/>
          <w:szCs w:val="20"/>
          <w:color w:val="auto"/>
        </w:rPr>
      </w:pPr>
      <w:r>
        <w:rPr>
          <w:rFonts w:ascii="Times New Roman" w:cs="Times New Roman" w:eastAsia="Times New Roman" w:hAnsi="Times New Roman"/>
          <w:sz w:val="15"/>
          <w:szCs w:val="15"/>
          <w:color w:val="auto"/>
        </w:rPr>
        <w:t>9.1.1            </w:t>
      </w:r>
      <w:r>
        <w:rPr>
          <w:rFonts w:ascii="Times New Roman" w:cs="Times New Roman" w:eastAsia="Times New Roman" w:hAnsi="Times New Roman"/>
          <w:sz w:val="15"/>
          <w:szCs w:val="15"/>
          <w:b w:val="1"/>
          <w:bCs w:val="1"/>
          <w:color w:val="auto"/>
        </w:rPr>
        <w:t>Confidential Information</w:t>
      </w:r>
      <w:r>
        <w:rPr>
          <w:rFonts w:ascii="Times New Roman" w:cs="Times New Roman" w:eastAsia="Times New Roman" w:hAnsi="Times New Roman"/>
          <w:sz w:val="15"/>
          <w:szCs w:val="15"/>
          <w:color w:val="auto"/>
        </w:rPr>
        <w:t xml:space="preserve">. Except to the extent expressly permitted by this Agreement, and subject to the provisions of </w:t>
      </w:r>
      <w:r>
        <w:rPr>
          <w:rFonts w:ascii="Times New Roman" w:cs="Times New Roman" w:eastAsia="Times New Roman" w:hAnsi="Times New Roman"/>
          <w:sz w:val="15"/>
          <w:szCs w:val="15"/>
          <w:u w:val="single" w:color="auto"/>
          <w:color w:val="auto"/>
        </w:rPr>
        <w:t>Sections 9.1.2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9.1.3</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11.10</w:t>
      </w:r>
      <w:r>
        <w:rPr>
          <w:rFonts w:ascii="Times New Roman" w:cs="Times New Roman" w:eastAsia="Times New Roman" w:hAnsi="Times New Roman"/>
          <w:sz w:val="15"/>
          <w:szCs w:val="15"/>
          <w:color w:val="auto"/>
        </w:rPr>
        <w:t>, during the Term and for a period of [***] thereafter, a Party receiving any Confidential Information hereunder (the “</w:t>
      </w:r>
      <w:r>
        <w:rPr>
          <w:rFonts w:ascii="Times New Roman" w:cs="Times New Roman" w:eastAsia="Times New Roman" w:hAnsi="Times New Roman"/>
          <w:sz w:val="15"/>
          <w:szCs w:val="15"/>
          <w:b w:val="1"/>
          <w:bCs w:val="1"/>
          <w:color w:val="auto"/>
        </w:rPr>
        <w:t>Receiving Party</w:t>
      </w:r>
      <w:r>
        <w:rPr>
          <w:rFonts w:ascii="Times New Roman" w:cs="Times New Roman" w:eastAsia="Times New Roman" w:hAnsi="Times New Roman"/>
          <w:sz w:val="15"/>
          <w:szCs w:val="15"/>
          <w:color w:val="auto"/>
        </w:rPr>
        <w:t>”) (a) shall maintain in confidence all Confidential Information of the disclosing Party (the “</w:t>
      </w:r>
      <w:r>
        <w:rPr>
          <w:rFonts w:ascii="Times New Roman" w:cs="Times New Roman" w:eastAsia="Times New Roman" w:hAnsi="Times New Roman"/>
          <w:sz w:val="15"/>
          <w:szCs w:val="15"/>
          <w:b w:val="1"/>
          <w:bCs w:val="1"/>
          <w:color w:val="auto"/>
        </w:rPr>
        <w:t>Disclosing Party</w:t>
      </w:r>
      <w:r>
        <w:rPr>
          <w:rFonts w:ascii="Times New Roman" w:cs="Times New Roman" w:eastAsia="Times New Roman" w:hAnsi="Times New Roman"/>
          <w:sz w:val="15"/>
          <w:szCs w:val="15"/>
          <w:color w:val="auto"/>
        </w:rPr>
        <w:t>”) to the same extent such Receiving Party maintains its own proprietary information of similar kind and value, and, in any event, using no less than a reasonable standard of care; (b) shall not use such Confidential Information directly or indirectly for any purpose except to exercise its rights or perform its obligations hereunder; and (c) shall not publish or otherwise disclose any such Confidential Information to anyone other than the Receiving Party’s Affiliates or actual collaborators (including sublicensees or subcontractors), and its and their employees, consultants, advisors, partners, or representatives who have a need to know such information (collectively, “</w:t>
      </w:r>
      <w:r>
        <w:rPr>
          <w:rFonts w:ascii="Times New Roman" w:cs="Times New Roman" w:eastAsia="Times New Roman" w:hAnsi="Times New Roman"/>
          <w:sz w:val="15"/>
          <w:szCs w:val="15"/>
          <w:b w:val="1"/>
          <w:bCs w:val="1"/>
          <w:color w:val="auto"/>
        </w:rPr>
        <w:t>Recipients</w:t>
      </w:r>
      <w:r>
        <w:rPr>
          <w:rFonts w:ascii="Times New Roman" w:cs="Times New Roman" w:eastAsia="Times New Roman" w:hAnsi="Times New Roman"/>
          <w:sz w:val="15"/>
          <w:szCs w:val="15"/>
          <w:color w:val="auto"/>
        </w:rPr>
        <w:t xml:space="preserve">”) to perform the Receiving Party’s obligations or exercising its rights hereunder and who are bound by written confidentiality obligations no less stringent than those set forth in this </w:t>
      </w:r>
      <w:r>
        <w:rPr>
          <w:rFonts w:ascii="Times New Roman" w:cs="Times New Roman" w:eastAsia="Times New Roman" w:hAnsi="Times New Roman"/>
          <w:sz w:val="15"/>
          <w:szCs w:val="15"/>
          <w:u w:val="single" w:color="auto"/>
          <w:color w:val="auto"/>
        </w:rPr>
        <w:t>Section 9.1</w:t>
      </w:r>
      <w:r>
        <w:rPr>
          <w:rFonts w:ascii="Times New Roman" w:cs="Times New Roman" w:eastAsia="Times New Roman" w:hAnsi="Times New Roman"/>
          <w:sz w:val="15"/>
          <w:szCs w:val="15"/>
          <w:color w:val="auto"/>
        </w:rPr>
        <w:t>. The Receiving Party shall be liable for any breach by any of its Recipients of the restrictions set forth in this Agreement.</w:t>
      </w:r>
    </w:p>
    <w:p>
      <w:pPr>
        <w:spacing w:after="0" w:line="15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9.1.2            </w:t>
      </w:r>
      <w:r>
        <w:rPr>
          <w:rFonts w:ascii="Times New Roman" w:cs="Times New Roman" w:eastAsia="Times New Roman" w:hAnsi="Times New Roman"/>
          <w:sz w:val="15"/>
          <w:szCs w:val="15"/>
          <w:b w:val="1"/>
          <w:bCs w:val="1"/>
          <w:color w:val="auto"/>
        </w:rPr>
        <w:t>Exceptions to Confidentiality</w:t>
      </w:r>
      <w:r>
        <w:rPr>
          <w:rFonts w:ascii="Times New Roman" w:cs="Times New Roman" w:eastAsia="Times New Roman" w:hAnsi="Times New Roman"/>
          <w:sz w:val="15"/>
          <w:szCs w:val="15"/>
          <w:color w:val="auto"/>
        </w:rPr>
        <w:t>. The Receiving Party’s obligations set forth in this Agreement shall not extend to any Confidential Information of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Disclosing Party:</w:t>
      </w:r>
    </w:p>
    <w:p>
      <w:pPr>
        <w:spacing w:after="0" w:line="16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    (a)            that is or hereafter becomes part of the public domain through no wrongful act, fault or negligence on the part of a Receiving Party or its Recipients;</w:t>
      </w:r>
    </w:p>
    <w:p>
      <w:pPr>
        <w:spacing w:after="0" w:line="1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    (b)            that is received from a Third Party without restriction and without breach of any agreement or fiduciary duty between such Third Party and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Disclosing Party;</w:t>
      </w:r>
    </w:p>
    <w:p>
      <w:pPr>
        <w:spacing w:after="0" w:line="164"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(c)            that the Receiving Party can demonstrate by competent evidence was already in its possession without any limitation or restriction on use or disclosure prior to its receipt from the Disclosing Party; or</w:t>
      </w:r>
    </w:p>
    <w:p>
      <w:pPr>
        <w:spacing w:after="0" w:line="141"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(d)            that the Receiving Party can demonstrate by competent evidence was independently developed by the Receiving Party without any use of or reference to Confidential Information.</w:t>
      </w:r>
    </w:p>
    <w:p>
      <w:pPr>
        <w:spacing w:after="0" w:line="139" w:lineRule="exact"/>
        <w:rPr>
          <w:sz w:val="20"/>
          <w:szCs w:val="20"/>
          <w:color w:val="auto"/>
        </w:rPr>
      </w:pPr>
    </w:p>
    <w:p>
      <w:pPr>
        <w:jc w:val="both"/>
        <w:ind w:firstLine="1582"/>
        <w:spacing w:after="0" w:line="272" w:lineRule="auto"/>
        <w:rPr>
          <w:sz w:val="20"/>
          <w:szCs w:val="20"/>
          <w:color w:val="auto"/>
        </w:rPr>
      </w:pPr>
      <w:r>
        <w:rPr>
          <w:rFonts w:ascii="Times New Roman" w:cs="Times New Roman" w:eastAsia="Times New Roman" w:hAnsi="Times New Roman"/>
          <w:sz w:val="15"/>
          <w:szCs w:val="15"/>
          <w:color w:val="auto"/>
        </w:rPr>
        <w:t>9.1.3            </w:t>
      </w:r>
      <w:r>
        <w:rPr>
          <w:rFonts w:ascii="Times New Roman" w:cs="Times New Roman" w:eastAsia="Times New Roman" w:hAnsi="Times New Roman"/>
          <w:sz w:val="15"/>
          <w:szCs w:val="15"/>
          <w:b w:val="1"/>
          <w:bCs w:val="1"/>
          <w:color w:val="auto"/>
        </w:rPr>
        <w:t>Authorized Disclosure</w:t>
      </w:r>
      <w:r>
        <w:rPr>
          <w:rFonts w:ascii="Times New Roman" w:cs="Times New Roman" w:eastAsia="Times New Roman" w:hAnsi="Times New Roman"/>
          <w:sz w:val="15"/>
          <w:szCs w:val="15"/>
          <w:color w:val="auto"/>
        </w:rPr>
        <w:t xml:space="preserve">. Notwithstanding the provisions of </w:t>
      </w:r>
      <w:r>
        <w:rPr>
          <w:rFonts w:ascii="Times New Roman" w:cs="Times New Roman" w:eastAsia="Times New Roman" w:hAnsi="Times New Roman"/>
          <w:sz w:val="15"/>
          <w:szCs w:val="15"/>
          <w:u w:val="single" w:color="auto"/>
          <w:color w:val="auto"/>
        </w:rPr>
        <w:t>Section 9.1.1</w:t>
      </w:r>
      <w:r>
        <w:rPr>
          <w:rFonts w:ascii="Times New Roman" w:cs="Times New Roman" w:eastAsia="Times New Roman" w:hAnsi="Times New Roman"/>
          <w:sz w:val="15"/>
          <w:szCs w:val="15"/>
          <w:color w:val="auto"/>
        </w:rPr>
        <w:t>, the Receiving Party and its Recipients may disclose Confidential Information belonging to the Disclosing Party to the extent that such disclosure is reasonably necessary:</w:t>
      </w:r>
    </w:p>
    <w:p>
      <w:pPr>
        <w:spacing w:after="0" w:line="138"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(a)            to comply with applicable governmental laws, court orders, and regulations (including Applicable Laws or any rule or regulation or the requirements of a national securities exchange or another similar regulatory body);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67" w:name="page468"/>
    <w:bookmarkEnd w:id="467"/>
    <w:p>
      <w:pPr>
        <w:ind w:left="2120"/>
        <w:spacing w:after="0"/>
        <w:rPr>
          <w:sz w:val="20"/>
          <w:szCs w:val="20"/>
          <w:color w:val="auto"/>
        </w:rPr>
      </w:pPr>
      <w:r>
        <w:rPr>
          <w:rFonts w:ascii="Times New Roman" w:cs="Times New Roman" w:eastAsia="Times New Roman" w:hAnsi="Times New Roman"/>
          <w:sz w:val="15"/>
          <w:szCs w:val="15"/>
          <w:color w:val="auto"/>
        </w:rPr>
        <w:t>     (b)            to make filings and submissions to, or correspond or communicate with, any Government Authority; or</w:t>
      </w:r>
    </w:p>
    <w:p>
      <w:pPr>
        <w:spacing w:after="0" w:line="179"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xml:space="preserve">     (c)            to potential or actual investment bankers, investors, lenders, or acquirers, who have a need to know such information and who are bound by written confidentiality obligations no less stringent than those set forth in this </w:t>
      </w:r>
      <w:r>
        <w:rPr>
          <w:rFonts w:ascii="Times New Roman" w:cs="Times New Roman" w:eastAsia="Times New Roman" w:hAnsi="Times New Roman"/>
          <w:sz w:val="15"/>
          <w:szCs w:val="15"/>
          <w:u w:val="single" w:color="auto"/>
          <w:color w:val="auto"/>
        </w:rPr>
        <w:t>Section 9.1</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 xml:space="preserve">In the event that the Receiving Party or its Recipients, as applicable, deem it reasonably necessary to disclose Confidential Information belonging to the Disclosing Party pursuant to this </w:t>
      </w:r>
      <w:r>
        <w:rPr>
          <w:rFonts w:ascii="Times New Roman" w:cs="Times New Roman" w:eastAsia="Times New Roman" w:hAnsi="Times New Roman"/>
          <w:sz w:val="15"/>
          <w:szCs w:val="15"/>
          <w:u w:val="single" w:color="auto"/>
          <w:color w:val="auto"/>
        </w:rPr>
        <w:t>Section 9.1.3</w:t>
      </w:r>
      <w:r>
        <w:rPr>
          <w:rFonts w:ascii="Times New Roman" w:cs="Times New Roman" w:eastAsia="Times New Roman" w:hAnsi="Times New Roman"/>
          <w:sz w:val="15"/>
          <w:szCs w:val="15"/>
          <w:color w:val="auto"/>
        </w:rPr>
        <w:t xml:space="preserve">, the Receiving Party shall, (i) to the extent possible, provide the Disclosing Party with reasonable advance notice of such disclosure and take reasonable measures to ensure confidential treatment of such information, including by allowing the Disclosing Party to review and, if permitted under Applicable Laws, regulations and court orders, make redactions to any such disclosure; and (ii) only disclose such Confidential Information to the extent of such necessity or requirements, and no such disclosure shall cause any such information to cease to be Confidential Information hereunder, except to the extent such disclosure results in a public disclosure of such information. In addition, the Receiving Party may disclose Confidential Information belonging to the Disclosing Party to any Third Party who is performing diligence in connection with a transaction with the Receiving Party (including potential Sublicensees and licensees),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each such Third Party has signed a written confidentiality agreement with the Receiving Party relating to such Confidential Information no less strict than the terms of this </w:t>
      </w:r>
      <w:r>
        <w:rPr>
          <w:rFonts w:ascii="Times New Roman" w:cs="Times New Roman" w:eastAsia="Times New Roman" w:hAnsi="Times New Roman"/>
          <w:sz w:val="15"/>
          <w:szCs w:val="15"/>
          <w:u w:val="single" w:color="auto"/>
          <w:color w:val="auto"/>
        </w:rPr>
        <w:t>Section 9.1</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ind w:firstLine="1582"/>
        <w:spacing w:after="0" w:line="272" w:lineRule="auto"/>
        <w:rPr>
          <w:sz w:val="20"/>
          <w:szCs w:val="20"/>
          <w:color w:val="auto"/>
        </w:rPr>
      </w:pPr>
      <w:r>
        <w:rPr>
          <w:rFonts w:ascii="Times New Roman" w:cs="Times New Roman" w:eastAsia="Times New Roman" w:hAnsi="Times New Roman"/>
          <w:sz w:val="15"/>
          <w:szCs w:val="15"/>
          <w:color w:val="auto"/>
        </w:rPr>
        <w:t>9.1.4            </w:t>
      </w:r>
      <w:r>
        <w:rPr>
          <w:rFonts w:ascii="Times New Roman" w:cs="Times New Roman" w:eastAsia="Times New Roman" w:hAnsi="Times New Roman"/>
          <w:sz w:val="15"/>
          <w:szCs w:val="15"/>
          <w:b w:val="1"/>
          <w:bCs w:val="1"/>
          <w:color w:val="auto"/>
        </w:rPr>
        <w:t>Notification</w:t>
      </w:r>
      <w:r>
        <w:rPr>
          <w:rFonts w:ascii="Times New Roman" w:cs="Times New Roman" w:eastAsia="Times New Roman" w:hAnsi="Times New Roman"/>
          <w:sz w:val="15"/>
          <w:szCs w:val="15"/>
          <w:color w:val="auto"/>
        </w:rPr>
        <w:t>. The Receiving Party shall notify the Disclosing Party immediately in writing, and cooperate with the Disclosing Party as the Disclosing Party may reasonably request, upon the Receiving Party’s discovery of any loss or compromise of the Disclosing Party’s Confidential Information.</w:t>
      </w:r>
    </w:p>
    <w:p>
      <w:pPr>
        <w:spacing w:after="0" w:line="136" w:lineRule="exact"/>
        <w:rPr>
          <w:sz w:val="20"/>
          <w:szCs w:val="20"/>
          <w:color w:val="auto"/>
        </w:rPr>
      </w:pPr>
    </w:p>
    <w:p>
      <w:pPr>
        <w:jc w:val="both"/>
        <w:ind w:firstLine="1582"/>
        <w:spacing w:after="0" w:line="248" w:lineRule="auto"/>
        <w:rPr>
          <w:sz w:val="20"/>
          <w:szCs w:val="20"/>
          <w:color w:val="auto"/>
        </w:rPr>
      </w:pPr>
      <w:r>
        <w:rPr>
          <w:rFonts w:ascii="Times New Roman" w:cs="Times New Roman" w:eastAsia="Times New Roman" w:hAnsi="Times New Roman"/>
          <w:sz w:val="15"/>
          <w:szCs w:val="15"/>
          <w:color w:val="auto"/>
        </w:rPr>
        <w:t>9.1.5            </w:t>
      </w:r>
      <w:r>
        <w:rPr>
          <w:rFonts w:ascii="Times New Roman" w:cs="Times New Roman" w:eastAsia="Times New Roman" w:hAnsi="Times New Roman"/>
          <w:sz w:val="15"/>
          <w:szCs w:val="15"/>
          <w:b w:val="1"/>
          <w:bCs w:val="1"/>
          <w:color w:val="auto"/>
        </w:rPr>
        <w:t>Destruction of Confidential Information</w:t>
      </w:r>
      <w:r>
        <w:rPr>
          <w:rFonts w:ascii="Times New Roman" w:cs="Times New Roman" w:eastAsia="Times New Roman" w:hAnsi="Times New Roman"/>
          <w:sz w:val="15"/>
          <w:szCs w:val="15"/>
          <w:color w:val="auto"/>
        </w:rPr>
        <w:t xml:space="preserve">. Upon the earlier termination of this Agreement, the Receiving Party shall (a) return or destroy, at the Disclosing Party’s discretion, all tangible embodiments of Confidential Information of the Disclosing Party, including any and all copies thereof, and those portions of any documents, memoranda, notes, studies and analyses prepared by the Receiving Party or its Recipients that contain, incorporate or are derived from such Confidential Information and provide written certification of such destruction to the Disclosing Party in a form reasonably acceptable to the Disclosing Party; and (b) immediately cease, and shall cause its Recipients to cease, using such Confidential Information, as well as any information or materials that contain, incorporate or are derived from such Confidential Information. Notwithstanding the foregoing, the Receiving Party may retain one copy of the Disclosing Party’s Confidential Information for archive and regulatory compliance purposes, subject to any applicable continuing obligations of confidentiality and non-use as provided herein. This </w:t>
      </w:r>
      <w:r>
        <w:rPr>
          <w:rFonts w:ascii="Times New Roman" w:cs="Times New Roman" w:eastAsia="Times New Roman" w:hAnsi="Times New Roman"/>
          <w:sz w:val="15"/>
          <w:szCs w:val="15"/>
          <w:u w:val="single" w:color="auto"/>
          <w:color w:val="auto"/>
        </w:rPr>
        <w:t>Section 9.1.5</w:t>
      </w:r>
      <w:r>
        <w:rPr>
          <w:rFonts w:ascii="Times New Roman" w:cs="Times New Roman" w:eastAsia="Times New Roman" w:hAnsi="Times New Roman"/>
          <w:sz w:val="15"/>
          <w:szCs w:val="15"/>
          <w:color w:val="auto"/>
        </w:rPr>
        <w:t xml:space="preserve"> shall not apply with respect to any Confidential Information that is necessary for a Party to exercise its rights or obligation under any terms that survive termination of this Agreement.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68" w:name="page469"/>
    <w:bookmarkEnd w:id="468"/>
    <w:p>
      <w:pPr>
        <w:jc w:val="both"/>
        <w:ind w:firstLine="1582"/>
        <w:spacing w:after="0" w:line="247" w:lineRule="auto"/>
        <w:rPr>
          <w:sz w:val="20"/>
          <w:szCs w:val="20"/>
          <w:color w:val="auto"/>
        </w:rPr>
      </w:pPr>
      <w:r>
        <w:rPr>
          <w:rFonts w:ascii="Times New Roman" w:cs="Times New Roman" w:eastAsia="Times New Roman" w:hAnsi="Times New Roman"/>
          <w:sz w:val="15"/>
          <w:szCs w:val="15"/>
          <w:color w:val="auto"/>
        </w:rPr>
        <w:t>9.1.6            </w:t>
      </w:r>
      <w:r>
        <w:rPr>
          <w:rFonts w:ascii="Times New Roman" w:cs="Times New Roman" w:eastAsia="Times New Roman" w:hAnsi="Times New Roman"/>
          <w:sz w:val="15"/>
          <w:szCs w:val="15"/>
          <w:b w:val="1"/>
          <w:bCs w:val="1"/>
          <w:color w:val="auto"/>
        </w:rPr>
        <w:t>Use of Name and Disclosure of Terms</w:t>
      </w:r>
      <w:r>
        <w:rPr>
          <w:rFonts w:ascii="Times New Roman" w:cs="Times New Roman" w:eastAsia="Times New Roman" w:hAnsi="Times New Roman"/>
          <w:sz w:val="15"/>
          <w:szCs w:val="15"/>
          <w:color w:val="auto"/>
        </w:rPr>
        <w:t xml:space="preserve">. Promptly after the Effective Date, each Party may issue a press release in a form mutually agreed by the Parties. Subject to the foregoing, each Party shall keep the existence of, the terms of and the transactions covered by this Agreement confidential and shall not disclose such information to any Third Party through a press release or otherwise, or mention or otherwise use the name, insignia, symbol, trademark, trade name or logotype of the other Party or its Affiliates in any manner without the prior written consent of the other Party in each instance (which shall not be unreasonably withheld). The restrictions imposed by this </w:t>
      </w:r>
      <w:r>
        <w:rPr>
          <w:rFonts w:ascii="Times New Roman" w:cs="Times New Roman" w:eastAsia="Times New Roman" w:hAnsi="Times New Roman"/>
          <w:sz w:val="15"/>
          <w:szCs w:val="15"/>
          <w:u w:val="single" w:color="auto"/>
          <w:color w:val="auto"/>
        </w:rPr>
        <w:t>Section 9.1.6</w:t>
      </w:r>
      <w:r>
        <w:rPr>
          <w:rFonts w:ascii="Times New Roman" w:cs="Times New Roman" w:eastAsia="Times New Roman" w:hAnsi="Times New Roman"/>
          <w:sz w:val="15"/>
          <w:szCs w:val="15"/>
          <w:color w:val="auto"/>
        </w:rPr>
        <w:t xml:space="preserve"> shall not prohibit either Party from making any disclosure that is required by Applicable Law, or rule or regulation or the requirements of a national securities exchange or another similar regulatory body including disclosing such information in any clinical trial database maintained by or on behalf of a Party,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Receiving Party shall, to the extent possible, provide the Disclosing Party with reasonable advance notice of such disclosure and take reasonable measures to ensure confidential treatment of such information, including by allowing the Disclosing Party to review and, if lawful, make redactions to any such disclosure. Notwithstanding the foregoing, the Parties acknowledge that they each may engage in financing, licensing and merger and acquisition transactions after the Effective Date and that in such event, the Parties may disclose the existence and terms of this Agreement, under terms of confidentiality no less strict than those contained in this Agreement, to parties or potential parties in such transaction.</w:t>
      </w:r>
    </w:p>
    <w:p>
      <w:pPr>
        <w:spacing w:after="0" w:line="158" w:lineRule="exact"/>
        <w:rPr>
          <w:sz w:val="20"/>
          <w:szCs w:val="20"/>
          <w:color w:val="auto"/>
        </w:rPr>
      </w:pPr>
    </w:p>
    <w:p>
      <w:pPr>
        <w:jc w:val="both"/>
        <w:ind w:firstLine="1582"/>
        <w:spacing w:after="0" w:line="266" w:lineRule="auto"/>
        <w:rPr>
          <w:sz w:val="20"/>
          <w:szCs w:val="20"/>
          <w:color w:val="auto"/>
        </w:rPr>
      </w:pPr>
      <w:r>
        <w:rPr>
          <w:rFonts w:ascii="Times New Roman" w:cs="Times New Roman" w:eastAsia="Times New Roman" w:hAnsi="Times New Roman"/>
          <w:sz w:val="14"/>
          <w:szCs w:val="14"/>
          <w:color w:val="auto"/>
        </w:rPr>
        <w:t>9.1.7            </w:t>
      </w:r>
      <w:r>
        <w:rPr>
          <w:rFonts w:ascii="Times New Roman" w:cs="Times New Roman" w:eastAsia="Times New Roman" w:hAnsi="Times New Roman"/>
          <w:sz w:val="14"/>
          <w:szCs w:val="14"/>
          <w:b w:val="1"/>
          <w:bCs w:val="1"/>
          <w:color w:val="auto"/>
        </w:rPr>
        <w:t>Remedies</w:t>
      </w:r>
      <w:r>
        <w:rPr>
          <w:rFonts w:ascii="Times New Roman" w:cs="Times New Roman" w:eastAsia="Times New Roman" w:hAnsi="Times New Roman"/>
          <w:sz w:val="14"/>
          <w:szCs w:val="14"/>
          <w:color w:val="auto"/>
        </w:rPr>
        <w:t xml:space="preserve">. The Parties acknowledge and agree that the restrictions set forth in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are reasonable and necessary to protect the legitimate interests of the Parties and that neither Party would have entered into this Agreement in the absence of such restrictions, and that any breach or threatened breach of any provision of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with respect to a Party’s Confidential Information may result in irreparable injury to such Party for which there may be no adequate remedy under Applicable Law. Notwithstanding the Dispute Resolution clause in </w:t>
      </w:r>
      <w:r>
        <w:rPr>
          <w:rFonts w:ascii="Times New Roman" w:cs="Times New Roman" w:eastAsia="Times New Roman" w:hAnsi="Times New Roman"/>
          <w:sz w:val="14"/>
          <w:szCs w:val="14"/>
          <w:u w:val="single" w:color="auto"/>
          <w:color w:val="auto"/>
        </w:rPr>
        <w:t>Section 15.3</w:t>
      </w:r>
      <w:r>
        <w:rPr>
          <w:rFonts w:ascii="Times New Roman" w:cs="Times New Roman" w:eastAsia="Times New Roman" w:hAnsi="Times New Roman"/>
          <w:sz w:val="14"/>
          <w:szCs w:val="14"/>
          <w:color w:val="auto"/>
        </w:rPr>
        <w:t xml:space="preserve">, in the event of a breach or threatened breach of any provision of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by a Party, the affected Party shall be authorized and entitled to seek from any court of competent jurisdiction injunctive relief applying the laws of that court, whether preliminary or permanent to the extent that such injunctive relief is available under Applicable Law. Subject to Applicable Law, the breaching Party agrees to waive any requirement that the affected Party (i) post a bond or other security as a condition for obtaining any such relief; and</w:t>
      </w:r>
    </w:p>
    <w:p>
      <w:pPr>
        <w:spacing w:after="0" w:line="1" w:lineRule="exact"/>
        <w:rPr>
          <w:sz w:val="20"/>
          <w:szCs w:val="20"/>
          <w:color w:val="auto"/>
        </w:rPr>
      </w:pPr>
    </w:p>
    <w:p>
      <w:pPr>
        <w:ind w:firstLine="8"/>
        <w:spacing w:after="0" w:line="249" w:lineRule="auto"/>
        <w:tabs>
          <w:tab w:leader="none" w:pos="230"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show irreparable harm, balancing of harms, consideration of the public interest or inadequacy of monetary damages as a remedy. Nothing in this </w:t>
      </w:r>
      <w:r>
        <w:rPr>
          <w:rFonts w:ascii="Times New Roman" w:cs="Times New Roman" w:eastAsia="Times New Roman" w:hAnsi="Times New Roman"/>
          <w:sz w:val="15"/>
          <w:szCs w:val="15"/>
          <w:u w:val="single" w:color="auto"/>
          <w:color w:val="auto"/>
        </w:rPr>
        <w:t>Section 9.1.7</w:t>
      </w:r>
      <w:r>
        <w:rPr>
          <w:rFonts w:ascii="Times New Roman" w:cs="Times New Roman" w:eastAsia="Times New Roman" w:hAnsi="Times New Roman"/>
          <w:sz w:val="15"/>
          <w:szCs w:val="15"/>
          <w:color w:val="auto"/>
        </w:rPr>
        <w:t xml:space="preserve"> is intended, or shall be construed, to limit the Parties’ rights to statutory relief available under Applicable Laws or any other contractual remedy for a breach of any provision of this Agreement.</w:t>
      </w:r>
    </w:p>
    <w:p>
      <w:pPr>
        <w:spacing w:after="0" w:line="153" w:lineRule="exact"/>
        <w:rPr>
          <w:sz w:val="20"/>
          <w:szCs w:val="20"/>
          <w:color w:val="auto"/>
        </w:rPr>
      </w:pPr>
    </w:p>
    <w:p>
      <w:pPr>
        <w:jc w:val="both"/>
        <w:ind w:firstLine="1582"/>
        <w:spacing w:after="0" w:line="253" w:lineRule="auto"/>
        <w:rPr>
          <w:sz w:val="20"/>
          <w:szCs w:val="20"/>
          <w:color w:val="auto"/>
        </w:rPr>
      </w:pPr>
      <w:r>
        <w:rPr>
          <w:rFonts w:ascii="Times New Roman" w:cs="Times New Roman" w:eastAsia="Times New Roman" w:hAnsi="Times New Roman"/>
          <w:sz w:val="15"/>
          <w:szCs w:val="15"/>
          <w:color w:val="auto"/>
        </w:rPr>
        <w:t>9.1.8            </w:t>
      </w:r>
      <w:r>
        <w:rPr>
          <w:rFonts w:ascii="Times New Roman" w:cs="Times New Roman" w:eastAsia="Times New Roman" w:hAnsi="Times New Roman"/>
          <w:sz w:val="15"/>
          <w:szCs w:val="15"/>
          <w:b w:val="1"/>
          <w:bCs w:val="1"/>
          <w:color w:val="auto"/>
        </w:rPr>
        <w:t>Prior CDA</w:t>
      </w:r>
      <w:r>
        <w:rPr>
          <w:rFonts w:ascii="Times New Roman" w:cs="Times New Roman" w:eastAsia="Times New Roman" w:hAnsi="Times New Roman"/>
          <w:sz w:val="15"/>
          <w:szCs w:val="15"/>
          <w:color w:val="auto"/>
        </w:rPr>
        <w:t xml:space="preserve">. As of the Effective Date, the terms of this </w:t>
      </w:r>
      <w:r>
        <w:rPr>
          <w:rFonts w:ascii="Times New Roman" w:cs="Times New Roman" w:eastAsia="Times New Roman" w:hAnsi="Times New Roman"/>
          <w:sz w:val="15"/>
          <w:szCs w:val="15"/>
          <w:u w:val="single" w:color="auto"/>
          <w:color w:val="auto"/>
        </w:rPr>
        <w:t>Section 9.1</w:t>
      </w:r>
      <w:r>
        <w:rPr>
          <w:rFonts w:ascii="Times New Roman" w:cs="Times New Roman" w:eastAsia="Times New Roman" w:hAnsi="Times New Roman"/>
          <w:sz w:val="15"/>
          <w:szCs w:val="15"/>
          <w:color w:val="auto"/>
        </w:rPr>
        <w:t xml:space="preserve"> shall supersede any prior non-disclosure, secrecy or confidentiality agreement between the Parties (or their Affiliates) dealing with the subject of this Agreement, including the mutual confidential disclosure agreement entered into between Licensee and Zenas BioPharma (Cayman) Limited on [***]. Any information disclosed pursuant to any such prior agreement shall be deemed Confidential Information of the applicable Party for purposes of this Agreement, to the extent that such information was deemed to be “Confidential Information” under such prior agreement.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69" w:name="page470"/>
    <w:bookmarkEnd w:id="469"/>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9.2            Compliance with Law</w:t>
      </w:r>
      <w:r>
        <w:rPr>
          <w:rFonts w:ascii="Times New Roman" w:cs="Times New Roman" w:eastAsia="Times New Roman" w:hAnsi="Times New Roman"/>
          <w:sz w:val="15"/>
          <w:szCs w:val="15"/>
          <w:color w:val="auto"/>
        </w:rPr>
        <w:t>. Each Party hereby covenants and agrees to comply with all Applicable Laws related to its activities connected with the Development,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Manufacture and Commercialization of the Compound and Products. Without limiting the generality of the foregoing:</w:t>
      </w:r>
    </w:p>
    <w:p>
      <w:pPr>
        <w:spacing w:after="0" w:line="136" w:lineRule="exact"/>
        <w:rPr>
          <w:sz w:val="20"/>
          <w:szCs w:val="20"/>
          <w:color w:val="auto"/>
        </w:rPr>
      </w:pPr>
    </w:p>
    <w:p>
      <w:pPr>
        <w:jc w:val="both"/>
        <w:ind w:firstLine="1582"/>
        <w:spacing w:after="0" w:line="272" w:lineRule="auto"/>
        <w:rPr>
          <w:sz w:val="20"/>
          <w:szCs w:val="20"/>
          <w:color w:val="auto"/>
        </w:rPr>
      </w:pPr>
      <w:r>
        <w:rPr>
          <w:rFonts w:ascii="Times New Roman" w:cs="Times New Roman" w:eastAsia="Times New Roman" w:hAnsi="Times New Roman"/>
          <w:sz w:val="15"/>
          <w:szCs w:val="15"/>
          <w:color w:val="auto"/>
        </w:rPr>
        <w:t>9.2.1            </w:t>
      </w:r>
      <w:r>
        <w:rPr>
          <w:rFonts w:ascii="Times New Roman" w:cs="Times New Roman" w:eastAsia="Times New Roman" w:hAnsi="Times New Roman"/>
          <w:sz w:val="15"/>
          <w:szCs w:val="15"/>
          <w:b w:val="1"/>
          <w:bCs w:val="1"/>
          <w:color w:val="auto"/>
        </w:rPr>
        <w:t>Patient Information</w:t>
      </w:r>
      <w:r>
        <w:rPr>
          <w:rFonts w:ascii="Times New Roman" w:cs="Times New Roman" w:eastAsia="Times New Roman" w:hAnsi="Times New Roman"/>
          <w:sz w:val="15"/>
          <w:szCs w:val="15"/>
          <w:color w:val="auto"/>
        </w:rPr>
        <w:t>. Each Party agrees to abide by all laws, rules, regulations, and orders of all Government Authorities concerning the confidentiality or protection of patient identifiable information or patients’ protected health information in the course of their performance under this Agreement.</w:t>
      </w:r>
    </w:p>
    <w:p>
      <w:pPr>
        <w:spacing w:after="0" w:line="136" w:lineRule="exact"/>
        <w:rPr>
          <w:sz w:val="20"/>
          <w:szCs w:val="20"/>
          <w:color w:val="auto"/>
        </w:rPr>
      </w:pPr>
    </w:p>
    <w:p>
      <w:pPr>
        <w:jc w:val="both"/>
        <w:ind w:firstLine="1582"/>
        <w:spacing w:after="0" w:line="253" w:lineRule="auto"/>
        <w:rPr>
          <w:sz w:val="20"/>
          <w:szCs w:val="20"/>
          <w:color w:val="auto"/>
        </w:rPr>
      </w:pPr>
      <w:r>
        <w:rPr>
          <w:rFonts w:ascii="Times New Roman" w:cs="Times New Roman" w:eastAsia="Times New Roman" w:hAnsi="Times New Roman"/>
          <w:sz w:val="15"/>
          <w:szCs w:val="15"/>
          <w:color w:val="auto"/>
        </w:rPr>
        <w:t>9.2.2            </w:t>
      </w:r>
      <w:r>
        <w:rPr>
          <w:rFonts w:ascii="Times New Roman" w:cs="Times New Roman" w:eastAsia="Times New Roman" w:hAnsi="Times New Roman"/>
          <w:sz w:val="15"/>
          <w:szCs w:val="15"/>
          <w:b w:val="1"/>
          <w:bCs w:val="1"/>
          <w:color w:val="auto"/>
        </w:rPr>
        <w:t>Export Controls</w:t>
      </w:r>
      <w:r>
        <w:rPr>
          <w:rFonts w:ascii="Times New Roman" w:cs="Times New Roman" w:eastAsia="Times New Roman" w:hAnsi="Times New Roman"/>
          <w:sz w:val="15"/>
          <w:szCs w:val="15"/>
          <w:color w:val="auto"/>
        </w:rPr>
        <w:t>. This Agreement is made subject to any restrictions concerning the export of products or technical information from the United States or other countries which may be imposed upon or related to Zenas or Licensee from time to time. Each Party agrees that it shall not export, directly or indirectly, any technical information acquired from any other Party pursuant to this Agreement or any Products using such technical information to a location or in a manner that at the time of export requires an export license or other governmental approval, without first obtaining such license or approval from the appropriate Government Authority.</w:t>
      </w:r>
    </w:p>
    <w:p>
      <w:pPr>
        <w:spacing w:after="0" w:line="152" w:lineRule="exact"/>
        <w:rPr>
          <w:sz w:val="20"/>
          <w:szCs w:val="20"/>
          <w:color w:val="auto"/>
        </w:rPr>
      </w:pPr>
    </w:p>
    <w:p>
      <w:pPr>
        <w:jc w:val="both"/>
        <w:ind w:firstLine="1582"/>
        <w:spacing w:after="0" w:line="250" w:lineRule="auto"/>
        <w:rPr>
          <w:sz w:val="20"/>
          <w:szCs w:val="20"/>
          <w:color w:val="auto"/>
        </w:rPr>
      </w:pPr>
      <w:r>
        <w:rPr>
          <w:rFonts w:ascii="Times New Roman" w:cs="Times New Roman" w:eastAsia="Times New Roman" w:hAnsi="Times New Roman"/>
          <w:sz w:val="15"/>
          <w:szCs w:val="15"/>
          <w:color w:val="auto"/>
        </w:rPr>
        <w:t>9.2.3            </w:t>
      </w:r>
      <w:r>
        <w:rPr>
          <w:rFonts w:ascii="Times New Roman" w:cs="Times New Roman" w:eastAsia="Times New Roman" w:hAnsi="Times New Roman"/>
          <w:sz w:val="15"/>
          <w:szCs w:val="15"/>
          <w:b w:val="1"/>
          <w:bCs w:val="1"/>
          <w:color w:val="auto"/>
        </w:rPr>
        <w:t>Debarment</w:t>
      </w:r>
      <w:r>
        <w:rPr>
          <w:rFonts w:ascii="Times New Roman" w:cs="Times New Roman" w:eastAsia="Times New Roman" w:hAnsi="Times New Roman"/>
          <w:sz w:val="15"/>
          <w:szCs w:val="15"/>
          <w:color w:val="auto"/>
        </w:rPr>
        <w:t>. Each Party agrees that it shall not use, in any capacity, in connection with any of its obligations to be performed under this Agreement any Person who has been debarred under the FD&amp;C Act or the Generic Drug Enforcement Act of 1992, 21 U.S.C. § 335a et. seq. (or analogous Applicable Laws in any jurisdiction), and each Party shall inform the other Party in writing immediately if it or any Person who is performing activities for that Party hereunder is debarred or is the subject of a conviction described in Section 306 of the FD&amp;C Act (or analogous Applicable Laws in any jurisdiction), or if any action, suit, claim, investigation or legal administrative proceeding is pending or, to a Party’s knowledge, is threatened, relating to the debarment of a Party or any Person used in any capacity by a Party in connection with any of a Party’s obligations to be performed under this Agreement.</w:t>
      </w:r>
    </w:p>
    <w:p>
      <w:pPr>
        <w:spacing w:after="0" w:line="152" w:lineRule="exact"/>
        <w:rPr>
          <w:sz w:val="20"/>
          <w:szCs w:val="20"/>
          <w:color w:val="auto"/>
        </w:rPr>
      </w:pPr>
    </w:p>
    <w:p>
      <w:pPr>
        <w:jc w:val="both"/>
        <w:ind w:firstLine="1055"/>
        <w:spacing w:after="0" w:line="277" w:lineRule="auto"/>
        <w:rPr>
          <w:sz w:val="20"/>
          <w:szCs w:val="20"/>
          <w:color w:val="auto"/>
        </w:rPr>
      </w:pPr>
      <w:r>
        <w:rPr>
          <w:rFonts w:ascii="Times New Roman" w:cs="Times New Roman" w:eastAsia="Times New Roman" w:hAnsi="Times New Roman"/>
          <w:sz w:val="14"/>
          <w:szCs w:val="14"/>
          <w:b w:val="1"/>
          <w:bCs w:val="1"/>
          <w:color w:val="auto"/>
        </w:rPr>
        <w:t>9.3            Compliance with Anti-Corruption Policies and Anti-Corruption Laws</w:t>
      </w:r>
      <w:r>
        <w:rPr>
          <w:rFonts w:ascii="Times New Roman" w:cs="Times New Roman" w:eastAsia="Times New Roman" w:hAnsi="Times New Roman"/>
          <w:sz w:val="14"/>
          <w:szCs w:val="14"/>
          <w:color w:val="auto"/>
        </w:rPr>
        <w:t>. Licensee and its officers, directors and employees, Licensee’s Affiliates, authorized agents,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authorized representatives, authorized consultants, Sublicensees and subcontractors (together with Licensee, the “</w:t>
      </w:r>
      <w:r>
        <w:rPr>
          <w:rFonts w:ascii="Times New Roman" w:cs="Times New Roman" w:eastAsia="Times New Roman" w:hAnsi="Times New Roman"/>
          <w:sz w:val="14"/>
          <w:szCs w:val="14"/>
          <w:b w:val="1"/>
          <w:bCs w:val="1"/>
          <w:color w:val="auto"/>
        </w:rPr>
        <w:t>Licensee Representatives</w:t>
      </w:r>
      <w:r>
        <w:rPr>
          <w:rFonts w:ascii="Times New Roman" w:cs="Times New Roman" w:eastAsia="Times New Roman" w:hAnsi="Times New Roman"/>
          <w:sz w:val="14"/>
          <w:szCs w:val="14"/>
          <w:color w:val="auto"/>
        </w:rPr>
        <w:t xml:space="preserve">”) have, and shall comply with its rules and policies regarding anti-bribery and anti-corruption (such policies being those found at </w:t>
      </w:r>
      <w:r>
        <w:rPr>
          <w:rFonts w:ascii="Times New Roman" w:cs="Times New Roman" w:eastAsia="Times New Roman" w:hAnsi="Times New Roman"/>
          <w:sz w:val="14"/>
          <w:szCs w:val="14"/>
          <w:u w:val="single" w:color="auto"/>
          <w:color w:val="auto"/>
        </w:rPr>
        <w:t>(https://www.bms.com/about-us/our-company/our-principles.html)</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Anti-Corruption Policies</w:t>
      </w:r>
      <w:r>
        <w:rPr>
          <w:rFonts w:ascii="Times New Roman" w:cs="Times New Roman" w:eastAsia="Times New Roman" w:hAnsi="Times New Roman"/>
          <w:sz w:val="14"/>
          <w:szCs w:val="14"/>
          <w:color w:val="auto"/>
        </w:rPr>
        <w:t>”) and shall not take any action that will, or would reasonably be expected to, cause either Party (or its Affiliates) to be in violation of Anti-Corruption Laws or the Anti-Corruption Policies.</w:t>
      </w:r>
    </w:p>
    <w:p>
      <w:pPr>
        <w:spacing w:after="0" w:line="138" w:lineRule="exact"/>
        <w:rPr>
          <w:sz w:val="20"/>
          <w:szCs w:val="20"/>
          <w:color w:val="auto"/>
        </w:rPr>
      </w:pPr>
    </w:p>
    <w:p>
      <w:pPr>
        <w:jc w:val="both"/>
        <w:ind w:firstLine="1582"/>
        <w:spacing w:after="0" w:line="269" w:lineRule="auto"/>
        <w:rPr>
          <w:sz w:val="20"/>
          <w:szCs w:val="20"/>
          <w:color w:val="auto"/>
        </w:rPr>
      </w:pPr>
      <w:r>
        <w:rPr>
          <w:rFonts w:ascii="Times New Roman" w:cs="Times New Roman" w:eastAsia="Times New Roman" w:hAnsi="Times New Roman"/>
          <w:sz w:val="15"/>
          <w:szCs w:val="15"/>
          <w:color w:val="auto"/>
        </w:rPr>
        <w:t>9.3.1            With respect only to activities performed by Licensee pursuant to this Agreement in the Territory, the Licensee Representatives shall not directly or indirectly pay, offer or promise to pay, or authorize the payment of any money, or give, offer or promise to give, or authorize the giving of anything else of value, to:</w:t>
      </w:r>
    </w:p>
    <w:p>
      <w:pPr>
        <w:spacing w:after="0" w:line="14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    (a)            any Government Official in order to influence official action or inaction;</w:t>
      </w:r>
    </w:p>
    <w:p>
      <w:pPr>
        <w:spacing w:after="0" w:line="179"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(b)            any Person (whether or not a Government Official) (1) to influence such Person to act in breach of a duty of good faith, impartiality or trust (“</w:t>
      </w:r>
      <w:r>
        <w:rPr>
          <w:rFonts w:ascii="Times New Roman" w:cs="Times New Roman" w:eastAsia="Times New Roman" w:hAnsi="Times New Roman"/>
          <w:sz w:val="15"/>
          <w:szCs w:val="15"/>
          <w:b w:val="1"/>
          <w:bCs w:val="1"/>
          <w:color w:val="auto"/>
        </w:rPr>
        <w:t>Acting Improperly</w:t>
      </w:r>
      <w:r>
        <w:rPr>
          <w:rFonts w:ascii="Times New Roman" w:cs="Times New Roman" w:eastAsia="Times New Roman" w:hAnsi="Times New Roman"/>
          <w:sz w:val="15"/>
          <w:szCs w:val="15"/>
          <w:color w:val="auto"/>
        </w:rPr>
        <w:t>”), (2) to reward such Person for Acting Improperly, or (3) where such Person would be Acting Improperly by receiving the money or other thing of value;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70" w:name="page471"/>
    <w:bookmarkEnd w:id="470"/>
    <w:p>
      <w:pPr>
        <w:jc w:val="both"/>
        <w:ind w:firstLine="2110"/>
        <w:spacing w:after="0" w:line="257" w:lineRule="auto"/>
        <w:rPr>
          <w:sz w:val="20"/>
          <w:szCs w:val="20"/>
          <w:color w:val="auto"/>
        </w:rPr>
      </w:pPr>
      <w:r>
        <w:rPr>
          <w:rFonts w:ascii="Times New Roman" w:cs="Times New Roman" w:eastAsia="Times New Roman" w:hAnsi="Times New Roman"/>
          <w:sz w:val="15"/>
          <w:szCs w:val="15"/>
          <w:color w:val="auto"/>
        </w:rPr>
        <w:t>    (c)            any other Person while knowing or having a reason to know that all or any portion of the money or other thing of value will be paid, offered, promised or given to, or will otherwise benefit, a Government Official in order to influence official action or inaction for or against either Party in connection with the matters that are the subject of this Agreement; or</w:t>
      </w:r>
    </w:p>
    <w:p>
      <w:pPr>
        <w:spacing w:after="0" w:line="14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    (d)            any Person to reward that Person for Acting Improperly or to induce that Person to Act Improperly.</w:t>
      </w:r>
    </w:p>
    <w:p>
      <w:pPr>
        <w:spacing w:after="0" w:line="179" w:lineRule="exact"/>
        <w:rPr>
          <w:sz w:val="20"/>
          <w:szCs w:val="20"/>
          <w:color w:val="auto"/>
        </w:rPr>
      </w:pPr>
    </w:p>
    <w:p>
      <w:pPr>
        <w:jc w:val="both"/>
        <w:ind w:firstLine="1582"/>
        <w:spacing w:after="0" w:line="269" w:lineRule="auto"/>
        <w:rPr>
          <w:sz w:val="20"/>
          <w:szCs w:val="20"/>
          <w:color w:val="auto"/>
        </w:rPr>
      </w:pPr>
      <w:r>
        <w:rPr>
          <w:rFonts w:ascii="Times New Roman" w:cs="Times New Roman" w:eastAsia="Times New Roman" w:hAnsi="Times New Roman"/>
          <w:sz w:val="15"/>
          <w:szCs w:val="15"/>
          <w:color w:val="auto"/>
        </w:rPr>
        <w:t>9.3.2            The Licensee Representatives shall not, directly or indirectly, solicit, receive or agree to accept any payment of money or anything else of value in violation of the Anti-Corruption Laws.</w:t>
      </w:r>
    </w:p>
    <w:p>
      <w:pPr>
        <w:spacing w:after="0" w:line="141" w:lineRule="exact"/>
        <w:rPr>
          <w:sz w:val="20"/>
          <w:szCs w:val="20"/>
          <w:color w:val="auto"/>
        </w:rPr>
      </w:pPr>
    </w:p>
    <w:p>
      <w:pPr>
        <w:jc w:val="both"/>
        <w:ind w:firstLine="1582"/>
        <w:spacing w:after="0" w:line="269" w:lineRule="auto"/>
        <w:rPr>
          <w:sz w:val="20"/>
          <w:szCs w:val="20"/>
          <w:color w:val="auto"/>
        </w:rPr>
      </w:pPr>
      <w:r>
        <w:rPr>
          <w:rFonts w:ascii="Times New Roman" w:cs="Times New Roman" w:eastAsia="Times New Roman" w:hAnsi="Times New Roman"/>
          <w:sz w:val="15"/>
          <w:szCs w:val="15"/>
          <w:color w:val="auto"/>
        </w:rPr>
        <w:t>9.3.3            Licensee shall promptly provide Zenas with written notice of the following events, in each case with respect only to activities performed by Licensee pursuant to this Agreement in the Territory:</w:t>
      </w:r>
    </w:p>
    <w:p>
      <w:pPr>
        <w:spacing w:after="0" w:line="141"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xml:space="preserve">    (a)            Upon becoming aware of any breach or violation by Licensee or any Licensee Representative of any representation, warranty or undertaking set forth in </w:t>
      </w:r>
      <w:r>
        <w:rPr>
          <w:rFonts w:ascii="Times New Roman" w:cs="Times New Roman" w:eastAsia="Times New Roman" w:hAnsi="Times New Roman"/>
          <w:sz w:val="15"/>
          <w:szCs w:val="15"/>
          <w:u w:val="single" w:color="auto"/>
          <w:color w:val="auto"/>
        </w:rPr>
        <w:t>Sections 9.3.1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9.3.2</w:t>
      </w:r>
      <w:r>
        <w:rPr>
          <w:rFonts w:ascii="Times New Roman" w:cs="Times New Roman" w:eastAsia="Times New Roman" w:hAnsi="Times New Roman"/>
          <w:sz w:val="15"/>
          <w:szCs w:val="15"/>
          <w:color w:val="auto"/>
        </w:rPr>
        <w:t xml:space="preserve"> above; or</w:t>
      </w:r>
    </w:p>
    <w:p>
      <w:pPr>
        <w:spacing w:after="0" w:line="141" w:lineRule="exact"/>
        <w:rPr>
          <w:sz w:val="20"/>
          <w:szCs w:val="20"/>
          <w:color w:val="auto"/>
        </w:rPr>
      </w:pPr>
    </w:p>
    <w:p>
      <w:pPr>
        <w:jc w:val="both"/>
        <w:ind w:firstLine="2110"/>
        <w:spacing w:after="0" w:line="257" w:lineRule="auto"/>
        <w:rPr>
          <w:sz w:val="20"/>
          <w:szCs w:val="20"/>
          <w:color w:val="auto"/>
        </w:rPr>
      </w:pPr>
      <w:r>
        <w:rPr>
          <w:rFonts w:ascii="Times New Roman" w:cs="Times New Roman" w:eastAsia="Times New Roman" w:hAnsi="Times New Roman"/>
          <w:sz w:val="15"/>
          <w:szCs w:val="15"/>
          <w:color w:val="auto"/>
        </w:rPr>
        <w:t>    (b)            Upon receiving a formal notification that it is the target of a formal investigation by a Government Authority for any violation of Anti-Corruption Laws or upon receipt of information from any of the Licensee Representatives that any of them is the target of a formal investigation by a Government Authority for any violation of Anti-Corruption Laws.</w:t>
      </w:r>
    </w:p>
    <w:p>
      <w:pPr>
        <w:spacing w:after="0" w:line="149" w:lineRule="exact"/>
        <w:rPr>
          <w:sz w:val="20"/>
          <w:szCs w:val="20"/>
          <w:color w:val="auto"/>
        </w:rPr>
      </w:pPr>
    </w:p>
    <w:p>
      <w:pPr>
        <w:jc w:val="both"/>
        <w:ind w:firstLine="2110"/>
        <w:spacing w:after="0" w:line="257" w:lineRule="auto"/>
        <w:rPr>
          <w:sz w:val="20"/>
          <w:szCs w:val="20"/>
          <w:color w:val="auto"/>
        </w:rPr>
      </w:pPr>
      <w:r>
        <w:rPr>
          <w:rFonts w:ascii="Times New Roman" w:cs="Times New Roman" w:eastAsia="Times New Roman" w:hAnsi="Times New Roman"/>
          <w:sz w:val="15"/>
          <w:szCs w:val="15"/>
          <w:color w:val="auto"/>
        </w:rPr>
        <w:t xml:space="preserve">    (c)            Zenas may disclose the terms of this Agreement or any action taken under this </w:t>
      </w:r>
      <w:r>
        <w:rPr>
          <w:rFonts w:ascii="Times New Roman" w:cs="Times New Roman" w:eastAsia="Times New Roman" w:hAnsi="Times New Roman"/>
          <w:sz w:val="15"/>
          <w:szCs w:val="15"/>
          <w:u w:val="single" w:color="auto"/>
          <w:color w:val="auto"/>
        </w:rPr>
        <w:t>Section 9.3.3</w:t>
      </w:r>
      <w:r>
        <w:rPr>
          <w:rFonts w:ascii="Times New Roman" w:cs="Times New Roman" w:eastAsia="Times New Roman" w:hAnsi="Times New Roman"/>
          <w:sz w:val="15"/>
          <w:szCs w:val="15"/>
          <w:color w:val="auto"/>
        </w:rPr>
        <w:t xml:space="preserve"> to prevent a potential violation or continuing violation of applicable Anti-Corruption Laws, including the identity of Licensee and the payment terms, to any Government Authority if Zenas determines, upon advice of counsel, that such disclosure is necessary.</w:t>
      </w:r>
    </w:p>
    <w:p>
      <w:pPr>
        <w:spacing w:after="0" w:line="1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9.4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Agreement</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9.4.1            Licensee agrees that it shall comply with the obligations of Zenas with respect to the [***] (as such term is defined in the [***] Agreement) [***].</w:t>
      </w:r>
    </w:p>
    <w:p>
      <w:pPr>
        <w:spacing w:after="0" w:line="179" w:lineRule="exact"/>
        <w:rPr>
          <w:sz w:val="20"/>
          <w:szCs w:val="20"/>
          <w:color w:val="auto"/>
        </w:rPr>
      </w:pPr>
    </w:p>
    <w:p>
      <w:pPr>
        <w:jc w:val="both"/>
        <w:ind w:firstLine="1582"/>
        <w:spacing w:after="0" w:line="257" w:lineRule="auto"/>
        <w:rPr>
          <w:sz w:val="20"/>
          <w:szCs w:val="20"/>
          <w:color w:val="auto"/>
        </w:rPr>
      </w:pPr>
      <w:r>
        <w:rPr>
          <w:rFonts w:ascii="Times New Roman" w:cs="Times New Roman" w:eastAsia="Times New Roman" w:hAnsi="Times New Roman"/>
          <w:sz w:val="15"/>
          <w:szCs w:val="15"/>
          <w:color w:val="auto"/>
        </w:rPr>
        <w:t>9.4.2            Licensee hereby grants to Zenas an irrevocable exclusive license under the Licensee Flow-Through Patent Rights only to the extent Zenas is required to sublicense such Licensee Flow-Through Patent Rights on an exclusive basis to [***] to Develop, Manufacture, Commercialize, and otherwise use, sell, offer for sale, and import the Licensed Antibodies and/or Licensed Products (as such terms are defined in the [***] Agreement) in the Field in the Territory.</w:t>
      </w:r>
    </w:p>
    <w:p>
      <w:pPr>
        <w:spacing w:after="0" w:line="149" w:lineRule="exact"/>
        <w:rPr>
          <w:sz w:val="20"/>
          <w:szCs w:val="20"/>
          <w:color w:val="auto"/>
        </w:rPr>
      </w:pPr>
    </w:p>
    <w:p>
      <w:pPr>
        <w:jc w:val="both"/>
        <w:ind w:firstLine="1582"/>
        <w:spacing w:after="0" w:line="257" w:lineRule="auto"/>
        <w:rPr>
          <w:sz w:val="20"/>
          <w:szCs w:val="20"/>
          <w:color w:val="auto"/>
        </w:rPr>
      </w:pPr>
      <w:r>
        <w:rPr>
          <w:rFonts w:ascii="Times New Roman" w:cs="Times New Roman" w:eastAsia="Times New Roman" w:hAnsi="Times New Roman"/>
          <w:sz w:val="15"/>
          <w:szCs w:val="15"/>
          <w:color w:val="auto"/>
        </w:rPr>
        <w:t>9.4.3            Licensee hereby grants to Zenas an irrevocable non-exclusive license under the Licensee Flow-Through Patent Rights only to the extent Zenas is required to sublicense such Licensee Flow-Through Patent Rights on a non-exclusive basis to [***] to Develop, Manufacture, Commercialize, and otherwise use, sell, offer for sale, and import the Licensed Antibodies and/or Licensed Products (as such terms are defined in the [***] Agreement) in the Field in the Territory.</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71" w:name="page472"/>
    <w:bookmarkEnd w:id="471"/>
    <w:p>
      <w:pPr>
        <w:ind w:left="1600"/>
        <w:spacing w:after="0"/>
        <w:rPr>
          <w:sz w:val="20"/>
          <w:szCs w:val="20"/>
          <w:color w:val="auto"/>
        </w:rPr>
      </w:pPr>
      <w:r>
        <w:rPr>
          <w:rFonts w:ascii="Times New Roman" w:cs="Times New Roman" w:eastAsia="Times New Roman" w:hAnsi="Times New Roman"/>
          <w:sz w:val="15"/>
          <w:szCs w:val="15"/>
          <w:color w:val="auto"/>
        </w:rPr>
        <w:t>9.4.4            Licensee shall promptly inform Zenas of any Licensee Flow-Through Patent Rights that arise during the Term.</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10.          </w:t>
      </w:r>
      <w:r>
        <w:rPr>
          <w:rFonts w:ascii="Times New Roman" w:cs="Times New Roman" w:eastAsia="Times New Roman" w:hAnsi="Times New Roman"/>
          <w:sz w:val="15"/>
          <w:szCs w:val="15"/>
          <w:b w:val="1"/>
          <w:bCs w:val="1"/>
          <w:u w:val="single" w:color="auto"/>
          <w:color w:val="auto"/>
        </w:rPr>
        <w:t>  Representations and Warranties</w:t>
      </w:r>
      <w:r>
        <w:rPr>
          <w:rFonts w:ascii="Times New Roman" w:cs="Times New Roman" w:eastAsia="Times New Roman" w:hAnsi="Times New Roman"/>
          <w:sz w:val="15"/>
          <w:szCs w:val="15"/>
          <w:b w:val="1"/>
          <w:bCs w:val="1"/>
          <w:color w:val="auto"/>
        </w:rPr>
        <w:t>.</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10.1      Representations and Warranties of Each Party</w:t>
      </w:r>
      <w:r>
        <w:rPr>
          <w:rFonts w:ascii="Times New Roman" w:cs="Times New Roman" w:eastAsia="Times New Roman" w:hAnsi="Times New Roman"/>
          <w:sz w:val="14"/>
          <w:szCs w:val="14"/>
          <w:color w:val="auto"/>
        </w:rPr>
        <w:t>. As of the Effective Date, each of Licensee and Zenas hereby represents and warrants to the other Party hereto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follows:</w:t>
      </w:r>
    </w:p>
    <w:p>
      <w:pPr>
        <w:spacing w:after="0" w:line="164" w:lineRule="exact"/>
        <w:rPr>
          <w:sz w:val="20"/>
          <w:szCs w:val="20"/>
          <w:color w:val="auto"/>
        </w:rPr>
      </w:pPr>
    </w:p>
    <w:p>
      <w:pPr>
        <w:jc w:val="both"/>
        <w:ind w:firstLine="2110"/>
        <w:spacing w:after="0" w:line="257" w:lineRule="auto"/>
        <w:rPr>
          <w:sz w:val="20"/>
          <w:szCs w:val="20"/>
          <w:color w:val="auto"/>
        </w:rPr>
      </w:pPr>
      <w:r>
        <w:rPr>
          <w:rFonts w:ascii="Times New Roman" w:cs="Times New Roman" w:eastAsia="Times New Roman" w:hAnsi="Times New Roman"/>
          <w:sz w:val="15"/>
          <w:szCs w:val="15"/>
          <w:color w:val="auto"/>
        </w:rPr>
        <w:t>    (a)            it is a corporation or entity duly organized, in good standing, and validly existing under the laws of the state or other jurisdiction of its incorporation or formation, and has full corporate power and authority and the legal right to own and operate its property and assets and to carry on its business as it is now being conducted and as contemplated in this Agreement;</w:t>
      </w:r>
    </w:p>
    <w:p>
      <w:pPr>
        <w:spacing w:after="0" w:line="149" w:lineRule="exact"/>
        <w:rPr>
          <w:sz w:val="20"/>
          <w:szCs w:val="20"/>
          <w:color w:val="auto"/>
        </w:rPr>
      </w:pPr>
    </w:p>
    <w:p>
      <w:pPr>
        <w:jc w:val="both"/>
        <w:ind w:firstLine="2110"/>
        <w:spacing w:after="0" w:line="257" w:lineRule="auto"/>
        <w:rPr>
          <w:sz w:val="20"/>
          <w:szCs w:val="20"/>
          <w:color w:val="auto"/>
        </w:rPr>
      </w:pPr>
      <w:r>
        <w:rPr>
          <w:rFonts w:ascii="Times New Roman" w:cs="Times New Roman" w:eastAsia="Times New Roman" w:hAnsi="Times New Roman"/>
          <w:sz w:val="15"/>
          <w:szCs w:val="15"/>
          <w:color w:val="auto"/>
        </w:rPr>
        <w:t>    (b)            it has taken all necessary corporate action on its part required to authorize the execution and delivery of this Agreement and the performance of its obligations hereunder, and this Agreement has been duly executed and delivered on behalf of such Party, and constitutes a legal, valid, and binding obligation of such Party that is enforceable against it in accordance with its terms, except as enforcement may be affected by bankruptcy, insolvency or other similar laws and by general principles of equity;</w:t>
      </w:r>
    </w:p>
    <w:p>
      <w:pPr>
        <w:spacing w:after="0" w:line="149" w:lineRule="exact"/>
        <w:rPr>
          <w:sz w:val="20"/>
          <w:szCs w:val="20"/>
          <w:color w:val="auto"/>
        </w:rPr>
      </w:pPr>
    </w:p>
    <w:p>
      <w:pPr>
        <w:jc w:val="both"/>
        <w:ind w:firstLine="2110"/>
        <w:spacing w:after="0" w:line="252" w:lineRule="auto"/>
        <w:rPr>
          <w:sz w:val="20"/>
          <w:szCs w:val="20"/>
          <w:color w:val="auto"/>
        </w:rPr>
      </w:pPr>
      <w:r>
        <w:rPr>
          <w:rFonts w:ascii="Times New Roman" w:cs="Times New Roman" w:eastAsia="Times New Roman" w:hAnsi="Times New Roman"/>
          <w:sz w:val="15"/>
          <w:szCs w:val="15"/>
          <w:color w:val="auto"/>
        </w:rPr>
        <w:t>    (c)            except with respect to Regulatory Approvals for the Development, Manufacturing or Commercialization of the Products or as otherwise described in this Agreement, (i) all necessary consents, approvals and authorizations of, and (ii) all notices to, and filings by such Party with, all governmental authorities and other Persons required to be obtained or provided by such Party as of the Effective Date in connection with the execution, delivery and performance of this Agreement have been obtained and provided, except for those approvals, if any, not required at the time of execution of this Agreement;</w:t>
      </w:r>
    </w:p>
    <w:p>
      <w:pPr>
        <w:spacing w:after="0" w:line="154"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(d)            the execution, delivery and performance of this Agreement by such Party has been duly authorized by all requisite corporate action and does not require any shareholder action or approval (in addition to any obtained as of the Effective Date), and shall not violate any Applicable Law;</w:t>
      </w:r>
    </w:p>
    <w:p>
      <w:pPr>
        <w:spacing w:after="0" w:line="14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    (e)            it has the power and authority to execute and deliver this Agreement and to perform its obligations hereunder;</w:t>
      </w:r>
    </w:p>
    <w:p>
      <w:pPr>
        <w:spacing w:after="0" w:line="179" w:lineRule="exact"/>
        <w:rPr>
          <w:sz w:val="20"/>
          <w:szCs w:val="20"/>
          <w:color w:val="auto"/>
        </w:rPr>
      </w:pPr>
    </w:p>
    <w:p>
      <w:pPr>
        <w:jc w:val="both"/>
        <w:ind w:firstLine="2110"/>
        <w:spacing w:after="0" w:line="284" w:lineRule="auto"/>
        <w:rPr>
          <w:sz w:val="20"/>
          <w:szCs w:val="20"/>
          <w:color w:val="auto"/>
        </w:rPr>
      </w:pPr>
      <w:r>
        <w:rPr>
          <w:rFonts w:ascii="Times New Roman" w:cs="Times New Roman" w:eastAsia="Times New Roman" w:hAnsi="Times New Roman"/>
          <w:sz w:val="14"/>
          <w:szCs w:val="14"/>
          <w:color w:val="auto"/>
        </w:rPr>
        <w:t>    (f)            the execution, delivery and performance by such Party of this Agreement and its compliance with the terms and provisions does not and shall not conflict with or result in a breach of any of the terms and provisions of or constitute a default or material breach under (i) any other agreements to which it is a party; (ii) the provisions of its charter or operative documents or bylaws; or (iii) any order, writ, injunction or decree of any court or Government Authority entered against it or by which any of its property is bound; and</w:t>
      </w:r>
    </w:p>
    <w:p>
      <w:pPr>
        <w:spacing w:after="0" w:line="1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    (g)            it has the full right, power and authority to grant all of the right, title and interest in the licenses granted to the other Party under this Agreement.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72" w:name="page473"/>
    <w:bookmarkEnd w:id="472"/>
    <w:p>
      <w:pPr>
        <w:ind w:left="1060"/>
        <w:spacing w:after="0"/>
        <w:rPr>
          <w:sz w:val="20"/>
          <w:szCs w:val="20"/>
          <w:color w:val="auto"/>
        </w:rPr>
      </w:pPr>
      <w:r>
        <w:rPr>
          <w:rFonts w:ascii="Times New Roman" w:cs="Times New Roman" w:eastAsia="Times New Roman" w:hAnsi="Times New Roman"/>
          <w:sz w:val="15"/>
          <w:szCs w:val="15"/>
          <w:b w:val="1"/>
          <w:bCs w:val="1"/>
          <w:color w:val="auto"/>
        </w:rPr>
        <w:t>10.2        Additional Representations, Warranties and Covenants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10.2.1          </w:t>
      </w:r>
      <w:r>
        <w:rPr>
          <w:rFonts w:ascii="Times New Roman" w:cs="Times New Roman" w:eastAsia="Times New Roman" w:hAnsi="Times New Roman"/>
          <w:sz w:val="14"/>
          <w:szCs w:val="14"/>
          <w:b w:val="1"/>
          <w:bCs w:val="1"/>
          <w:color w:val="auto"/>
        </w:rPr>
        <w:t>Additional Representations, Warranties and Covenants of Zenas</w:t>
      </w:r>
      <w:r>
        <w:rPr>
          <w:rFonts w:ascii="Times New Roman" w:cs="Times New Roman" w:eastAsia="Times New Roman" w:hAnsi="Times New Roman"/>
          <w:sz w:val="14"/>
          <w:szCs w:val="14"/>
          <w:color w:val="auto"/>
        </w:rPr>
        <w:t>. Zenas hereby represents, warrants and covenants (as applicable) to Licensee that,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the Effective Date:</w:t>
      </w:r>
    </w:p>
    <w:p>
      <w:pPr>
        <w:spacing w:after="0" w:line="164" w:lineRule="exact"/>
        <w:rPr>
          <w:sz w:val="20"/>
          <w:szCs w:val="20"/>
          <w:color w:val="auto"/>
        </w:rPr>
      </w:pPr>
    </w:p>
    <w:p>
      <w:pPr>
        <w:jc w:val="both"/>
        <w:ind w:firstLine="2110"/>
        <w:spacing w:after="0" w:line="284" w:lineRule="auto"/>
        <w:rPr>
          <w:sz w:val="20"/>
          <w:szCs w:val="20"/>
          <w:color w:val="auto"/>
        </w:rPr>
      </w:pPr>
      <w:r>
        <w:rPr>
          <w:rFonts w:ascii="Times New Roman" w:cs="Times New Roman" w:eastAsia="Times New Roman" w:hAnsi="Times New Roman"/>
          <w:sz w:val="14"/>
          <w:szCs w:val="14"/>
          <w:color w:val="auto"/>
        </w:rPr>
        <w:t>    (a)            subject to the Upstream Licenses, it is the sole and exclusive owner or licensee of the Zenas Patent Rights, free and clear of all Liens and has sufficient legal or beneficial title and ownership of or sufficient license rights under all Zenas Intellectual Property to (i) grant to Licensee the licenses and rights granted under this Agreement, and (ii) allow Licensee to practice under the Zenas Intellectual Property and Exploit the Compound and Products existing as of the Effective Date as permitted in this Agreement;</w:t>
      </w:r>
    </w:p>
    <w:p>
      <w:pPr>
        <w:spacing w:after="0" w:line="1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    (b)          </w:t>
      </w:r>
      <w:r>
        <w:rPr>
          <w:rFonts w:ascii="Times New Roman" w:cs="Times New Roman" w:eastAsia="Times New Roman" w:hAnsi="Times New Roman"/>
          <w:sz w:val="15"/>
          <w:szCs w:val="15"/>
          <w:u w:val="single" w:color="auto"/>
          <w:color w:val="auto"/>
        </w:rPr>
        <w:t>  Schedule 1.95</w:t>
      </w:r>
      <w:r>
        <w:rPr>
          <w:rFonts w:ascii="Times New Roman" w:cs="Times New Roman" w:eastAsia="Times New Roman" w:hAnsi="Times New Roman"/>
          <w:sz w:val="15"/>
          <w:szCs w:val="15"/>
          <w:color w:val="auto"/>
        </w:rPr>
        <w:t xml:space="preserve"> sets forth a complete and accurate list of all Zenas Patent Rights existing as of the Effective Date;</w:t>
      </w:r>
    </w:p>
    <w:p>
      <w:pPr>
        <w:spacing w:after="0" w:line="179" w:lineRule="exact"/>
        <w:rPr>
          <w:sz w:val="20"/>
          <w:szCs w:val="20"/>
          <w:color w:val="auto"/>
        </w:rPr>
      </w:pPr>
    </w:p>
    <w:p>
      <w:pPr>
        <w:jc w:val="both"/>
        <w:ind w:firstLine="2110"/>
        <w:spacing w:after="0" w:line="250" w:lineRule="auto"/>
        <w:rPr>
          <w:sz w:val="20"/>
          <w:szCs w:val="20"/>
          <w:color w:val="auto"/>
        </w:rPr>
      </w:pPr>
      <w:r>
        <w:rPr>
          <w:rFonts w:ascii="Times New Roman" w:cs="Times New Roman" w:eastAsia="Times New Roman" w:hAnsi="Times New Roman"/>
          <w:sz w:val="15"/>
          <w:szCs w:val="15"/>
          <w:color w:val="auto"/>
        </w:rPr>
        <w:t>    (c)            with respect to all Zenas Patent Rights owned or purported to be owned by Zenas, (i) Zenas and its Affiliates have obtained from all employees and independent contractors who participated in the invention or authority thereof, assignment of all ownership rights of such employees or independent contractors in such Zenas Patent Rights of all right, title and interest in and to such Zenas Patent Rights; and (ii) all of Zenas’s employees and independent contractors have executed agreements or have existing obligations under Applicable Laws requiring assignment to Zenas or its Affiliate, as applicable, of all right, title, and interest in and to any inventions made during the course of and as the result of this Agreement;</w:t>
      </w:r>
    </w:p>
    <w:p>
      <w:pPr>
        <w:spacing w:after="0" w:line="156"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(d)            neither Zenas nor any of its Affiliates is a party to any license or similar agreement under which it has granted or agreed to grant a license to any Third Party to the Zenas Patent Rights and Zenas Know-How that would conflict with or result in a restriction on the rights or licenses granted to Licensee under this Agreement;</w:t>
      </w:r>
    </w:p>
    <w:p>
      <w:pPr>
        <w:spacing w:after="0" w:line="14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    (e)            none of the Zenas Patent Rights has been adjudged invalid or unenforceable in whole or in part, other than abandoned patents, nor is there any such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proceeding pending;</w:t>
      </w:r>
    </w:p>
    <w:p>
      <w:pPr>
        <w:spacing w:after="0" w:line="164"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(f)            except as disclosed in writing to Licensee, to its Knowledge, no Third Party has infringed, is infringing or has threatened to infringe any Zenas Intellectual Property or has misappropriated, is misappropriating or has threatened to misappropriate any Zenas Intellectual Property;</w:t>
      </w:r>
    </w:p>
    <w:p>
      <w:pPr>
        <w:spacing w:after="0" w:line="141"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(g)            Zenas has not received any written notice of any suit, claim, action or proceeding challenging or seeking to deny its rights or any of its Affiliates’ rights in any Zenas Intellectual Property, excluding prosecution of patent applications with the relevant administrative patent offices in the ordinary course;</w:t>
      </w:r>
    </w:p>
    <w:p>
      <w:pPr>
        <w:spacing w:after="0" w:line="141" w:lineRule="exact"/>
        <w:rPr>
          <w:sz w:val="20"/>
          <w:szCs w:val="20"/>
          <w:color w:val="auto"/>
        </w:rPr>
      </w:pPr>
    </w:p>
    <w:p>
      <w:pPr>
        <w:jc w:val="both"/>
        <w:ind w:firstLine="2110"/>
        <w:spacing w:after="0" w:line="250" w:lineRule="auto"/>
        <w:rPr>
          <w:sz w:val="20"/>
          <w:szCs w:val="20"/>
          <w:color w:val="auto"/>
        </w:rPr>
      </w:pPr>
      <w:r>
        <w:rPr>
          <w:rFonts w:ascii="Times New Roman" w:cs="Times New Roman" w:eastAsia="Times New Roman" w:hAnsi="Times New Roman"/>
          <w:sz w:val="15"/>
          <w:szCs w:val="15"/>
          <w:color w:val="auto"/>
        </w:rPr>
        <w:t>    (h)            With respect to each Zenas Patent Right in the Territory existing as of the Effective Date for which Zenas and its Affiliates have the right to file, Prosecute and maintain, Zenas and its Affiliates have complied with all Applicable Laws in all material respects, including any disclosure requirements, in connection with the filing, Prosecution, and maintenance of such Zenas Patent Rights in the Territory, and the pending applications included in such Zenas Patent Rights, as applicable, are being diligently prosecuted as of the Effective Date in the applicable patent offices in the Territory. In addition, Zenas has paid all necessary application, registration, maintenance, and renewal fees in respect of such Zenas Patent Rights, and Zenas has filed all necessary documents and certificates with the relevant agencies for the purpose of maintaining such Zenas Patent Rights;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73" w:name="page474"/>
    <w:bookmarkEnd w:id="473"/>
    <w:p>
      <w:pPr>
        <w:jc w:val="both"/>
        <w:ind w:firstLine="2110"/>
        <w:spacing w:after="0" w:line="276" w:lineRule="auto"/>
        <w:rPr>
          <w:sz w:val="20"/>
          <w:szCs w:val="20"/>
          <w:color w:val="auto"/>
        </w:rPr>
      </w:pPr>
      <w:r>
        <w:rPr>
          <w:rFonts w:ascii="Times New Roman" w:cs="Times New Roman" w:eastAsia="Times New Roman" w:hAnsi="Times New Roman"/>
          <w:sz w:val="14"/>
          <w:szCs w:val="14"/>
          <w:color w:val="auto"/>
        </w:rPr>
        <w:t>    (i)            to its Knowledge, it (and any Third Party acting under its authority) (i) has complied in all material respects with all Applicable Laws and applicable governmental regulations and industrial standards (including GLP, GCP, and GMP) in connection with the Development, Manufacture, storage and disposition of the Compound or Product (including information and data provided to Regulatory Authorities), and (ii) has not used any Person who has been debarred by under the FD&amp;C Act or the Generic Drug Enforcement Act of 1992, 21 U.S.C. § 335a et. seq. (or analogous Applicable Laws in any jurisdiction), or is the subject of a debarment proceeding by any Regulatory Authority in connection therewith;</w:t>
      </w:r>
    </w:p>
    <w:p>
      <w:pPr>
        <w:spacing w:after="0" w:line="138" w:lineRule="exact"/>
        <w:rPr>
          <w:sz w:val="20"/>
          <w:szCs w:val="20"/>
          <w:color w:val="auto"/>
        </w:rPr>
      </w:pPr>
    </w:p>
    <w:p>
      <w:pPr>
        <w:jc w:val="both"/>
        <w:ind w:firstLine="2110"/>
        <w:spacing w:after="0" w:line="257" w:lineRule="auto"/>
        <w:rPr>
          <w:sz w:val="20"/>
          <w:szCs w:val="20"/>
          <w:color w:val="auto"/>
        </w:rPr>
      </w:pPr>
      <w:r>
        <w:rPr>
          <w:rFonts w:ascii="Times New Roman" w:cs="Times New Roman" w:eastAsia="Times New Roman" w:hAnsi="Times New Roman"/>
          <w:sz w:val="15"/>
          <w:szCs w:val="15"/>
          <w:color w:val="auto"/>
        </w:rPr>
        <w:t>    (j)            the Zenas Know-How has been kept confidential or has been disclosed to Third Parties only under terms of confidentiality, and, to Zenas’s Knowledge, no breach of such confidentiality has been committed by any Third Party. Zenas intends to keep confidential, including requiring all of its employees, consultants, sublicensees or subcontractors to execute agreements contain appropriate confidentiality obligations to maintain as confidential, Zenas Know-How and Confidential Information;</w:t>
      </w:r>
    </w:p>
    <w:p>
      <w:pPr>
        <w:spacing w:after="0" w:line="149" w:lineRule="exact"/>
        <w:rPr>
          <w:sz w:val="20"/>
          <w:szCs w:val="20"/>
          <w:color w:val="auto"/>
        </w:rPr>
      </w:pPr>
    </w:p>
    <w:p>
      <w:pPr>
        <w:jc w:val="both"/>
        <w:ind w:firstLine="2110"/>
        <w:spacing w:after="0" w:line="257" w:lineRule="auto"/>
        <w:rPr>
          <w:sz w:val="20"/>
          <w:szCs w:val="20"/>
          <w:color w:val="auto"/>
        </w:rPr>
      </w:pPr>
      <w:r>
        <w:rPr>
          <w:rFonts w:ascii="Times New Roman" w:cs="Times New Roman" w:eastAsia="Times New Roman" w:hAnsi="Times New Roman"/>
          <w:sz w:val="15"/>
          <w:szCs w:val="15"/>
          <w:color w:val="auto"/>
        </w:rPr>
        <w:t>    (k)            neither Zenas nor its Affiliates have entered into a government funding relationship that would result in rights to any Compound or Product existing as of the Effective Date residing in any Government Authority in the Territory, and the licenses granted hereunder are not subject to overriding obligations to any Government Authority in the Territory that are similar to the obligations of the US Government as set forth in Public Law 96 517 (35 U.S.C. 200 204), as amended;</w:t>
      </w:r>
    </w:p>
    <w:p>
      <w:pPr>
        <w:spacing w:after="0" w:line="149" w:lineRule="exact"/>
        <w:rPr>
          <w:sz w:val="20"/>
          <w:szCs w:val="20"/>
          <w:color w:val="auto"/>
        </w:rPr>
      </w:pPr>
    </w:p>
    <w:p>
      <w:pPr>
        <w:jc w:val="both"/>
        <w:ind w:firstLine="2110"/>
        <w:spacing w:after="0" w:line="252" w:lineRule="auto"/>
        <w:rPr>
          <w:sz w:val="20"/>
          <w:szCs w:val="20"/>
          <w:color w:val="auto"/>
        </w:rPr>
      </w:pPr>
      <w:r>
        <w:rPr>
          <w:rFonts w:ascii="Times New Roman" w:cs="Times New Roman" w:eastAsia="Times New Roman" w:hAnsi="Times New Roman"/>
          <w:sz w:val="15"/>
          <w:szCs w:val="15"/>
          <w:color w:val="auto"/>
        </w:rPr>
        <w:t>    (l)            to Zenas’s Knowledge, the Development, Manufacture or Commercialization of the Compound and Products, as conducted by Zenas, its Affiliates, or its or their sublicensees prior to the Effective Date does not infringe, and has not infringed, any Patent Right or misappropriate or otherwise violate any Know-How of any Person. No claim or litigation has been brought or, to Zenas’s Knowledge, threatened in writing, by any Person alleging that the Development, Manufacture or Commercialization of the Compounds or Products, in each case, as contemplated herein, will violate, infringe, or misappropriate, any Patent Right or other proprietary right of any Third Party;</w:t>
      </w:r>
    </w:p>
    <w:p>
      <w:pPr>
        <w:spacing w:after="0" w:line="154" w:lineRule="exact"/>
        <w:rPr>
          <w:sz w:val="20"/>
          <w:szCs w:val="20"/>
          <w:color w:val="auto"/>
        </w:rPr>
      </w:pPr>
    </w:p>
    <w:p>
      <w:pPr>
        <w:jc w:val="both"/>
        <w:ind w:firstLine="2110"/>
        <w:spacing w:after="0" w:line="257" w:lineRule="auto"/>
        <w:rPr>
          <w:sz w:val="20"/>
          <w:szCs w:val="20"/>
          <w:color w:val="auto"/>
        </w:rPr>
      </w:pPr>
      <w:r>
        <w:rPr>
          <w:rFonts w:ascii="Times New Roman" w:cs="Times New Roman" w:eastAsia="Times New Roman" w:hAnsi="Times New Roman"/>
          <w:sz w:val="15"/>
          <w:szCs w:val="15"/>
          <w:color w:val="auto"/>
        </w:rPr>
        <w:t>    (m)            to Zenas’s Knowledge, the Development, Manufacture or Commercialization of the Compound or Products in the Field and in the Territory as permitted under this Agreement, if Developed, Manufactured or Commercialized as of the Effective Date would not infringe any Patent Right or misappropriate or otherwise violate any Know-How of any Person;</w:t>
      </w:r>
    </w:p>
    <w:p>
      <w:pPr>
        <w:spacing w:after="0" w:line="149" w:lineRule="exact"/>
        <w:rPr>
          <w:sz w:val="20"/>
          <w:szCs w:val="20"/>
          <w:color w:val="auto"/>
        </w:rPr>
      </w:pPr>
    </w:p>
    <w:p>
      <w:pPr>
        <w:jc w:val="both"/>
        <w:ind w:firstLine="2110"/>
        <w:spacing w:after="0" w:line="306" w:lineRule="auto"/>
        <w:rPr>
          <w:sz w:val="20"/>
          <w:szCs w:val="20"/>
          <w:color w:val="auto"/>
        </w:rPr>
      </w:pPr>
      <w:r>
        <w:rPr>
          <w:rFonts w:ascii="Times New Roman" w:cs="Times New Roman" w:eastAsia="Times New Roman" w:hAnsi="Times New Roman"/>
          <w:sz w:val="14"/>
          <w:szCs w:val="14"/>
          <w:color w:val="auto"/>
        </w:rPr>
        <w:t>    (n)            neither Zenas nor any of its Affiliates, nor, to its Knowledge, its subcontractors, has received written notice of any proceedings pending before or threatened by any Regulatory Authority with respect to any Compound or Product that is reasonably expected to have a material adverse effect on the Compound or Products in the Field;</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    (o)            neither Zenas nor its Affiliates are conducting Development of any Competing Product;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474" w:name="page475"/>
    <w:bookmarkEnd w:id="474"/>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(p)            except for the Upstream Licenses, there is no agreement between Zenas or its Affiliates with any Third Party pursuant to which Zenas or its Affiliates has exclusively in-licensed any Zenas Intellectual Property;</w:t>
      </w:r>
    </w:p>
    <w:p>
      <w:pPr>
        <w:spacing w:after="0" w:line="141"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(q)            the terms of this Agreement do not conflict with the terms of the Upstream Licenses (for clarity, after taking into account any written consent or waiver obtained from the Upstream Licensors relating to this Agreement);</w:t>
      </w:r>
    </w:p>
    <w:p>
      <w:pPr>
        <w:spacing w:after="0" w:line="141" w:lineRule="exact"/>
        <w:rPr>
          <w:sz w:val="20"/>
          <w:szCs w:val="20"/>
          <w:color w:val="auto"/>
        </w:rPr>
      </w:pPr>
    </w:p>
    <w:p>
      <w:pPr>
        <w:jc w:val="both"/>
        <w:ind w:firstLine="2110"/>
        <w:spacing w:after="0" w:line="250" w:lineRule="auto"/>
        <w:rPr>
          <w:sz w:val="20"/>
          <w:szCs w:val="20"/>
          <w:color w:val="auto"/>
        </w:rPr>
      </w:pPr>
      <w:r>
        <w:rPr>
          <w:rFonts w:ascii="Times New Roman" w:cs="Times New Roman" w:eastAsia="Times New Roman" w:hAnsi="Times New Roman"/>
          <w:sz w:val="15"/>
          <w:szCs w:val="15"/>
          <w:color w:val="auto"/>
        </w:rPr>
        <w:t>    (r)            neither Zenas nor any of its Affiliates has granted, and Zenas will not grant and will cause its Affiliates not to grant, to any Third Party, including any academic organization or agency, rights (including by license, option or otherwise) that would conflict with or otherwise interfere with Licensee’s rights under this Agreement. Zenas and its Affiliates are not a party to any (and Zenas will not, and will cause its Affiliates not to, enter into any) agreements or arrangements with Third Parties relating to Zenas Patent Rights that would (i) reduce or limit the rights granted to Licensee under this Agreement, or (ii) restrict or result in a restriction on Licensee’s ability to Exploit any Compound or Product in accordance with this Agreement;</w:t>
      </w:r>
    </w:p>
    <w:p>
      <w:pPr>
        <w:spacing w:after="0" w:line="156" w:lineRule="exact"/>
        <w:rPr>
          <w:sz w:val="20"/>
          <w:szCs w:val="20"/>
          <w:color w:val="auto"/>
        </w:rPr>
      </w:pPr>
    </w:p>
    <w:p>
      <w:pPr>
        <w:jc w:val="both"/>
        <w:ind w:firstLine="2110"/>
        <w:spacing w:after="0" w:line="250" w:lineRule="auto"/>
        <w:rPr>
          <w:sz w:val="20"/>
          <w:szCs w:val="20"/>
          <w:color w:val="auto"/>
        </w:rPr>
      </w:pPr>
      <w:r>
        <w:rPr>
          <w:rFonts w:ascii="Times New Roman" w:cs="Times New Roman" w:eastAsia="Times New Roman" w:hAnsi="Times New Roman"/>
          <w:sz w:val="15"/>
          <w:szCs w:val="15"/>
          <w:color w:val="auto"/>
        </w:rPr>
        <w:t>    (s)            neither Zenas nor any of its Affiliates, nor any of its or their respective officers, employees or agents has (a) committed an act, (b) made a statement or (c) failed to act or make a statement, in any case ((a), (b) or (c)), that (i) would be, or would create, an untrue statement of material fact, failure to disclose a material fact, or fraudulent statement to the FDA or any other Regulatory Authority in the Territory with respect to the Exploitation of any Compound or Product or (ii) could reasonably be expected to provide a basis for the FDA to invoke its policy respecting “Fraud, Untrue Statements of Material Facts, Bribery and Illegal Gratuities,” set forth in 56 Fed. Reg. 46191 (September 10, 1991) and any amendments thereto, or any other Regulatory Authority to take similar action under analogous laws or policies in the Territory;</w:t>
      </w:r>
    </w:p>
    <w:p>
      <w:pPr>
        <w:spacing w:after="0" w:line="15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 xml:space="preserve">    (t)            Zenas has provided Licensee with a true, complete and correct copy of each Upstream License as set forth in </w:t>
      </w:r>
      <w:r>
        <w:rPr>
          <w:rFonts w:ascii="Times New Roman" w:cs="Times New Roman" w:eastAsia="Times New Roman" w:hAnsi="Times New Roman"/>
          <w:sz w:val="14"/>
          <w:szCs w:val="14"/>
          <w:u w:val="single" w:color="auto"/>
          <w:color w:val="auto"/>
        </w:rPr>
        <w:t>Schedule 2.4</w:t>
      </w:r>
      <w:r>
        <w:rPr>
          <w:rFonts w:ascii="Times New Roman" w:cs="Times New Roman" w:eastAsia="Times New Roman" w:hAnsi="Times New Roman"/>
          <w:sz w:val="14"/>
          <w:szCs w:val="14"/>
          <w:color w:val="auto"/>
        </w:rPr>
        <w:t>, and each Upstream</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License is in full force and effect;</w:t>
      </w:r>
    </w:p>
    <w:p>
      <w:pPr>
        <w:spacing w:after="0" w:line="164"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(u)            no written notice of default or termination has been received or given by Zenas or its Affiliates under any Upstream License, and to its Knowledge, there is no act or omission by Zenas that would provide a right to terminate any Upstream License;</w:t>
      </w:r>
    </w:p>
    <w:p>
      <w:pPr>
        <w:spacing w:after="0" w:line="141"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(v)            Zenas has made available to Licensee all material Know-How regarding the safety or efficacy of the Compound and the Product (including Regulatory Filings) in its possession and, to Zenas’s Knowledge, all such material Know-How regarding the safety or efficacy of the Compound is true and accurate;</w:t>
      </w:r>
    </w:p>
    <w:p>
      <w:pPr>
        <w:spacing w:after="0" w:line="141" w:lineRule="exact"/>
        <w:rPr>
          <w:sz w:val="20"/>
          <w:szCs w:val="20"/>
          <w:color w:val="auto"/>
        </w:rPr>
      </w:pPr>
    </w:p>
    <w:p>
      <w:pPr>
        <w:jc w:val="both"/>
        <w:ind w:firstLine="2110"/>
        <w:spacing w:after="0" w:line="252" w:lineRule="auto"/>
        <w:rPr>
          <w:sz w:val="20"/>
          <w:szCs w:val="20"/>
          <w:color w:val="auto"/>
        </w:rPr>
      </w:pPr>
      <w:r>
        <w:rPr>
          <w:rFonts w:ascii="Times New Roman" w:cs="Times New Roman" w:eastAsia="Times New Roman" w:hAnsi="Times New Roman"/>
          <w:sz w:val="15"/>
          <w:szCs w:val="15"/>
          <w:color w:val="auto"/>
        </w:rPr>
        <w:t>    (w)            Zenas shall remain in compliance in all material respects with each Upstream License and shall not terminate, amend, waive or otherwise modify (or consent to any of the foregoing) its rights under any Upstream License in any manner that would materially adversely affect the rights or licenses granted to Licensee hereunder or increases or generates any new payment or other obligation under any Upstream License that would apply to Licensee, without Licensee’s express written consent (not to be unreasonably withheld, conditioned, or delayed);</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75" w:name="page476"/>
    <w:bookmarkEnd w:id="475"/>
    <w:p>
      <w:pPr>
        <w:jc w:val="both"/>
        <w:ind w:firstLine="2110"/>
        <w:spacing w:after="0" w:line="257" w:lineRule="auto"/>
        <w:rPr>
          <w:sz w:val="20"/>
          <w:szCs w:val="20"/>
          <w:color w:val="auto"/>
        </w:rPr>
      </w:pPr>
      <w:r>
        <w:rPr>
          <w:rFonts w:ascii="Times New Roman" w:cs="Times New Roman" w:eastAsia="Times New Roman" w:hAnsi="Times New Roman"/>
          <w:sz w:val="15"/>
          <w:szCs w:val="15"/>
          <w:color w:val="auto"/>
        </w:rPr>
        <w:t>    (x)            If Zenas receives notification of any alleged breach of any Upstream License that, if an uncured actual breach, would give rise to the right of the relevant Upstream Licensor to terminate the relevant Upstream License, then Zenas will promptly notify Licensee in writing of such alleged breach. If Zenas or its Affiliate is the cause of the breach, then Zenas shall use reasonable efforts to cure such breach during the relevant cure period under the applicable Upstream License; and</w:t>
      </w:r>
    </w:p>
    <w:p>
      <w:pPr>
        <w:spacing w:after="0" w:line="149"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xml:space="preserve">    (y)            other than Licensee’s obligation to indemnify, defend and hold harmless Zenas Indemnified Parties pursuant to </w:t>
      </w:r>
      <w:r>
        <w:rPr>
          <w:rFonts w:ascii="Times New Roman" w:cs="Times New Roman" w:eastAsia="Times New Roman" w:hAnsi="Times New Roman"/>
          <w:sz w:val="15"/>
          <w:szCs w:val="15"/>
          <w:u w:val="single" w:color="auto"/>
          <w:color w:val="auto"/>
        </w:rPr>
        <w:t>Section 14.2</w:t>
      </w:r>
      <w:r>
        <w:rPr>
          <w:rFonts w:ascii="Times New Roman" w:cs="Times New Roman" w:eastAsia="Times New Roman" w:hAnsi="Times New Roman"/>
          <w:sz w:val="15"/>
          <w:szCs w:val="15"/>
          <w:color w:val="auto"/>
        </w:rPr>
        <w:t>, Zenas shall be solely responsible for any and all payments payable to the respective Upstream Licensors under each applicable Upstream License.</w:t>
      </w:r>
    </w:p>
    <w:p>
      <w:pPr>
        <w:spacing w:after="0" w:line="13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10.2.2          </w:t>
      </w:r>
      <w:r>
        <w:rPr>
          <w:rFonts w:ascii="Times New Roman" w:cs="Times New Roman" w:eastAsia="Times New Roman" w:hAnsi="Times New Roman"/>
          <w:sz w:val="15"/>
          <w:szCs w:val="15"/>
          <w:b w:val="1"/>
          <w:bCs w:val="1"/>
          <w:color w:val="auto"/>
        </w:rPr>
        <w:t>Covenants of Licensee</w:t>
      </w:r>
      <w:r>
        <w:rPr>
          <w:rFonts w:ascii="Times New Roman" w:cs="Times New Roman" w:eastAsia="Times New Roman" w:hAnsi="Times New Roman"/>
          <w:sz w:val="15"/>
          <w:szCs w:val="15"/>
          <w:color w:val="auto"/>
        </w:rPr>
        <w:t>. Licensee hereby covenants to Zenas that:</w:t>
      </w:r>
    </w:p>
    <w:p>
      <w:pPr>
        <w:spacing w:after="0" w:line="181" w:lineRule="exact"/>
        <w:rPr>
          <w:sz w:val="20"/>
          <w:szCs w:val="20"/>
          <w:color w:val="auto"/>
        </w:rPr>
      </w:pPr>
    </w:p>
    <w:p>
      <w:pPr>
        <w:jc w:val="both"/>
        <w:ind w:firstLine="2110"/>
        <w:spacing w:after="0" w:line="252" w:lineRule="auto"/>
        <w:rPr>
          <w:sz w:val="20"/>
          <w:szCs w:val="20"/>
          <w:color w:val="auto"/>
        </w:rPr>
      </w:pPr>
      <w:r>
        <w:rPr>
          <w:rFonts w:ascii="Times New Roman" w:cs="Times New Roman" w:eastAsia="Times New Roman" w:hAnsi="Times New Roman"/>
          <w:sz w:val="15"/>
          <w:szCs w:val="15"/>
          <w:color w:val="auto"/>
        </w:rPr>
        <w:t>    (a)            the Compound or Products Commercialized or Manufactured by, or under authority of, Licensee shall be: (i) packaged, labeled, handled, stored and shipped in accordance with, and shall conform to, the applicable Product specifications (as reflected in the applicable MAA or IND, as applicable); (ii) packaged, labeled, handled, stored and shipped in compliance with all Applicable Laws including GMPs in all material respects; and (iii) Manufactured free of any material that would cause the Products to be adulterated or misbranded within the meaning of Applicable Law;</w:t>
      </w:r>
    </w:p>
    <w:p>
      <w:pPr>
        <w:spacing w:after="0" w:line="154" w:lineRule="exact"/>
        <w:rPr>
          <w:sz w:val="20"/>
          <w:szCs w:val="20"/>
          <w:color w:val="auto"/>
        </w:rPr>
      </w:pPr>
    </w:p>
    <w:p>
      <w:pPr>
        <w:jc w:val="both"/>
        <w:ind w:firstLine="2110"/>
        <w:spacing w:after="0" w:line="257" w:lineRule="auto"/>
        <w:rPr>
          <w:sz w:val="20"/>
          <w:szCs w:val="20"/>
          <w:color w:val="auto"/>
        </w:rPr>
      </w:pPr>
      <w:r>
        <w:rPr>
          <w:rFonts w:ascii="Times New Roman" w:cs="Times New Roman" w:eastAsia="Times New Roman" w:hAnsi="Times New Roman"/>
          <w:sz w:val="15"/>
          <w:szCs w:val="15"/>
          <w:color w:val="auto"/>
        </w:rPr>
        <w:t>    (b)            with respect to all Licensee Patent Rights owned or purported to be owned by Licensee, all of Licensee’s employees and independent contractors have executed agreements or have existing obligations under Applicable Laws requiring assignment to Licensee or its Affiliate, as applicable, of all right, title, and interest in and to any inventions made during the course of and as the result of this Agreement;</w:t>
      </w:r>
    </w:p>
    <w:p>
      <w:pPr>
        <w:spacing w:after="0" w:line="149" w:lineRule="exact"/>
        <w:rPr>
          <w:sz w:val="20"/>
          <w:szCs w:val="20"/>
          <w:color w:val="auto"/>
        </w:rPr>
      </w:pPr>
    </w:p>
    <w:p>
      <w:pPr>
        <w:jc w:val="both"/>
        <w:ind w:firstLine="2110"/>
        <w:spacing w:after="0" w:line="257" w:lineRule="auto"/>
        <w:rPr>
          <w:sz w:val="20"/>
          <w:szCs w:val="20"/>
          <w:color w:val="auto"/>
        </w:rPr>
      </w:pPr>
      <w:r>
        <w:rPr>
          <w:rFonts w:ascii="Times New Roman" w:cs="Times New Roman" w:eastAsia="Times New Roman" w:hAnsi="Times New Roman"/>
          <w:sz w:val="15"/>
          <w:szCs w:val="15"/>
          <w:color w:val="auto"/>
        </w:rPr>
        <w:t>    (c)            Licensee will not, and will cause its Affiliates not to, enter into any agreements or arrangements with Third Parties relating to Licensee Patent Rights that would, to its Knowledge, (i) reduce or limit the rights granted to Zenas under this Agreement in any material respect, or (ii) restrict or result in a restriction on Zenas’s ability to Exploit any Compound or Product in accordance with this Agreement; and</w:t>
      </w:r>
    </w:p>
    <w:p>
      <w:pPr>
        <w:spacing w:after="0" w:line="149"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(d)            if Licensee or its Affiliate or Sublicensee is the cause of any breach under any Upstream License, then Licensee shall use reasonable efforts to cure such breach during the relevant cure period under the applicable Upstream License.</w:t>
      </w:r>
    </w:p>
    <w:p>
      <w:pPr>
        <w:spacing w:after="0" w:line="139"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10.3        Representation by Legal Counsel</w:t>
      </w:r>
      <w:r>
        <w:rPr>
          <w:rFonts w:ascii="Times New Roman" w:cs="Times New Roman" w:eastAsia="Times New Roman" w:hAnsi="Times New Roman"/>
          <w:sz w:val="15"/>
          <w:szCs w:val="15"/>
          <w:color w:val="auto"/>
        </w:rPr>
        <w:t>. Each Party hereto represents that it has been represented by legal counsel in connection with this Agreement and acknowledges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that it has participated in the drafting. In interpreting and applying the terms and provisions of this Agreement, the Parties agree that no presumption shall exist or be implied against the Party which drafted such terms and provisions.</w:t>
      </w:r>
    </w:p>
    <w:p>
      <w:pPr>
        <w:spacing w:after="0" w:line="147"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10.4        No Inconsistent Agreements</w:t>
      </w:r>
      <w:r>
        <w:rPr>
          <w:rFonts w:ascii="Times New Roman" w:cs="Times New Roman" w:eastAsia="Times New Roman" w:hAnsi="Times New Roman"/>
          <w:sz w:val="15"/>
          <w:szCs w:val="15"/>
          <w:color w:val="auto"/>
        </w:rPr>
        <w:t>. Neither Party has in effect and, after the Effective Date, neither Party shall enter into, any oral or written agreement or arrangement that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would be inconsistent with its obligations under this Agreement or limit the ability of either Party to grant the licenses granted under this Agreement.</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76" w:name="page477"/>
    <w:bookmarkEnd w:id="476"/>
    <w:p>
      <w:pPr>
        <w:jc w:val="both"/>
        <w:ind w:firstLine="1055"/>
        <w:spacing w:after="0" w:line="251" w:lineRule="auto"/>
        <w:rPr>
          <w:sz w:val="20"/>
          <w:szCs w:val="20"/>
          <w:color w:val="auto"/>
        </w:rPr>
      </w:pPr>
      <w:r>
        <w:rPr>
          <w:rFonts w:ascii="Times New Roman" w:cs="Times New Roman" w:eastAsia="Times New Roman" w:hAnsi="Times New Roman"/>
          <w:sz w:val="15"/>
          <w:szCs w:val="15"/>
          <w:b w:val="1"/>
          <w:bCs w:val="1"/>
          <w:color w:val="auto"/>
        </w:rPr>
        <w:t>10.5        Disclaimer</w:t>
      </w:r>
      <w:r>
        <w:rPr>
          <w:rFonts w:ascii="Times New Roman" w:cs="Times New Roman" w:eastAsia="Times New Roman" w:hAnsi="Times New Roman"/>
          <w:sz w:val="15"/>
          <w:szCs w:val="15"/>
          <w:color w:val="auto"/>
        </w:rPr>
        <w:t>. EXCEPT FOR THE REPRESENTATIONS AND WARRANTIES OF EACH PARTY EXPRESSLY SET FORTH IN THIS AGREEMENT, NEITHER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PARTY MAKES ANY OTHER REPRESENTATIONS OR WARRANTIES OF ANY KIND, INCLUDING ANY IMPLIED WARRANTIES OF NONINFRINGEMENT, ANY IMPLIED WARRANTIES OF MERCHANTABILITY OR ANY IMPLIED WARRANTIES OF FITNESS FOR A PARTICULAR PURPOSE ALL OF WHICH ARE HEREBY SPECIFICALLY EXCLUDED AND DISCLAIMED. EACH PARTY HEREBY DISCLAIMS ANY REPRESENTATION OR WARRANTY THAT THE DEVELOPMENT, MANUFACTURE OR COMMERCIALIZATION OF ANY COMPOUND OR ANY PRODUCT UNDER THIS AGREEMENT WILL BE SAFE, USEFUL, OR SUCCESSFUL.</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11.         </w:t>
      </w:r>
      <w:r>
        <w:rPr>
          <w:rFonts w:ascii="Times New Roman" w:cs="Times New Roman" w:eastAsia="Times New Roman" w:hAnsi="Times New Roman"/>
          <w:sz w:val="15"/>
          <w:szCs w:val="15"/>
          <w:b w:val="1"/>
          <w:bCs w:val="1"/>
          <w:u w:val="single" w:color="auto"/>
          <w:color w:val="auto"/>
        </w:rPr>
        <w:t>  Intellectual Property</w:t>
      </w:r>
      <w:r>
        <w:rPr>
          <w:rFonts w:ascii="Times New Roman" w:cs="Times New Roman" w:eastAsia="Times New Roman" w:hAnsi="Times New Roman"/>
          <w:sz w:val="15"/>
          <w:szCs w:val="15"/>
          <w:b w:val="1"/>
          <w:bCs w:val="1"/>
          <w:color w:val="auto"/>
        </w:rPr>
        <w:t>.</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11.1        Disclosure</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11.1.1          </w:t>
      </w:r>
      <w:r>
        <w:rPr>
          <w:rFonts w:ascii="Times New Roman" w:cs="Times New Roman" w:eastAsia="Times New Roman" w:hAnsi="Times New Roman"/>
          <w:sz w:val="15"/>
          <w:szCs w:val="15"/>
          <w:b w:val="1"/>
          <w:bCs w:val="1"/>
          <w:color w:val="auto"/>
        </w:rPr>
        <w:t>Licensee Intellectual Property</w:t>
      </w:r>
      <w:r>
        <w:rPr>
          <w:rFonts w:ascii="Times New Roman" w:cs="Times New Roman" w:eastAsia="Times New Roman" w:hAnsi="Times New Roman"/>
          <w:sz w:val="15"/>
          <w:szCs w:val="15"/>
          <w:color w:val="auto"/>
        </w:rPr>
        <w:t>. Licensee shall disclose to Zenas all new Licensee Inventions and Joint Intellectual Property in accordance with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Section 11.2.3</w:t>
      </w:r>
      <w:r>
        <w:rPr>
          <w:rFonts w:ascii="Times New Roman" w:cs="Times New Roman" w:eastAsia="Times New Roman" w:hAnsi="Times New Roman"/>
          <w:sz w:val="15"/>
          <w:szCs w:val="15"/>
          <w:color w:val="auto"/>
        </w:rPr>
        <w:t>.</w:t>
      </w:r>
    </w:p>
    <w:p>
      <w:pPr>
        <w:spacing w:after="0" w:line="162" w:lineRule="exact"/>
        <w:rPr>
          <w:sz w:val="20"/>
          <w:szCs w:val="20"/>
          <w:color w:val="auto"/>
        </w:rPr>
      </w:pPr>
    </w:p>
    <w:p>
      <w:pPr>
        <w:jc w:val="both"/>
        <w:ind w:firstLine="1582"/>
        <w:spacing w:after="0" w:line="258" w:lineRule="auto"/>
        <w:rPr>
          <w:sz w:val="20"/>
          <w:szCs w:val="20"/>
          <w:color w:val="auto"/>
        </w:rPr>
      </w:pPr>
      <w:r>
        <w:rPr>
          <w:rFonts w:ascii="Times New Roman" w:cs="Times New Roman" w:eastAsia="Times New Roman" w:hAnsi="Times New Roman"/>
          <w:sz w:val="15"/>
          <w:szCs w:val="15"/>
          <w:color w:val="auto"/>
        </w:rPr>
        <w:t>11.1.2          </w:t>
      </w:r>
      <w:r>
        <w:rPr>
          <w:rFonts w:ascii="Times New Roman" w:cs="Times New Roman" w:eastAsia="Times New Roman" w:hAnsi="Times New Roman"/>
          <w:sz w:val="15"/>
          <w:szCs w:val="15"/>
          <w:b w:val="1"/>
          <w:bCs w:val="1"/>
          <w:color w:val="auto"/>
        </w:rPr>
        <w:t>Zenas Intellectual Property</w:t>
      </w:r>
      <w:r>
        <w:rPr>
          <w:rFonts w:ascii="Times New Roman" w:cs="Times New Roman" w:eastAsia="Times New Roman" w:hAnsi="Times New Roman"/>
          <w:sz w:val="15"/>
          <w:szCs w:val="15"/>
          <w:color w:val="auto"/>
        </w:rPr>
        <w:t xml:space="preserve">. Zenas shall disclose to Licensee all new Zenas Inventions and Joint Intellectual Property in accordance with </w:t>
      </w:r>
      <w:r>
        <w:rPr>
          <w:rFonts w:ascii="Times New Roman" w:cs="Times New Roman" w:eastAsia="Times New Roman" w:hAnsi="Times New Roman"/>
          <w:sz w:val="15"/>
          <w:szCs w:val="15"/>
          <w:u w:val="single" w:color="auto"/>
          <w:color w:val="auto"/>
        </w:rPr>
        <w:t>Section 11.2.3</w:t>
      </w:r>
      <w:r>
        <w:rPr>
          <w:rFonts w:ascii="Times New Roman" w:cs="Times New Roman" w:eastAsia="Times New Roman" w:hAnsi="Times New Roman"/>
          <w:sz w:val="15"/>
          <w:szCs w:val="15"/>
          <w:color w:val="auto"/>
        </w:rPr>
        <w:t xml:space="preserve">. To the extent any new Zenas Patent Right has been filed or acquired, Zenas shall promptly provide Licensee with a written amendment to </w:t>
      </w:r>
      <w:r>
        <w:rPr>
          <w:rFonts w:ascii="Times New Roman" w:cs="Times New Roman" w:eastAsia="Times New Roman" w:hAnsi="Times New Roman"/>
          <w:sz w:val="15"/>
          <w:szCs w:val="15"/>
          <w:u w:val="single" w:color="auto"/>
          <w:color w:val="auto"/>
        </w:rPr>
        <w:t>Schedule 1.95</w:t>
      </w:r>
      <w:r>
        <w:rPr>
          <w:rFonts w:ascii="Times New Roman" w:cs="Times New Roman" w:eastAsia="Times New Roman" w:hAnsi="Times New Roman"/>
          <w:sz w:val="15"/>
          <w:szCs w:val="15"/>
          <w:color w:val="auto"/>
        </w:rPr>
        <w:t xml:space="preserve">, describing such additional Patent Rights. Each amended </w:t>
      </w:r>
      <w:r>
        <w:rPr>
          <w:rFonts w:ascii="Times New Roman" w:cs="Times New Roman" w:eastAsia="Times New Roman" w:hAnsi="Times New Roman"/>
          <w:sz w:val="15"/>
          <w:szCs w:val="15"/>
          <w:u w:val="single" w:color="auto"/>
          <w:color w:val="auto"/>
        </w:rPr>
        <w:t>Schedule 1.95</w:t>
      </w:r>
      <w:r>
        <w:rPr>
          <w:rFonts w:ascii="Times New Roman" w:cs="Times New Roman" w:eastAsia="Times New Roman" w:hAnsi="Times New Roman"/>
          <w:sz w:val="15"/>
          <w:szCs w:val="15"/>
          <w:color w:val="auto"/>
        </w:rPr>
        <w:t xml:space="preserve"> shall become effective and supersede the previous </w:t>
      </w:r>
      <w:r>
        <w:rPr>
          <w:rFonts w:ascii="Times New Roman" w:cs="Times New Roman" w:eastAsia="Times New Roman" w:hAnsi="Times New Roman"/>
          <w:sz w:val="15"/>
          <w:szCs w:val="15"/>
          <w:u w:val="single" w:color="auto"/>
          <w:color w:val="auto"/>
        </w:rPr>
        <w:t>Schedule 1.95</w:t>
      </w:r>
      <w:r>
        <w:rPr>
          <w:rFonts w:ascii="Times New Roman" w:cs="Times New Roman" w:eastAsia="Times New Roman" w:hAnsi="Times New Roman"/>
          <w:sz w:val="15"/>
          <w:szCs w:val="15"/>
          <w:color w:val="auto"/>
        </w:rPr>
        <w:t xml:space="preserve"> on the date that Licensee receives such amendment.</w:t>
      </w:r>
    </w:p>
    <w:p>
      <w:pPr>
        <w:spacing w:after="0" w:line="1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11.2        Ownership</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firstLine="1582"/>
        <w:spacing w:after="0" w:line="263" w:lineRule="auto"/>
        <w:rPr>
          <w:sz w:val="20"/>
          <w:szCs w:val="20"/>
          <w:color w:val="auto"/>
        </w:rPr>
      </w:pPr>
      <w:r>
        <w:rPr>
          <w:rFonts w:ascii="Times New Roman" w:cs="Times New Roman" w:eastAsia="Times New Roman" w:hAnsi="Times New Roman"/>
          <w:sz w:val="14"/>
          <w:szCs w:val="14"/>
          <w:color w:val="auto"/>
        </w:rPr>
        <w:t>11.2.1          </w:t>
      </w:r>
      <w:r>
        <w:rPr>
          <w:rFonts w:ascii="Times New Roman" w:cs="Times New Roman" w:eastAsia="Times New Roman" w:hAnsi="Times New Roman"/>
          <w:sz w:val="14"/>
          <w:szCs w:val="14"/>
          <w:b w:val="1"/>
          <w:bCs w:val="1"/>
          <w:color w:val="auto"/>
        </w:rPr>
        <w:t>Ownership of Technology</w:t>
      </w:r>
      <w:r>
        <w:rPr>
          <w:rFonts w:ascii="Times New Roman" w:cs="Times New Roman" w:eastAsia="Times New Roman" w:hAnsi="Times New Roman"/>
          <w:sz w:val="14"/>
          <w:szCs w:val="14"/>
          <w:color w:val="auto"/>
        </w:rPr>
        <w:t>. As between the Parties: (a) Zenas shall own all interest in and to (i) all Know-How or Patent Rights Invented, generated or conceived solely by or on behalf of a Party or its Affiliates or jointly by the Parties or their Affiliates that constitute an improvement or enhancement of any Zenas Intellectual Property, or are derived from or use the Zenas Intellectual Property or Zenas’s Confidential Information, in each case, that arise out of the activities under this Agreement and that solely and exclusively relate to the Compound or the Products, including their method of use (the “</w:t>
      </w:r>
      <w:r>
        <w:rPr>
          <w:rFonts w:ascii="Times New Roman" w:cs="Times New Roman" w:eastAsia="Times New Roman" w:hAnsi="Times New Roman"/>
          <w:sz w:val="14"/>
          <w:szCs w:val="14"/>
          <w:b w:val="1"/>
          <w:bCs w:val="1"/>
          <w:color w:val="auto"/>
        </w:rPr>
        <w:t>Product Inventions</w:t>
      </w:r>
      <w:r>
        <w:rPr>
          <w:rFonts w:ascii="Times New Roman" w:cs="Times New Roman" w:eastAsia="Times New Roman" w:hAnsi="Times New Roman"/>
          <w:sz w:val="14"/>
          <w:szCs w:val="14"/>
          <w:color w:val="auto"/>
        </w:rPr>
        <w:t>”), and (ii) all other Know-How or Patent Rights Invented, generated or conceived solely by or on behalf of Zenas, its Affiliates, or by Zenas or its Affiliates with a Third Party in relation to this Agreement (together with the Product Inventions, the “</w:t>
      </w:r>
      <w:r>
        <w:rPr>
          <w:rFonts w:ascii="Times New Roman" w:cs="Times New Roman" w:eastAsia="Times New Roman" w:hAnsi="Times New Roman"/>
          <w:sz w:val="14"/>
          <w:szCs w:val="14"/>
          <w:b w:val="1"/>
          <w:bCs w:val="1"/>
          <w:color w:val="auto"/>
        </w:rPr>
        <w:t>Zenas Inventions</w:t>
      </w:r>
      <w:r>
        <w:rPr>
          <w:rFonts w:ascii="Times New Roman" w:cs="Times New Roman" w:eastAsia="Times New Roman" w:hAnsi="Times New Roman"/>
          <w:sz w:val="14"/>
          <w:szCs w:val="14"/>
          <w:color w:val="auto"/>
        </w:rPr>
        <w:t>”); (b) Licensee shall own all interest in and to all Know-How or Patent Rights Invented, generated or conceived solely by or on behalf of Licensee or its Affiliates under this Agreement that is not a Product Invention, including Licensee Know-How and Licensee Patent Rights (“</w:t>
      </w:r>
      <w:r>
        <w:rPr>
          <w:rFonts w:ascii="Times New Roman" w:cs="Times New Roman" w:eastAsia="Times New Roman" w:hAnsi="Times New Roman"/>
          <w:sz w:val="14"/>
          <w:szCs w:val="14"/>
          <w:b w:val="1"/>
          <w:bCs w:val="1"/>
          <w:color w:val="auto"/>
        </w:rPr>
        <w:t>Licensee Inventions</w:t>
      </w:r>
      <w:r>
        <w:rPr>
          <w:rFonts w:ascii="Times New Roman" w:cs="Times New Roman" w:eastAsia="Times New Roman" w:hAnsi="Times New Roman"/>
          <w:sz w:val="14"/>
          <w:szCs w:val="14"/>
          <w:color w:val="auto"/>
        </w:rPr>
        <w:t xml:space="preserve">”); and (c) the Parties shall jointly own all interest in and to all Joint Intellectual Property. Subject to the license grant to Licensee under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both Parties may practice the Joint Intellectual Property jointly owned by the Parties for all purposes on a worldwide basis and to license such Joint Intellectual Property without consent of the other Party (where consent is required by Applicable Law, such consent is deemed hereby granted) and without a duty of accounting to the other Party. Each Party shall assign and hereby assigns to the other Party all right, title and interest (or, as applicable, a one-half (1/2) undivided interest) it may have in any Know-How or Patent Rights owned by the other Party under this </w:t>
      </w:r>
      <w:r>
        <w:rPr>
          <w:rFonts w:ascii="Times New Roman" w:cs="Times New Roman" w:eastAsia="Times New Roman" w:hAnsi="Times New Roman"/>
          <w:sz w:val="14"/>
          <w:szCs w:val="14"/>
          <w:u w:val="single" w:color="auto"/>
          <w:color w:val="auto"/>
        </w:rPr>
        <w:t>Section 11.2.1</w:t>
      </w:r>
      <w:r>
        <w:rPr>
          <w:rFonts w:ascii="Times New Roman" w:cs="Times New Roman" w:eastAsia="Times New Roman" w:hAnsi="Times New Roman"/>
          <w:sz w:val="14"/>
          <w:szCs w:val="14"/>
          <w:color w:val="auto"/>
        </w:rPr>
        <w:t xml:space="preserve">, and shall cause its Affiliates and licensees, as applicable, to execute and deliver such additional documents, instruments, conveyances and assurances and take any such further actions as may be reasonably required to ensure that ownership is effectively assigned to and held by the other Party in accordance with this </w:t>
      </w:r>
      <w:r>
        <w:rPr>
          <w:rFonts w:ascii="Times New Roman" w:cs="Times New Roman" w:eastAsia="Times New Roman" w:hAnsi="Times New Roman"/>
          <w:sz w:val="14"/>
          <w:szCs w:val="14"/>
          <w:u w:val="single" w:color="auto"/>
          <w:color w:val="auto"/>
        </w:rPr>
        <w:t>Section 11.2.1</w:t>
      </w:r>
      <w:r>
        <w:rPr>
          <w:rFonts w:ascii="Times New Roman" w:cs="Times New Roman" w:eastAsia="Times New Roman" w:hAnsi="Times New Roman"/>
          <w:sz w:val="14"/>
          <w:szCs w:val="14"/>
          <w:color w:val="auto"/>
        </w:rPr>
        <w:t>. Licensee hereby grants to Zenas a non-exclusive, irrevocable, royalty-free, fully paid-up and sublicensable (through multiple tiers) license under the Licensee Know-How and Licensee Patent Rights to (1) Develop, Manufacture, Commercialize or otherwise Exploit the Compound and Products and Companion Diagnostics in the Field outside the Territory, or</w:t>
      </w:r>
    </w:p>
    <w:p>
      <w:pPr>
        <w:spacing w:after="0" w:line="8" w:lineRule="exact"/>
        <w:rPr>
          <w:sz w:val="20"/>
          <w:szCs w:val="20"/>
          <w:color w:val="auto"/>
        </w:rPr>
      </w:pPr>
    </w:p>
    <w:p>
      <w:pPr>
        <w:ind w:firstLine="8"/>
        <w:spacing w:after="0" w:line="249" w:lineRule="auto"/>
        <w:tabs>
          <w:tab w:leader="none" w:pos="207" w:val="left"/>
        </w:tabs>
        <w:numPr>
          <w:ilvl w:val="0"/>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Develop (subject to </w:t>
      </w:r>
      <w:r>
        <w:rPr>
          <w:rFonts w:ascii="Times New Roman" w:cs="Times New Roman" w:eastAsia="Times New Roman" w:hAnsi="Times New Roman"/>
          <w:sz w:val="15"/>
          <w:szCs w:val="15"/>
          <w:u w:val="single" w:color="auto"/>
          <w:color w:val="auto"/>
        </w:rPr>
        <w:t>Section 4.4</w:t>
      </w:r>
      <w:r>
        <w:rPr>
          <w:rFonts w:ascii="Times New Roman" w:cs="Times New Roman" w:eastAsia="Times New Roman" w:hAnsi="Times New Roman"/>
          <w:sz w:val="15"/>
          <w:szCs w:val="15"/>
          <w:color w:val="auto"/>
        </w:rPr>
        <w:t>) or Manufacture the Compound and Products and Companion Diagnostics in the Field in the Territory solely to use, have used, sell, have sold, offer for sale, have offered for sale, import and have imported the Compound, Product and Companion Diagnostics in the Field outside the Territory.</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77" w:name="page478"/>
    <w:bookmarkEnd w:id="477"/>
    <w:p>
      <w:pPr>
        <w:jc w:val="both"/>
        <w:ind w:firstLine="1582"/>
        <w:spacing w:after="0" w:line="268" w:lineRule="auto"/>
        <w:rPr>
          <w:sz w:val="20"/>
          <w:szCs w:val="20"/>
          <w:color w:val="auto"/>
        </w:rPr>
      </w:pPr>
      <w:r>
        <w:rPr>
          <w:rFonts w:ascii="Times New Roman" w:cs="Times New Roman" w:eastAsia="Times New Roman" w:hAnsi="Times New Roman"/>
          <w:sz w:val="14"/>
          <w:szCs w:val="14"/>
          <w:color w:val="auto"/>
        </w:rPr>
        <w:t>11.2.2          </w:t>
      </w:r>
      <w:r>
        <w:rPr>
          <w:rFonts w:ascii="Times New Roman" w:cs="Times New Roman" w:eastAsia="Times New Roman" w:hAnsi="Times New Roman"/>
          <w:sz w:val="14"/>
          <w:szCs w:val="14"/>
          <w:b w:val="1"/>
          <w:bCs w:val="1"/>
          <w:color w:val="auto"/>
        </w:rPr>
        <w:t>Employee Assignment</w:t>
      </w:r>
      <w:r>
        <w:rPr>
          <w:rFonts w:ascii="Times New Roman" w:cs="Times New Roman" w:eastAsia="Times New Roman" w:hAnsi="Times New Roman"/>
          <w:sz w:val="14"/>
          <w:szCs w:val="14"/>
          <w:color w:val="auto"/>
        </w:rPr>
        <w:t>. To the extent permissible under Applicable Laws, each Party shall cause all of its and its Affiliates’ employees and contractors to, and shall use commercially reasonable efforts to procure that the employees and contractors of each of its sublicensees and subcontractors, conducting work on such Party’s behalf under this Agreement sign a contract that (a) compels prompt disclosure to such Party of all Zenas Intellectual Property, Licensee Intellectual Property and Joint Intellectual Property (as applicable) discovered, developed, created, conceived, reduced to practice, or Invented by such employee or contractor during any performance under this Agreement free and clear of all Liens;</w:t>
      </w:r>
    </w:p>
    <w:p>
      <w:pPr>
        <w:spacing w:after="0" w:line="1" w:lineRule="exact"/>
        <w:rPr>
          <w:sz w:val="20"/>
          <w:szCs w:val="20"/>
          <w:color w:val="auto"/>
        </w:rPr>
      </w:pPr>
    </w:p>
    <w:p>
      <w:pPr>
        <w:jc w:val="both"/>
        <w:ind w:firstLine="8"/>
        <w:spacing w:after="0" w:line="245" w:lineRule="auto"/>
        <w:tabs>
          <w:tab w:leader="none" w:pos="221" w:val="left"/>
        </w:tabs>
        <w:numPr>
          <w:ilvl w:val="0"/>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automatically assigns to such Party all right, title and interest in and to all such Intellectual Property (subject to customary exceptions for improvements to the pre-existing Intellectual Property or platform of the applicable sublicensee or subcontractor solely to the extent such improvements do not relate specifically to any Compound or Product), and requires the employee to execute all documents and take such other actions as may be necessary to effectuate such assignment; (c) obligates such Persons to similar obligations of confidentiality as those set forth in this Agreement; (d) sets out an invention and patent reward and remuneration policy that is legally sufficient under Applicable Laws; and (e) sets forth a waiver of pre-emption rights under any Applicable Laws to the effect that the employee shall confirm that he/she shall not have any right or claim on any Zenas Intellectual Property, Licensee Intellectual Property or Joint Intellectual Property (as applicable) derived from his/her work, except for the reward and remuneration he/she is entitled to under the invention and patent reward and remuneration policy. Each of Zenas and Licensee shall, and shall require each employee and contractor conducting work on its behalf under this Agreement to maintain records in sufficient detail and in a good scientific manner appropriate for patent purposes to properly reflect all work done for the greater of [***] or the time period required by Applicable Law.</w:t>
      </w:r>
    </w:p>
    <w:p>
      <w:pPr>
        <w:spacing w:after="0" w:line="157" w:lineRule="exact"/>
        <w:rPr>
          <w:sz w:val="20"/>
          <w:szCs w:val="20"/>
          <w:color w:val="auto"/>
        </w:rPr>
      </w:pPr>
    </w:p>
    <w:p>
      <w:pPr>
        <w:jc w:val="both"/>
        <w:ind w:firstLine="1582"/>
        <w:spacing w:after="0" w:line="248" w:lineRule="auto"/>
        <w:rPr>
          <w:sz w:val="20"/>
          <w:szCs w:val="20"/>
          <w:color w:val="auto"/>
        </w:rPr>
      </w:pPr>
      <w:r>
        <w:rPr>
          <w:rFonts w:ascii="Times New Roman" w:cs="Times New Roman" w:eastAsia="Times New Roman" w:hAnsi="Times New Roman"/>
          <w:sz w:val="15"/>
          <w:szCs w:val="15"/>
          <w:color w:val="auto"/>
        </w:rPr>
        <w:t>11.2.3          </w:t>
      </w:r>
      <w:r>
        <w:rPr>
          <w:rFonts w:ascii="Times New Roman" w:cs="Times New Roman" w:eastAsia="Times New Roman" w:hAnsi="Times New Roman"/>
          <w:sz w:val="15"/>
          <w:szCs w:val="15"/>
          <w:b w:val="1"/>
          <w:bCs w:val="1"/>
          <w:color w:val="auto"/>
        </w:rPr>
        <w:t>Disclosures; Disputes Regarding Inventions</w:t>
      </w:r>
      <w:r>
        <w:rPr>
          <w:rFonts w:ascii="Times New Roman" w:cs="Times New Roman" w:eastAsia="Times New Roman" w:hAnsi="Times New Roman"/>
          <w:sz w:val="15"/>
          <w:szCs w:val="15"/>
          <w:color w:val="auto"/>
        </w:rPr>
        <w:t xml:space="preserve">. Each Party shall, before filing a new patent application (including provisionals and continuations-in-part) claiming an invention Invented by such Party in the performance of its obligations or exercise of its rights under this Agreement, promptly disclose such invention to the other Party through the JSC and shall provide the JSC with a copy of the proposed patent application at least [***] before filing such application or such shorter time as may be required to preserve Patent Rights, including the avoidance of a statutory bar or prior publication. If such other Party believes that the first Party’s proposed patent application discloses such other Party’s Confidential Information, such other Party shall so notify the first Party (through the JSC) within such [***] after receipt thereof, and such first Party shall amend its proposed application to comply with the confidentiality provisions of this Agreement. If the JSC is in agreement as to the designation of the invention as a Zenas Invention, Joint Intellectual Property or Licensee Invention, as applicable, they can continue with the prosecution and maintenance of such Patent Rights as set forth in </w:t>
      </w:r>
      <w:r>
        <w:rPr>
          <w:rFonts w:ascii="Times New Roman" w:cs="Times New Roman" w:eastAsia="Times New Roman" w:hAnsi="Times New Roman"/>
          <w:sz w:val="15"/>
          <w:szCs w:val="15"/>
          <w:u w:val="single" w:color="auto"/>
          <w:color w:val="auto"/>
        </w:rPr>
        <w:t>Section 11.3</w:t>
      </w:r>
      <w:r>
        <w:rPr>
          <w:rFonts w:ascii="Times New Roman" w:cs="Times New Roman" w:eastAsia="Times New Roman" w:hAnsi="Times New Roman"/>
          <w:sz w:val="15"/>
          <w:szCs w:val="15"/>
          <w:color w:val="auto"/>
        </w:rPr>
        <w:t xml:space="preserve">. If the JSC disagrees as to whether an invention is a Zenas Invention, Joint Intellectual Property or Licensee Invention, and are unable to reach agreement within [***] after commencing discussions, then the provisions of </w:t>
      </w:r>
      <w:r>
        <w:rPr>
          <w:rFonts w:ascii="Times New Roman" w:cs="Times New Roman" w:eastAsia="Times New Roman" w:hAnsi="Times New Roman"/>
          <w:sz w:val="15"/>
          <w:szCs w:val="15"/>
          <w:u w:val="single" w:color="auto"/>
          <w:color w:val="auto"/>
        </w:rPr>
        <w:t>Section 15.3</w:t>
      </w:r>
      <w:r>
        <w:rPr>
          <w:rFonts w:ascii="Times New Roman" w:cs="Times New Roman" w:eastAsia="Times New Roman" w:hAnsi="Times New Roman"/>
          <w:sz w:val="15"/>
          <w:szCs w:val="15"/>
          <w:color w:val="auto"/>
        </w:rPr>
        <w:t xml:space="preserve"> shall apply to such dispute without limiting either Party’s right to continue with filing such application.</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78" w:name="page479"/>
    <w:bookmarkEnd w:id="478"/>
    <w:p>
      <w:pPr>
        <w:ind w:left="1060"/>
        <w:spacing w:after="0"/>
        <w:rPr>
          <w:sz w:val="20"/>
          <w:szCs w:val="20"/>
          <w:color w:val="auto"/>
        </w:rPr>
      </w:pPr>
      <w:r>
        <w:rPr>
          <w:rFonts w:ascii="Times New Roman" w:cs="Times New Roman" w:eastAsia="Times New Roman" w:hAnsi="Times New Roman"/>
          <w:sz w:val="15"/>
          <w:szCs w:val="15"/>
          <w:b w:val="1"/>
          <w:bCs w:val="1"/>
          <w:color w:val="auto"/>
        </w:rPr>
        <w:t>11.3        Prosecution and Maintenance of Patent Rights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11.3.1           Zenas Intellectual Property and Joint Intellectual Property.</w:t>
      </w:r>
    </w:p>
    <w:p>
      <w:pPr>
        <w:spacing w:after="0" w:line="179" w:lineRule="exact"/>
        <w:rPr>
          <w:sz w:val="20"/>
          <w:szCs w:val="20"/>
          <w:color w:val="auto"/>
        </w:rPr>
      </w:pPr>
    </w:p>
    <w:p>
      <w:pPr>
        <w:jc w:val="both"/>
        <w:ind w:firstLine="2110"/>
        <w:spacing w:after="0" w:line="257" w:lineRule="auto"/>
        <w:rPr>
          <w:sz w:val="20"/>
          <w:szCs w:val="20"/>
          <w:color w:val="auto"/>
        </w:rPr>
      </w:pPr>
      <w:r>
        <w:rPr>
          <w:rFonts w:ascii="Times New Roman" w:cs="Times New Roman" w:eastAsia="Times New Roman" w:hAnsi="Times New Roman"/>
          <w:sz w:val="15"/>
          <w:szCs w:val="15"/>
          <w:color w:val="auto"/>
        </w:rPr>
        <w:t>    (a)            As between the Parties, but subject to the rights of the Upstream Licensors, Zenas shall have the sole right to, but not the obligation to, draft, file, prosecute and maintain (including the defense of any oppositions, appeals, interferences, reissue proceedings, reexaminations and post-grant and administrative proceedings) (collectively, “</w:t>
      </w:r>
      <w:r>
        <w:rPr>
          <w:rFonts w:ascii="Times New Roman" w:cs="Times New Roman" w:eastAsia="Times New Roman" w:hAnsi="Times New Roman"/>
          <w:sz w:val="15"/>
          <w:szCs w:val="15"/>
          <w:b w:val="1"/>
          <w:bCs w:val="1"/>
          <w:color w:val="auto"/>
        </w:rPr>
        <w:t>Prosecute</w:t>
      </w:r>
      <w:r>
        <w:rPr>
          <w:rFonts w:ascii="Times New Roman" w:cs="Times New Roman" w:eastAsia="Times New Roman" w:hAnsi="Times New Roman"/>
          <w:sz w:val="15"/>
          <w:szCs w:val="15"/>
          <w:color w:val="auto"/>
        </w:rPr>
        <w:t>”) the Zenas Patent Rights and Joint Patent Rights at its own cost and expense outside the Territory.</w:t>
      </w:r>
    </w:p>
    <w:p>
      <w:pPr>
        <w:spacing w:after="0" w:line="149" w:lineRule="exact"/>
        <w:rPr>
          <w:sz w:val="20"/>
          <w:szCs w:val="20"/>
          <w:color w:val="auto"/>
        </w:rPr>
      </w:pPr>
    </w:p>
    <w:p>
      <w:pPr>
        <w:jc w:val="both"/>
        <w:ind w:firstLine="2110"/>
        <w:spacing w:after="0" w:line="252" w:lineRule="auto"/>
        <w:rPr>
          <w:sz w:val="20"/>
          <w:szCs w:val="20"/>
          <w:color w:val="auto"/>
        </w:rPr>
      </w:pPr>
      <w:r>
        <w:rPr>
          <w:rFonts w:ascii="Times New Roman" w:cs="Times New Roman" w:eastAsia="Times New Roman" w:hAnsi="Times New Roman"/>
          <w:sz w:val="15"/>
          <w:szCs w:val="15"/>
          <w:color w:val="auto"/>
        </w:rPr>
        <w:t>    (b)            As between the Parties, but subject to the rights of the Upstream Licensors and Applicable Law, [***] shall have the [***] right, but not the obligation to, Prosecute the [***] in the Territory. [***] shall be responsible for all costs and expenses (including outside counsel fees and filing costs) incurred by [***] in connection with such Prosecution activities. [***] shall consult with [***] and keep [***] reasonably informed of the Prosecution of the [***] and [***] in the Territory and shall provide [***] with all material correspondence received from any patent authority in the Territory in connection therewith. [***].</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11.3.2          </w:t>
      </w:r>
      <w:r>
        <w:rPr>
          <w:rFonts w:ascii="Times New Roman" w:cs="Times New Roman" w:eastAsia="Times New Roman" w:hAnsi="Times New Roman"/>
          <w:sz w:val="15"/>
          <w:szCs w:val="15"/>
          <w:b w:val="1"/>
          <w:bCs w:val="1"/>
          <w:color w:val="auto"/>
        </w:rPr>
        <w:t>Licensee Intellectual Property</w:t>
      </w:r>
      <w:r>
        <w:rPr>
          <w:rFonts w:ascii="Times New Roman" w:cs="Times New Roman" w:eastAsia="Times New Roman" w:hAnsi="Times New Roman"/>
          <w:sz w:val="15"/>
          <w:szCs w:val="15"/>
          <w:color w:val="auto"/>
        </w:rPr>
        <w:t>. [***].</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11.4        Product Trademarks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firstLine="1582"/>
        <w:spacing w:after="0" w:line="251" w:lineRule="auto"/>
        <w:rPr>
          <w:sz w:val="20"/>
          <w:szCs w:val="20"/>
          <w:color w:val="auto"/>
        </w:rPr>
      </w:pPr>
      <w:r>
        <w:rPr>
          <w:rFonts w:ascii="Times New Roman" w:cs="Times New Roman" w:eastAsia="Times New Roman" w:hAnsi="Times New Roman"/>
          <w:sz w:val="15"/>
          <w:szCs w:val="15"/>
          <w:color w:val="auto"/>
        </w:rPr>
        <w:t>11.4.1          </w:t>
      </w:r>
      <w:r>
        <w:rPr>
          <w:rFonts w:ascii="Times New Roman" w:cs="Times New Roman" w:eastAsia="Times New Roman" w:hAnsi="Times New Roman"/>
          <w:sz w:val="15"/>
          <w:szCs w:val="15"/>
          <w:b w:val="1"/>
          <w:bCs w:val="1"/>
          <w:color w:val="auto"/>
        </w:rPr>
        <w:t>Zenas Product Marks.</w:t>
      </w:r>
      <w:r>
        <w:rPr>
          <w:rFonts w:ascii="Times New Roman" w:cs="Times New Roman" w:eastAsia="Times New Roman" w:hAnsi="Times New Roman"/>
          <w:sz w:val="15"/>
          <w:szCs w:val="15"/>
          <w:color w:val="auto"/>
        </w:rPr>
        <w:t xml:space="preserve"> Licensee may use (pursuant to this </w:t>
      </w:r>
      <w:r>
        <w:rPr>
          <w:rFonts w:ascii="Times New Roman" w:cs="Times New Roman" w:eastAsia="Times New Roman" w:hAnsi="Times New Roman"/>
          <w:sz w:val="15"/>
          <w:szCs w:val="15"/>
          <w:u w:val="single" w:color="auto"/>
          <w:color w:val="auto"/>
        </w:rPr>
        <w:t>Section 11.4</w:t>
      </w:r>
      <w:r>
        <w:rPr>
          <w:rFonts w:ascii="Times New Roman" w:cs="Times New Roman" w:eastAsia="Times New Roman" w:hAnsi="Times New Roman"/>
          <w:sz w:val="15"/>
          <w:szCs w:val="15"/>
          <w:color w:val="auto"/>
        </w:rPr>
        <w:t>) the Product specific trademarks Controlled by Zenas in the Territory as Zenas may provide to Licensee in writing from time to time (the “</w:t>
      </w:r>
      <w:r>
        <w:rPr>
          <w:rFonts w:ascii="Times New Roman" w:cs="Times New Roman" w:eastAsia="Times New Roman" w:hAnsi="Times New Roman"/>
          <w:sz w:val="15"/>
          <w:szCs w:val="15"/>
          <w:b w:val="1"/>
          <w:bCs w:val="1"/>
          <w:color w:val="auto"/>
        </w:rPr>
        <w:t>Zenas Product Marks</w:t>
      </w:r>
      <w:r>
        <w:rPr>
          <w:rFonts w:ascii="Times New Roman" w:cs="Times New Roman" w:eastAsia="Times New Roman" w:hAnsi="Times New Roman"/>
          <w:sz w:val="15"/>
          <w:szCs w:val="15"/>
          <w:color w:val="auto"/>
        </w:rPr>
        <w:t>”) and may use the English mark thereof with Japanese phonetic translation below. Zenas hereby grants to Licensee, during the Term and subject to the terms and conditions of this Agreement, a royalty-free, exclusive license under Zenas’s rights to use such Zenas Product Marks in connection with the Commercialization of the Products in the Field in the Territory in compliance with Applicable Laws and this Agreement. Licensee shall comply with Zenas’s brand usage guidelines provided to Licensee in its use of the Zenas Product Marks.</w:t>
      </w:r>
    </w:p>
    <w:p>
      <w:pPr>
        <w:spacing w:after="0" w:line="153" w:lineRule="exact"/>
        <w:rPr>
          <w:sz w:val="20"/>
          <w:szCs w:val="20"/>
          <w:color w:val="auto"/>
        </w:rPr>
      </w:pPr>
    </w:p>
    <w:p>
      <w:pPr>
        <w:jc w:val="both"/>
        <w:ind w:firstLine="1582"/>
        <w:spacing w:after="0" w:line="251" w:lineRule="auto"/>
        <w:rPr>
          <w:sz w:val="20"/>
          <w:szCs w:val="20"/>
          <w:color w:val="auto"/>
        </w:rPr>
      </w:pPr>
      <w:r>
        <w:rPr>
          <w:rFonts w:ascii="Times New Roman" w:cs="Times New Roman" w:eastAsia="Times New Roman" w:hAnsi="Times New Roman"/>
          <w:sz w:val="15"/>
          <w:szCs w:val="15"/>
          <w:color w:val="auto"/>
        </w:rPr>
        <w:t>11.4.2          </w:t>
      </w:r>
      <w:r>
        <w:rPr>
          <w:rFonts w:ascii="Times New Roman" w:cs="Times New Roman" w:eastAsia="Times New Roman" w:hAnsi="Times New Roman"/>
          <w:sz w:val="15"/>
          <w:szCs w:val="15"/>
          <w:b w:val="1"/>
          <w:bCs w:val="1"/>
          <w:color w:val="auto"/>
        </w:rPr>
        <w:t>Licensee Product Marks.</w:t>
      </w:r>
      <w:r>
        <w:rPr>
          <w:rFonts w:ascii="Times New Roman" w:cs="Times New Roman" w:eastAsia="Times New Roman" w:hAnsi="Times New Roman"/>
          <w:sz w:val="15"/>
          <w:szCs w:val="15"/>
          <w:color w:val="auto"/>
        </w:rPr>
        <w:t xml:space="preserve"> Licensee may also brand the Products in the Territory using other trademarks, logos, and trade names specific for the Products that differ from the Zenas Product Marks and do not contain the name, corporate trademark or logo of Zenas;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 prior to such use, Licensee shall submit such trademarks, logos and trade names for Zenas’s prior written approval (not to be unreasonably withheld, delayed or conditioned), and (b) such trademarks, logos and trademarks shall be deemed owned by Licensee (the “</w:t>
      </w:r>
      <w:r>
        <w:rPr>
          <w:rFonts w:ascii="Times New Roman" w:cs="Times New Roman" w:eastAsia="Times New Roman" w:hAnsi="Times New Roman"/>
          <w:sz w:val="15"/>
          <w:szCs w:val="15"/>
          <w:b w:val="1"/>
          <w:bCs w:val="1"/>
          <w:color w:val="auto"/>
        </w:rPr>
        <w:t>Licensee Product Marks</w:t>
      </w:r>
      <w:r>
        <w:rPr>
          <w:rFonts w:ascii="Times New Roman" w:cs="Times New Roman" w:eastAsia="Times New Roman" w:hAnsi="Times New Roman"/>
          <w:sz w:val="15"/>
          <w:szCs w:val="15"/>
          <w:color w:val="auto"/>
        </w:rPr>
        <w:t>”). Licensee shall own all rights in the Licensee Product Marks in the Territory and shall register and maintain the Licensee Product Marks in the Territory that it determines reasonably necessary.</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79" w:name="page480"/>
    <w:bookmarkEnd w:id="479"/>
    <w:p>
      <w:pPr>
        <w:jc w:val="both"/>
        <w:ind w:firstLine="1582"/>
        <w:spacing w:after="0" w:line="251" w:lineRule="auto"/>
        <w:rPr>
          <w:sz w:val="20"/>
          <w:szCs w:val="20"/>
          <w:color w:val="auto"/>
        </w:rPr>
      </w:pPr>
      <w:r>
        <w:rPr>
          <w:rFonts w:ascii="Times New Roman" w:cs="Times New Roman" w:eastAsia="Times New Roman" w:hAnsi="Times New Roman"/>
          <w:sz w:val="15"/>
          <w:szCs w:val="15"/>
          <w:color w:val="auto"/>
        </w:rPr>
        <w:t>11.4.3          </w:t>
      </w:r>
      <w:r>
        <w:rPr>
          <w:rFonts w:ascii="Times New Roman" w:cs="Times New Roman" w:eastAsia="Times New Roman" w:hAnsi="Times New Roman"/>
          <w:sz w:val="15"/>
          <w:szCs w:val="15"/>
          <w:b w:val="1"/>
          <w:bCs w:val="1"/>
          <w:color w:val="auto"/>
        </w:rPr>
        <w:t>Trademark Usage</w:t>
      </w:r>
      <w:r>
        <w:rPr>
          <w:rFonts w:ascii="Times New Roman" w:cs="Times New Roman" w:eastAsia="Times New Roman" w:hAnsi="Times New Roman"/>
          <w:sz w:val="15"/>
          <w:szCs w:val="15"/>
          <w:color w:val="auto"/>
        </w:rPr>
        <w:t>. Notwithstanding anything to the contrary herein, neither Party shall use any trademark, names, logos or housemark Controlled by the other Party or its Affiliates in connection with any promotional materials or the Products without such Party’s written consent. Without limiting the foregoing, neither Party will take any action that will interfere with or diminish the other Party’s rights in its respective trademarks, names and logos, and if a Party reasonably believes that the use of any trademarks, names and logos by the other Party hereunder is interfering with or diminishing its rights, such Party shall notify the other Party thereof in writing and that Party shall promptly cease use of such trademarks, names or logos in such manner.</w:t>
      </w:r>
    </w:p>
    <w:p>
      <w:pPr>
        <w:spacing w:after="0" w:line="15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11.5        Enforcement of Intellectual Property</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firstLine="1582"/>
        <w:spacing w:after="0" w:line="272" w:lineRule="auto"/>
        <w:rPr>
          <w:sz w:val="20"/>
          <w:szCs w:val="20"/>
          <w:color w:val="auto"/>
        </w:rPr>
      </w:pPr>
      <w:r>
        <w:rPr>
          <w:rFonts w:ascii="Times New Roman" w:cs="Times New Roman" w:eastAsia="Times New Roman" w:hAnsi="Times New Roman"/>
          <w:sz w:val="15"/>
          <w:szCs w:val="15"/>
          <w:color w:val="auto"/>
        </w:rPr>
        <w:t>11.5.1          </w:t>
      </w:r>
      <w:r>
        <w:rPr>
          <w:rFonts w:ascii="Times New Roman" w:cs="Times New Roman" w:eastAsia="Times New Roman" w:hAnsi="Times New Roman"/>
          <w:sz w:val="15"/>
          <w:szCs w:val="15"/>
          <w:b w:val="1"/>
          <w:bCs w:val="1"/>
          <w:color w:val="auto"/>
        </w:rPr>
        <w:t>Notice</w:t>
      </w:r>
      <w:r>
        <w:rPr>
          <w:rFonts w:ascii="Times New Roman" w:cs="Times New Roman" w:eastAsia="Times New Roman" w:hAnsi="Times New Roman"/>
          <w:sz w:val="15"/>
          <w:szCs w:val="15"/>
          <w:color w:val="auto"/>
        </w:rPr>
        <w:t>. Each Party shall promptly notify the other Party in writing in the event of any actual, potential or suspected infringement or misappropriation of a [***] in the Territory by a Third Party (an “</w:t>
      </w:r>
      <w:r>
        <w:rPr>
          <w:rFonts w:ascii="Times New Roman" w:cs="Times New Roman" w:eastAsia="Times New Roman" w:hAnsi="Times New Roman"/>
          <w:sz w:val="15"/>
          <w:szCs w:val="15"/>
          <w:b w:val="1"/>
          <w:bCs w:val="1"/>
          <w:color w:val="auto"/>
        </w:rPr>
        <w:t>Infringement</w:t>
      </w:r>
      <w:r>
        <w:rPr>
          <w:rFonts w:ascii="Times New Roman" w:cs="Times New Roman" w:eastAsia="Times New Roman" w:hAnsi="Times New Roman"/>
          <w:sz w:val="15"/>
          <w:szCs w:val="15"/>
          <w:color w:val="auto"/>
        </w:rPr>
        <w:t>”).</w:t>
      </w:r>
    </w:p>
    <w:p>
      <w:pPr>
        <w:spacing w:after="0" w:line="13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11.5.2          </w:t>
      </w:r>
      <w:r>
        <w:rPr>
          <w:rFonts w:ascii="Times New Roman" w:cs="Times New Roman" w:eastAsia="Times New Roman" w:hAnsi="Times New Roman"/>
          <w:sz w:val="15"/>
          <w:szCs w:val="15"/>
          <w:b w:val="1"/>
          <w:bCs w:val="1"/>
          <w:color w:val="auto"/>
        </w:rPr>
        <w:t>Enforcement of Zenas Patent Rights, Licensee Patent Rights, and Joint Patent Rights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    (a)            [***]</w:t>
      </w:r>
    </w:p>
    <w:p>
      <w:pPr>
        <w:spacing w:after="0" w:line="179"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(b)            Any recoveries resulting from an Infringement Remedy shall be allocated first to the costs and expenses of the Party taking such action, and second, to the costs and expenses (if any) of the other Party, with any remaining amounts (if any) to be allocated as follows: [***].</w:t>
      </w:r>
    </w:p>
    <w:p>
      <w:pPr>
        <w:spacing w:after="0" w:line="14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    (c)            [***]</w:t>
      </w:r>
    </w:p>
    <w:p>
      <w:pPr>
        <w:spacing w:after="0" w:line="17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11.5.3          </w:t>
      </w:r>
      <w:r>
        <w:rPr>
          <w:rFonts w:ascii="Times New Roman" w:cs="Times New Roman" w:eastAsia="Times New Roman" w:hAnsi="Times New Roman"/>
          <w:sz w:val="15"/>
          <w:szCs w:val="15"/>
          <w:b w:val="1"/>
          <w:bCs w:val="1"/>
          <w:color w:val="auto"/>
        </w:rPr>
        <w:t>Enforcement of Xencor General Patent Rights</w:t>
      </w:r>
      <w:r>
        <w:rPr>
          <w:rFonts w:ascii="Times New Roman" w:cs="Times New Roman" w:eastAsia="Times New Roman" w:hAnsi="Times New Roman"/>
          <w:sz w:val="15"/>
          <w:szCs w:val="15"/>
          <w:color w:val="auto"/>
        </w:rPr>
        <w:t>. [***].</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11.6        Third Party Claims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firstLine="1582"/>
        <w:spacing w:after="0" w:line="253" w:lineRule="auto"/>
        <w:rPr>
          <w:sz w:val="20"/>
          <w:szCs w:val="20"/>
          <w:color w:val="auto"/>
        </w:rPr>
      </w:pPr>
      <w:r>
        <w:rPr>
          <w:rFonts w:ascii="Times New Roman" w:cs="Times New Roman" w:eastAsia="Times New Roman" w:hAnsi="Times New Roman"/>
          <w:sz w:val="15"/>
          <w:szCs w:val="15"/>
          <w:color w:val="auto"/>
        </w:rPr>
        <w:t>11.6.1          </w:t>
      </w:r>
      <w:r>
        <w:rPr>
          <w:rFonts w:ascii="Times New Roman" w:cs="Times New Roman" w:eastAsia="Times New Roman" w:hAnsi="Times New Roman"/>
          <w:sz w:val="15"/>
          <w:szCs w:val="15"/>
          <w:b w:val="1"/>
          <w:bCs w:val="1"/>
          <w:color w:val="auto"/>
        </w:rPr>
        <w:t>Third Party Claims – Course of Action</w:t>
      </w:r>
      <w:r>
        <w:rPr>
          <w:rFonts w:ascii="Times New Roman" w:cs="Times New Roman" w:eastAsia="Times New Roman" w:hAnsi="Times New Roman"/>
          <w:sz w:val="15"/>
          <w:szCs w:val="15"/>
          <w:color w:val="auto"/>
        </w:rPr>
        <w:t xml:space="preserve">. If the Development, Commercialization or Manufacture of the Compound or a Product under this Agreement is alleged by a Third Party to infringe a Third Party’s Patent Right(s) or misappropriate a Third Party’s trade secret, the Party becoming aware of such allegation shall promptly notify the other Party thereof, in writing, reasonably detailing the claim, and shall attempt to negotiate in good faith a resolution with respect thereto. If the Parties cannot settle such claim with such Third Parties within [***] after the receipt of the notice pursuant to this </w:t>
      </w:r>
      <w:r>
        <w:rPr>
          <w:rFonts w:ascii="Times New Roman" w:cs="Times New Roman" w:eastAsia="Times New Roman" w:hAnsi="Times New Roman"/>
          <w:sz w:val="15"/>
          <w:szCs w:val="15"/>
          <w:u w:val="single" w:color="auto"/>
          <w:color w:val="auto"/>
        </w:rPr>
        <w:t>Section 11.6.1</w:t>
      </w:r>
      <w:r>
        <w:rPr>
          <w:rFonts w:ascii="Times New Roman" w:cs="Times New Roman" w:eastAsia="Times New Roman" w:hAnsi="Times New Roman"/>
          <w:sz w:val="15"/>
          <w:szCs w:val="15"/>
          <w:color w:val="auto"/>
        </w:rPr>
        <w:t>, then the following shall apply.</w:t>
      </w:r>
    </w:p>
    <w:p>
      <w:pPr>
        <w:spacing w:after="0" w:line="152" w:lineRule="exact"/>
        <w:rPr>
          <w:sz w:val="20"/>
          <w:szCs w:val="20"/>
          <w:color w:val="auto"/>
        </w:rPr>
      </w:pPr>
    </w:p>
    <w:p>
      <w:pPr>
        <w:jc w:val="both"/>
        <w:ind w:firstLine="1582"/>
        <w:spacing w:after="0" w:line="272" w:lineRule="auto"/>
        <w:rPr>
          <w:sz w:val="20"/>
          <w:szCs w:val="20"/>
          <w:color w:val="auto"/>
        </w:rPr>
      </w:pPr>
      <w:r>
        <w:rPr>
          <w:rFonts w:ascii="Times New Roman" w:cs="Times New Roman" w:eastAsia="Times New Roman" w:hAnsi="Times New Roman"/>
          <w:sz w:val="15"/>
          <w:szCs w:val="15"/>
          <w:color w:val="auto"/>
        </w:rPr>
        <w:t>11.6.2          </w:t>
      </w:r>
      <w:r>
        <w:rPr>
          <w:rFonts w:ascii="Times New Roman" w:cs="Times New Roman" w:eastAsia="Times New Roman" w:hAnsi="Times New Roman"/>
          <w:sz w:val="15"/>
          <w:szCs w:val="15"/>
          <w:b w:val="1"/>
          <w:bCs w:val="1"/>
          <w:color w:val="auto"/>
        </w:rPr>
        <w:t>Third Party Suit</w:t>
      </w:r>
      <w:r>
        <w:rPr>
          <w:rFonts w:ascii="Times New Roman" w:cs="Times New Roman" w:eastAsia="Times New Roman" w:hAnsi="Times New Roman"/>
          <w:sz w:val="15"/>
          <w:szCs w:val="15"/>
          <w:color w:val="auto"/>
        </w:rPr>
        <w:t>. If a Third Party sues Licensee alleging that the Development, Manufacture or Commercialization of any Compound or any Product in the Field in the Territory by Licensee or its Sublicensees infringes or misappropriates said Third Party’s Intellectual Property, then, as between the Parties, [***].</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11.7        Third Party Patent Challenge</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11.7.1          </w:t>
      </w:r>
      <w:r>
        <w:rPr>
          <w:rFonts w:ascii="Times New Roman" w:cs="Times New Roman" w:eastAsia="Times New Roman" w:hAnsi="Times New Roman"/>
          <w:sz w:val="15"/>
          <w:szCs w:val="15"/>
          <w:b w:val="1"/>
          <w:bCs w:val="1"/>
          <w:color w:val="auto"/>
        </w:rPr>
        <w:t>Zenas Patent Rights</w:t>
      </w:r>
      <w:r>
        <w:rPr>
          <w:rFonts w:ascii="Times New Roman" w:cs="Times New Roman" w:eastAsia="Times New Roman" w:hAnsi="Times New Roman"/>
          <w:sz w:val="15"/>
          <w:szCs w:val="15"/>
          <w:color w:val="auto"/>
        </w:rPr>
        <w:t>. [***]</w:t>
      </w:r>
    </w:p>
    <w:p>
      <w:pPr>
        <w:spacing w:after="0" w:line="1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11.7.2          </w:t>
      </w:r>
      <w:r>
        <w:rPr>
          <w:rFonts w:ascii="Times New Roman" w:cs="Times New Roman" w:eastAsia="Times New Roman" w:hAnsi="Times New Roman"/>
          <w:sz w:val="15"/>
          <w:szCs w:val="15"/>
          <w:b w:val="1"/>
          <w:bCs w:val="1"/>
          <w:color w:val="auto"/>
        </w:rPr>
        <w:t>Licensee Patent Rights, and Joint Patent Rights</w:t>
      </w:r>
      <w:r>
        <w:rPr>
          <w:rFonts w:ascii="Times New Roman" w:cs="Times New Roman" w:eastAsia="Times New Roman" w:hAnsi="Times New Roman"/>
          <w:sz w:val="15"/>
          <w:szCs w:val="15"/>
          <w:color w:val="auto"/>
        </w:rPr>
        <w:t>. [***]</w:t>
      </w:r>
    </w:p>
    <w:p>
      <w:pPr>
        <w:spacing w:after="0" w:line="18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11.7.3          [***]</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80" w:name="page481"/>
    <w:bookmarkEnd w:id="480"/>
    <w:p>
      <w:pPr>
        <w:jc w:val="both"/>
        <w:ind w:firstLine="1055"/>
        <w:spacing w:after="0" w:line="253" w:lineRule="auto"/>
        <w:rPr>
          <w:sz w:val="20"/>
          <w:szCs w:val="20"/>
          <w:color w:val="auto"/>
        </w:rPr>
      </w:pPr>
      <w:r>
        <w:rPr>
          <w:rFonts w:ascii="Times New Roman" w:cs="Times New Roman" w:eastAsia="Times New Roman" w:hAnsi="Times New Roman"/>
          <w:sz w:val="15"/>
          <w:szCs w:val="15"/>
          <w:b w:val="1"/>
          <w:bCs w:val="1"/>
          <w:color w:val="auto"/>
        </w:rPr>
        <w:t>11.8        Patent Term Extensions</w:t>
      </w:r>
      <w:r>
        <w:rPr>
          <w:rFonts w:ascii="Times New Roman" w:cs="Times New Roman" w:eastAsia="Times New Roman" w:hAnsi="Times New Roman"/>
          <w:sz w:val="15"/>
          <w:szCs w:val="15"/>
          <w:color w:val="auto"/>
        </w:rPr>
        <w:t>. As between Zenas and Licensee, [***]. Licensee and Zenas shall cooperate in connection with all such activities relating to the Licensee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Patent Rights, and if more than one of such Patent Rights is eligible for Patent Term Extension, the Parties shall discuss in good faith a strategy that shall maximize commercial value, and protection afforded under Patent Rights, for each Product. Licensee, its agents and attorneys will give due consideration to all suggestions and comments of Zenas regarding any such activities, but in the event of a disagreement between the Parties with respect to which Licensee Patent Rights to extend, Licensee will have the final decision-making authority.</w:t>
      </w:r>
    </w:p>
    <w:p>
      <w:pPr>
        <w:spacing w:after="0" w:line="152" w:lineRule="exact"/>
        <w:rPr>
          <w:sz w:val="20"/>
          <w:szCs w:val="20"/>
          <w:color w:val="auto"/>
        </w:rPr>
      </w:pPr>
    </w:p>
    <w:p>
      <w:pPr>
        <w:jc w:val="both"/>
        <w:ind w:right="20"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11.9        Patent Marking</w:t>
      </w:r>
      <w:r>
        <w:rPr>
          <w:rFonts w:ascii="Times New Roman" w:cs="Times New Roman" w:eastAsia="Times New Roman" w:hAnsi="Times New Roman"/>
          <w:sz w:val="15"/>
          <w:szCs w:val="15"/>
          <w:color w:val="auto"/>
        </w:rPr>
        <w:t>. Licensee agrees to mark, and to cause its Affiliates and Sublicensees to mark, all Products (or their containers or labels) in accordance with, and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extent required by, Applicable Laws in the Territory.</w:t>
      </w:r>
    </w:p>
    <w:p>
      <w:pPr>
        <w:spacing w:after="0" w:line="136" w:lineRule="exact"/>
        <w:rPr>
          <w:sz w:val="20"/>
          <w:szCs w:val="20"/>
          <w:color w:val="auto"/>
        </w:rPr>
      </w:pPr>
    </w:p>
    <w:p>
      <w:pPr>
        <w:jc w:val="both"/>
        <w:ind w:firstLine="1055"/>
        <w:spacing w:after="0" w:line="268" w:lineRule="auto"/>
        <w:rPr>
          <w:sz w:val="20"/>
          <w:szCs w:val="20"/>
          <w:color w:val="auto"/>
        </w:rPr>
      </w:pPr>
      <w:r>
        <w:rPr>
          <w:rFonts w:ascii="Times New Roman" w:cs="Times New Roman" w:eastAsia="Times New Roman" w:hAnsi="Times New Roman"/>
          <w:sz w:val="14"/>
          <w:szCs w:val="14"/>
          <w:b w:val="1"/>
          <w:bCs w:val="1"/>
          <w:color w:val="auto"/>
        </w:rPr>
        <w:t>11.10      Publication Strategy</w:t>
      </w:r>
      <w:r>
        <w:rPr>
          <w:rFonts w:ascii="Times New Roman" w:cs="Times New Roman" w:eastAsia="Times New Roman" w:hAnsi="Times New Roman"/>
          <w:sz w:val="14"/>
          <w:szCs w:val="14"/>
          <w:color w:val="auto"/>
        </w:rPr>
        <w:t>. If either Party, or any of their respective Affiliates or sublicensees (each, a “</w:t>
      </w:r>
      <w:r>
        <w:rPr>
          <w:rFonts w:ascii="Times New Roman" w:cs="Times New Roman" w:eastAsia="Times New Roman" w:hAnsi="Times New Roman"/>
          <w:sz w:val="14"/>
          <w:szCs w:val="14"/>
          <w:b w:val="1"/>
          <w:bCs w:val="1"/>
          <w:color w:val="auto"/>
        </w:rPr>
        <w:t>Proposing Party</w:t>
      </w:r>
      <w:r>
        <w:rPr>
          <w:rFonts w:ascii="Times New Roman" w:cs="Times New Roman" w:eastAsia="Times New Roman" w:hAnsi="Times New Roman"/>
          <w:sz w:val="14"/>
          <w:szCs w:val="14"/>
          <w:color w:val="auto"/>
        </w:rPr>
        <w:t>”), proposes the publication, presentation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distribution of any scientific paper or presentation (i) with respect to any Product, or (ii) which otherwise may reasonably contain Know-How or other Intellectual Property of the other Party, then the Licensee (if the Proposing Party is Zenas or its Affiliate or sublicensee) or Zenas (if the Proposing Party is Licensee or its Affiliate or Sublicensee) shall be afforded the opportunity to review and approve such scientific paper or presentation and shall have no less than [***] to complete such review and approval (or such shorter period as may reasonably be required by applicable publication deadlines promptly communicated to the reviewing Party). The Proposing Party shall (a) not unreasonably reject comments furnished by the reviewing Party; (b) comply with the reviewing Party’s request to delete references to its Confidential Information in any such publication or presentation; and (c) delay publication for such reasonable period requested by the reviewing Party to permit the filing of patent applications concerning any Zenas Intellectual Property, Licensee Intellectual Property or Joint Intellectual Property disclosed in material proposed for such publication or presentation. For the avoidance of doubt, in no event will Confidential Information of a Party be published without the written consent of such Party.</w:t>
      </w:r>
    </w:p>
    <w:p>
      <w:pPr>
        <w:spacing w:after="0" w:line="144" w:lineRule="exact"/>
        <w:rPr>
          <w:sz w:val="20"/>
          <w:szCs w:val="20"/>
          <w:color w:val="auto"/>
        </w:rPr>
      </w:pPr>
    </w:p>
    <w:p>
      <w:pPr>
        <w:jc w:val="both"/>
        <w:ind w:firstLine="1055"/>
        <w:spacing w:after="0" w:line="251" w:lineRule="auto"/>
        <w:rPr>
          <w:sz w:val="20"/>
          <w:szCs w:val="20"/>
          <w:color w:val="auto"/>
        </w:rPr>
      </w:pPr>
      <w:r>
        <w:rPr>
          <w:rFonts w:ascii="Times New Roman" w:cs="Times New Roman" w:eastAsia="Times New Roman" w:hAnsi="Times New Roman"/>
          <w:sz w:val="15"/>
          <w:szCs w:val="15"/>
          <w:b w:val="1"/>
          <w:bCs w:val="1"/>
          <w:color w:val="auto"/>
        </w:rPr>
        <w:t>11.11      Privileged Communications</w:t>
      </w:r>
      <w:r>
        <w:rPr>
          <w:rFonts w:ascii="Times New Roman" w:cs="Times New Roman" w:eastAsia="Times New Roman" w:hAnsi="Times New Roman"/>
          <w:sz w:val="15"/>
          <w:szCs w:val="15"/>
          <w:color w:val="auto"/>
        </w:rPr>
        <w:t>. In furtherance of this Agreement, it is expected that the Parties shall, from time to time, disclose to one another privileged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communications with counsel, including patent prosecution matters, opinions, memoranda, letters and other written, electronic and verbal communications. Such disclosures are made with the understanding that they shall remain confidential, they will not be deemed to waive any applicable attorney-client privilege and that they are made in connection with the shared community of legal interests existing between the Parties, including the community of legal interests in avoiding infringement of any valid, enforceable patents of Third Parties and maintaining the validity of the Zenas Patent Rights, the Licensee Patent Rights and the Joint Patent Rights.</w:t>
      </w:r>
    </w:p>
    <w:p>
      <w:pPr>
        <w:spacing w:after="0" w:line="153" w:lineRule="exact"/>
        <w:rPr>
          <w:sz w:val="20"/>
          <w:szCs w:val="20"/>
          <w:color w:val="auto"/>
        </w:rPr>
      </w:pPr>
    </w:p>
    <w:p>
      <w:pPr>
        <w:jc w:val="both"/>
        <w:ind w:firstLine="1055"/>
        <w:spacing w:after="0" w:line="248" w:lineRule="auto"/>
        <w:rPr>
          <w:sz w:val="20"/>
          <w:szCs w:val="20"/>
          <w:color w:val="auto"/>
        </w:rPr>
      </w:pPr>
      <w:r>
        <w:rPr>
          <w:rFonts w:ascii="Times New Roman" w:cs="Times New Roman" w:eastAsia="Times New Roman" w:hAnsi="Times New Roman"/>
          <w:sz w:val="15"/>
          <w:szCs w:val="15"/>
          <w:b w:val="1"/>
          <w:bCs w:val="1"/>
          <w:color w:val="auto"/>
        </w:rPr>
        <w:t>11.12      Patent Challenge</w:t>
      </w:r>
      <w:r>
        <w:rPr>
          <w:rFonts w:ascii="Times New Roman" w:cs="Times New Roman" w:eastAsia="Times New Roman" w:hAnsi="Times New Roman"/>
          <w:sz w:val="15"/>
          <w:szCs w:val="15"/>
          <w:color w:val="auto"/>
        </w:rPr>
        <w:t>. Unless prohibited by Applicable Law, upon [***] prior written notice to Licensee, Zenas may terminate this Agreement if Licensee or any of its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Affiliates or Sublicensees, directly or indirectly, challenges the validity, patentability, enforceability of, files an invalidation action, reissue, reexamination, inter partes reexamination, post-grant review or opposition proceeding, or revocation proceeding or any similar action, or opposes any extension of, or the grant of a supplementary protection certificate with respect to any Zenas Patent Rights (collectively, “</w:t>
      </w:r>
      <w:r>
        <w:rPr>
          <w:rFonts w:ascii="Times New Roman" w:cs="Times New Roman" w:eastAsia="Times New Roman" w:hAnsi="Times New Roman"/>
          <w:sz w:val="15"/>
          <w:szCs w:val="15"/>
          <w:b w:val="1"/>
          <w:bCs w:val="1"/>
          <w:color w:val="auto"/>
        </w:rPr>
        <w:t>Patent Challenge</w:t>
      </w:r>
      <w:r>
        <w:rPr>
          <w:rFonts w:ascii="Times New Roman" w:cs="Times New Roman" w:eastAsia="Times New Roman" w:hAnsi="Times New Roman"/>
          <w:sz w:val="15"/>
          <w:szCs w:val="15"/>
          <w:color w:val="auto"/>
        </w:rPr>
        <w:t xml:space="preserve">”), and such act shall be deemed a material breach by Licensee for purposes of </w:t>
      </w:r>
      <w:r>
        <w:rPr>
          <w:rFonts w:ascii="Times New Roman" w:cs="Times New Roman" w:eastAsia="Times New Roman" w:hAnsi="Times New Roman"/>
          <w:sz w:val="15"/>
          <w:szCs w:val="15"/>
          <w:u w:val="single" w:color="auto"/>
          <w:color w:val="auto"/>
        </w:rPr>
        <w:t>Section 13.2.1</w:t>
      </w:r>
      <w:r>
        <w:rPr>
          <w:rFonts w:ascii="Times New Roman" w:cs="Times New Roman" w:eastAsia="Times New Roman" w:hAnsi="Times New Roman"/>
          <w:sz w:val="15"/>
          <w:szCs w:val="15"/>
          <w:color w:val="auto"/>
        </w:rPr>
        <w:t xml:space="preserve">. Notwithstanding the foregoing, Zenas shall not have the right to terminate this Agreement in accordance with this </w:t>
      </w:r>
      <w:r>
        <w:rPr>
          <w:rFonts w:ascii="Times New Roman" w:cs="Times New Roman" w:eastAsia="Times New Roman" w:hAnsi="Times New Roman"/>
          <w:sz w:val="15"/>
          <w:szCs w:val="15"/>
          <w:u w:val="single" w:color="auto"/>
          <w:color w:val="auto"/>
        </w:rPr>
        <w:t>Section 11.12</w:t>
      </w:r>
      <w:r>
        <w:rPr>
          <w:rFonts w:ascii="Times New Roman" w:cs="Times New Roman" w:eastAsia="Times New Roman" w:hAnsi="Times New Roman"/>
          <w:sz w:val="15"/>
          <w:szCs w:val="15"/>
          <w:color w:val="auto"/>
        </w:rPr>
        <w:t xml:space="preserve"> if (a) Licensee or its Affiliate or Sublicensee is required by legal process to be joined as a party in any Patent Challenge by a Third Party; (b) the Patent Challenge was brought by Licensee or its Affiliates or Sublicensees in response to any claim or action brought in the first instance by, or on behalf of, Zenas against Licensee or its Affiliates or Sublicensees; or (c) if Licensee, the Affiliate, or the Sublicensee withdraws such Patent Challenge within [***] after receipt of notice from Zenas.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81" w:name="page482"/>
    <w:bookmarkEnd w:id="481"/>
    <w:p>
      <w:pPr>
        <w:ind w:left="540"/>
        <w:spacing w:after="0"/>
        <w:rPr>
          <w:sz w:val="20"/>
          <w:szCs w:val="20"/>
          <w:color w:val="auto"/>
        </w:rPr>
      </w:pPr>
      <w:r>
        <w:rPr>
          <w:rFonts w:ascii="Times New Roman" w:cs="Times New Roman" w:eastAsia="Times New Roman" w:hAnsi="Times New Roman"/>
          <w:sz w:val="15"/>
          <w:szCs w:val="15"/>
          <w:b w:val="1"/>
          <w:bCs w:val="1"/>
          <w:color w:val="auto"/>
        </w:rPr>
        <w:t>12.         </w:t>
      </w:r>
      <w:r>
        <w:rPr>
          <w:rFonts w:ascii="Times New Roman" w:cs="Times New Roman" w:eastAsia="Times New Roman" w:hAnsi="Times New Roman"/>
          <w:sz w:val="15"/>
          <w:szCs w:val="15"/>
          <w:b w:val="1"/>
          <w:bCs w:val="1"/>
          <w:u w:val="single" w:color="auto"/>
          <w:color w:val="auto"/>
        </w:rPr>
        <w:t>  Government Approvals</w:t>
      </w:r>
      <w:r>
        <w:rPr>
          <w:rFonts w:ascii="Times New Roman" w:cs="Times New Roman" w:eastAsia="Times New Roman" w:hAnsi="Times New Roman"/>
          <w:sz w:val="15"/>
          <w:szCs w:val="15"/>
          <w:b w:val="1"/>
          <w:bCs w:val="1"/>
          <w:color w:val="auto"/>
        </w:rPr>
        <w:t>.</w:t>
      </w:r>
    </w:p>
    <w:p>
      <w:pPr>
        <w:spacing w:after="0" w:line="179"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12.1        Zenas’s and Licensee’s Obligations</w:t>
      </w:r>
      <w:r>
        <w:rPr>
          <w:rFonts w:ascii="Times New Roman" w:cs="Times New Roman" w:eastAsia="Times New Roman" w:hAnsi="Times New Roman"/>
          <w:sz w:val="15"/>
          <w:szCs w:val="15"/>
          <w:color w:val="auto"/>
        </w:rPr>
        <w:t>. Each of Zenas and Licensee shall use its good faith efforts to cooperate with any court or Government Authority regarding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legality of the proposed transaction, including, if required by federal or state antitrust authorities, making an application for government antitrust clearance and cooperating in good faith with any government investigation including the prompt production of documents and information demanded by a second request for documents and of witnesses if requested.</w:t>
      </w:r>
    </w:p>
    <w:p>
      <w:pPr>
        <w:spacing w:after="0" w:line="147"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12.2        Additional Approvals</w:t>
      </w:r>
      <w:r>
        <w:rPr>
          <w:rFonts w:ascii="Times New Roman" w:cs="Times New Roman" w:eastAsia="Times New Roman" w:hAnsi="Times New Roman"/>
          <w:sz w:val="15"/>
          <w:szCs w:val="15"/>
          <w:color w:val="auto"/>
        </w:rPr>
        <w:t>. Licensee and Zenas shall cooperate and shall use commercially reasonable efforts to make all other registrations, filings and applications,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give all notices, to obtain as soon as practicable all governmental or other consents, transfers, approvals, orders, qualifications authorizations, permits and waivers, if any, and to do all other things necessary or desirable for the consummation of the transactions as contemplated hereby.</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13.          </w:t>
      </w:r>
      <w:r>
        <w:rPr>
          <w:rFonts w:ascii="Times New Roman" w:cs="Times New Roman" w:eastAsia="Times New Roman" w:hAnsi="Times New Roman"/>
          <w:sz w:val="15"/>
          <w:szCs w:val="15"/>
          <w:b w:val="1"/>
          <w:bCs w:val="1"/>
          <w:u w:val="single" w:color="auto"/>
          <w:color w:val="auto"/>
        </w:rPr>
        <w:t>  Term and Termination</w:t>
      </w:r>
      <w:r>
        <w:rPr>
          <w:rFonts w:ascii="Times New Roman" w:cs="Times New Roman" w:eastAsia="Times New Roman" w:hAnsi="Times New Roman"/>
          <w:sz w:val="15"/>
          <w:szCs w:val="15"/>
          <w:b w:val="1"/>
          <w:bCs w:val="1"/>
          <w:color w:val="auto"/>
        </w:rPr>
        <w:t>.</w:t>
      </w:r>
    </w:p>
    <w:p>
      <w:pPr>
        <w:spacing w:after="0" w:line="179" w:lineRule="exact"/>
        <w:rPr>
          <w:sz w:val="20"/>
          <w:szCs w:val="20"/>
          <w:color w:val="auto"/>
        </w:rPr>
      </w:pPr>
    </w:p>
    <w:p>
      <w:pPr>
        <w:jc w:val="both"/>
        <w:ind w:firstLine="1055"/>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13.1            Term. </w:t>
      </w:r>
      <w:r>
        <w:rPr>
          <w:rFonts w:ascii="Times New Roman" w:cs="Times New Roman" w:eastAsia="Times New Roman" w:hAnsi="Times New Roman"/>
          <w:sz w:val="15"/>
          <w:szCs w:val="15"/>
          <w:color w:val="auto"/>
        </w:rPr>
        <w:t>This Agreement shall be effective as the Effective Date and shall continue until the expiration, on a country-by-country basis, of all Royalty Terms for 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Products relating to the Compound in the Territory, or unless terminated earlier pursuant to this </w:t>
      </w:r>
      <w:r>
        <w:rPr>
          <w:rFonts w:ascii="Times New Roman" w:cs="Times New Roman" w:eastAsia="Times New Roman" w:hAnsi="Times New Roman"/>
          <w:sz w:val="15"/>
          <w:szCs w:val="15"/>
          <w:u w:val="single" w:color="auto"/>
          <w:color w:val="auto"/>
        </w:rPr>
        <w:t>Article 13</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b w:val="1"/>
          <w:bCs w:val="1"/>
          <w:color w:val="auto"/>
        </w:rPr>
        <w:t>Term</w:t>
      </w:r>
      <w:r>
        <w:rPr>
          <w:rFonts w:ascii="Times New Roman" w:cs="Times New Roman" w:eastAsia="Times New Roman" w:hAnsi="Times New Roman"/>
          <w:sz w:val="15"/>
          <w:szCs w:val="15"/>
          <w:color w:val="auto"/>
        </w:rPr>
        <w:t>”). On a Product-by-Product basis, upon the natural expiration (i.e., not pursuant to any termination) of the Royalty Term for such Product in such country in the Territory, the licenses granted to Licensee under this Agreement with respect to such Product in such country in the Territory shall become fully paid-up, perpetual, irrevocable, non-exclusive, and fully sublicensable in multiple tiers.</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13.2        General Termination Rights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firstLine="1582"/>
        <w:spacing w:after="0" w:line="253" w:lineRule="auto"/>
        <w:rPr>
          <w:sz w:val="20"/>
          <w:szCs w:val="20"/>
          <w:color w:val="auto"/>
        </w:rPr>
      </w:pPr>
      <w:r>
        <w:rPr>
          <w:rFonts w:ascii="Times New Roman" w:cs="Times New Roman" w:eastAsia="Times New Roman" w:hAnsi="Times New Roman"/>
          <w:sz w:val="15"/>
          <w:szCs w:val="15"/>
          <w:color w:val="auto"/>
        </w:rPr>
        <w:t>13.2.1          </w:t>
      </w:r>
      <w:r>
        <w:rPr>
          <w:rFonts w:ascii="Times New Roman" w:cs="Times New Roman" w:eastAsia="Times New Roman" w:hAnsi="Times New Roman"/>
          <w:sz w:val="15"/>
          <w:szCs w:val="15"/>
          <w:b w:val="1"/>
          <w:bCs w:val="1"/>
          <w:color w:val="auto"/>
        </w:rPr>
        <w:t>Termination for Material Breach</w:t>
      </w:r>
      <w:r>
        <w:rPr>
          <w:rFonts w:ascii="Times New Roman" w:cs="Times New Roman" w:eastAsia="Times New Roman" w:hAnsi="Times New Roman"/>
          <w:sz w:val="15"/>
          <w:szCs w:val="15"/>
          <w:color w:val="auto"/>
        </w:rPr>
        <w:t>. This Agreement may be terminated effective immediately by either Party at any time during the Term if the other Party (or any employee of such other Party) materially breaches this Agreement and such other Party fails to cure, if curable, such material breach to the satisfaction of the non-breaching Party within [***] in the event of non-payment) after receiving written notice of such material breach from the non-breaching Party, which notice shall specify the nature of the breach and demand its cure, if curable. In the event that such material breach is curable but the breaching Party demonstrates that it cannot be reasonably cured within [***].</w:t>
      </w:r>
    </w:p>
    <w:p>
      <w:pPr>
        <w:spacing w:after="0" w:line="152" w:lineRule="exact"/>
        <w:rPr>
          <w:sz w:val="20"/>
          <w:szCs w:val="20"/>
          <w:color w:val="auto"/>
        </w:rPr>
      </w:pPr>
    </w:p>
    <w:p>
      <w:pPr>
        <w:jc w:val="both"/>
        <w:ind w:firstLine="1582"/>
        <w:spacing w:after="0" w:line="251" w:lineRule="auto"/>
        <w:rPr>
          <w:sz w:val="20"/>
          <w:szCs w:val="20"/>
          <w:color w:val="auto"/>
        </w:rPr>
      </w:pPr>
      <w:r>
        <w:rPr>
          <w:rFonts w:ascii="Times New Roman" w:cs="Times New Roman" w:eastAsia="Times New Roman" w:hAnsi="Times New Roman"/>
          <w:sz w:val="15"/>
          <w:szCs w:val="15"/>
          <w:color w:val="auto"/>
        </w:rPr>
        <w:t>13.2.2          </w:t>
      </w:r>
      <w:r>
        <w:rPr>
          <w:rFonts w:ascii="Times New Roman" w:cs="Times New Roman" w:eastAsia="Times New Roman" w:hAnsi="Times New Roman"/>
          <w:sz w:val="15"/>
          <w:szCs w:val="15"/>
          <w:b w:val="1"/>
          <w:bCs w:val="1"/>
          <w:color w:val="auto"/>
        </w:rPr>
        <w:t>Termination for Bankruptcy</w:t>
      </w:r>
      <w:r>
        <w:rPr>
          <w:rFonts w:ascii="Times New Roman" w:cs="Times New Roman" w:eastAsia="Times New Roman" w:hAnsi="Times New Roman"/>
          <w:sz w:val="15"/>
          <w:szCs w:val="15"/>
          <w:color w:val="auto"/>
        </w:rPr>
        <w:t>. This Agreement may be terminated by written notice by either Party at any time during the Term if (a) the other Party files in any court or agency, pursuant to any statute or regulation of any state or country or jurisdiction, a petition in bankruptcy or insolvency or for reorganization or for an arrangement or for the appointment of a receiver or trustee of such other Party or of its assets, or (b) such other Party is served with an involuntary petition against it, filed in any insolvency proceeding, and such petition is not dismissed within [***] after the filing thereof, (c) such other Party becomes a party to any dissolution or liquidation, or (d) such other Party makes an assignment for the benefit of its creditors.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82" w:name="page483"/>
    <w:bookmarkEnd w:id="482"/>
    <w:p>
      <w:pPr>
        <w:jc w:val="both"/>
        <w:ind w:firstLine="1582"/>
        <w:spacing w:after="0" w:line="248" w:lineRule="auto"/>
        <w:rPr>
          <w:sz w:val="20"/>
          <w:szCs w:val="20"/>
          <w:color w:val="auto"/>
        </w:rPr>
      </w:pPr>
      <w:r>
        <w:rPr>
          <w:rFonts w:ascii="Times New Roman" w:cs="Times New Roman" w:eastAsia="Times New Roman" w:hAnsi="Times New Roman"/>
          <w:sz w:val="15"/>
          <w:szCs w:val="15"/>
          <w:color w:val="auto"/>
        </w:rPr>
        <w:t>13.2.3          </w:t>
      </w:r>
      <w:r>
        <w:rPr>
          <w:rFonts w:ascii="Times New Roman" w:cs="Times New Roman" w:eastAsia="Times New Roman" w:hAnsi="Times New Roman"/>
          <w:sz w:val="15"/>
          <w:szCs w:val="15"/>
          <w:b w:val="1"/>
          <w:bCs w:val="1"/>
          <w:color w:val="auto"/>
        </w:rPr>
        <w:t>Rights in Bankruptcy</w:t>
      </w:r>
      <w:r>
        <w:rPr>
          <w:rFonts w:ascii="Times New Roman" w:cs="Times New Roman" w:eastAsia="Times New Roman" w:hAnsi="Times New Roman"/>
          <w:sz w:val="15"/>
          <w:szCs w:val="15"/>
          <w:color w:val="auto"/>
        </w:rPr>
        <w:t>. All rights and licenses granted under or pursuant to this Agreement by Licensee and Zenas are and shall otherwise be deemed to be, for purposes of Section 365(n) of the U.S. Bankruptcy Code or any analogous provisions in any other country or jurisdiction, licenses of right to “intellectual property” as defined under Section 101 of the U.S. Bankruptcy Code. The Parties agree that the Parties, as licensees of such rights under this Agreement, shall retain and may fully exercise all of their rights and elections under the U.S. Bankruptcy Code or any analogous provisions in any other country or jurisdiction. The Parties further agree that, in the event of the commencement of a bankruptcy proceeding by or against either Party under the U.S. Bankruptcy Code or any analogous provisions in any other country or jurisdiction, the Party hereto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(i) upon any such commencement of a bankruptcy proceeding upon the non-subject Party’s written request therefor, unless the Party subject to such proceeding elects to continue to perform all of its obligations under this Agreement or (ii) if not delivered under clause (i) above, following the rejection of this Agreement by or on behalf of the Party subject to such proceeding upon written request therefor by the non-subject Party.</w:t>
      </w:r>
    </w:p>
    <w:p>
      <w:pPr>
        <w:spacing w:after="0" w:line="154"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13.3        Termination by Licensee</w:t>
      </w:r>
      <w:r>
        <w:rPr>
          <w:rFonts w:ascii="Times New Roman" w:cs="Times New Roman" w:eastAsia="Times New Roman" w:hAnsi="Times New Roman"/>
          <w:sz w:val="15"/>
          <w:szCs w:val="15"/>
          <w:color w:val="auto"/>
        </w:rPr>
        <w:t>. Licensee shall have the right to terminate this Agreement in its entirety (a) prior to [***] of any Product in the Territory or on a country-by-country basis, at any time upon [***] advance written notice to Zenas, and (b) after [***] of any Product in the Territory or on a country-by-country basis, at any time upon [***] advance written notice to Zenas.</w:t>
      </w:r>
    </w:p>
    <w:p>
      <w:pPr>
        <w:spacing w:after="0" w:line="147" w:lineRule="exact"/>
        <w:rPr>
          <w:sz w:val="20"/>
          <w:szCs w:val="20"/>
          <w:color w:val="auto"/>
        </w:rPr>
      </w:pPr>
    </w:p>
    <w:p>
      <w:pPr>
        <w:jc w:val="both"/>
        <w:ind w:firstLine="1055"/>
        <w:spacing w:after="0" w:line="253" w:lineRule="auto"/>
        <w:rPr>
          <w:sz w:val="20"/>
          <w:szCs w:val="20"/>
          <w:color w:val="auto"/>
        </w:rPr>
      </w:pPr>
      <w:r>
        <w:rPr>
          <w:rFonts w:ascii="Times New Roman" w:cs="Times New Roman" w:eastAsia="Times New Roman" w:hAnsi="Times New Roman"/>
          <w:sz w:val="15"/>
          <w:szCs w:val="15"/>
          <w:b w:val="1"/>
          <w:bCs w:val="1"/>
          <w:color w:val="auto"/>
        </w:rPr>
        <w:t>13.4        Termination of Xencor Agreement</w:t>
      </w:r>
      <w:r>
        <w:rPr>
          <w:rFonts w:ascii="Times New Roman" w:cs="Times New Roman" w:eastAsia="Times New Roman" w:hAnsi="Times New Roman"/>
          <w:sz w:val="15"/>
          <w:szCs w:val="15"/>
          <w:color w:val="auto"/>
        </w:rPr>
        <w:t>. This Agreement shall automatically terminate upon written notice by Zenas to Licensee if the Xencor Agreement terminates.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such case, Licensee will have the right, at Licensee’s election, to convert the licenses granted under this Agreement by Zenas to Licensee to a direct license from Xencor to Licensee on the terms and conditions contained in the Xencor Agreement (with Licensee assuming the applicable obligations of Zenas thereunder with respect to the Territory) or such other terms and conditions as may be negotiated by Licensee and Xencor.</w:t>
      </w:r>
    </w:p>
    <w:p>
      <w:pPr>
        <w:spacing w:after="0" w:line="152"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13.5        Effects of Termination</w:t>
      </w:r>
      <w:r>
        <w:rPr>
          <w:rFonts w:ascii="Times New Roman" w:cs="Times New Roman" w:eastAsia="Times New Roman" w:hAnsi="Times New Roman"/>
          <w:sz w:val="15"/>
          <w:szCs w:val="15"/>
          <w:color w:val="auto"/>
        </w:rPr>
        <w:t>. If this Agreement is terminated by either Party, then the provisions of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13.5</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shall apply upon the effective date of such termination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(but, for clarity, shall not apply upon the expiry of this Agreement):</w:t>
      </w:r>
    </w:p>
    <w:p>
      <w:pPr>
        <w:spacing w:after="0" w:line="136" w:lineRule="exact"/>
        <w:rPr>
          <w:sz w:val="20"/>
          <w:szCs w:val="20"/>
          <w:color w:val="auto"/>
        </w:rPr>
      </w:pPr>
    </w:p>
    <w:p>
      <w:pPr>
        <w:jc w:val="both"/>
        <w:ind w:firstLine="1582"/>
        <w:spacing w:after="0" w:line="258" w:lineRule="auto"/>
        <w:rPr>
          <w:sz w:val="20"/>
          <w:szCs w:val="20"/>
          <w:color w:val="auto"/>
        </w:rPr>
      </w:pPr>
      <w:r>
        <w:rPr>
          <w:rFonts w:ascii="Times New Roman" w:cs="Times New Roman" w:eastAsia="Times New Roman" w:hAnsi="Times New Roman"/>
          <w:sz w:val="15"/>
          <w:szCs w:val="15"/>
          <w:color w:val="auto"/>
        </w:rPr>
        <w:t>13.5.1          </w:t>
      </w:r>
      <w:r>
        <w:rPr>
          <w:rFonts w:ascii="Times New Roman" w:cs="Times New Roman" w:eastAsia="Times New Roman" w:hAnsi="Times New Roman"/>
          <w:sz w:val="15"/>
          <w:szCs w:val="15"/>
          <w:b w:val="1"/>
          <w:bCs w:val="1"/>
          <w:color w:val="auto"/>
        </w:rPr>
        <w:t>Termination of Certain Licenses</w:t>
      </w:r>
      <w:r>
        <w:rPr>
          <w:rFonts w:ascii="Times New Roman" w:cs="Times New Roman" w:eastAsia="Times New Roman" w:hAnsi="Times New Roman"/>
          <w:sz w:val="15"/>
          <w:szCs w:val="15"/>
          <w:color w:val="auto"/>
        </w:rPr>
        <w:t xml:space="preserve">. All licenses granted by Zenas to Licensee in accordance with </w:t>
      </w:r>
      <w:r>
        <w:rPr>
          <w:rFonts w:ascii="Times New Roman" w:cs="Times New Roman" w:eastAsia="Times New Roman" w:hAnsi="Times New Roman"/>
          <w:sz w:val="15"/>
          <w:szCs w:val="15"/>
          <w:u w:val="single" w:color="auto"/>
          <w:color w:val="auto"/>
        </w:rPr>
        <w:t>Section 2.1.1</w:t>
      </w:r>
      <w:r>
        <w:rPr>
          <w:rFonts w:ascii="Times New Roman" w:cs="Times New Roman" w:eastAsia="Times New Roman" w:hAnsi="Times New Roman"/>
          <w:sz w:val="15"/>
          <w:szCs w:val="15"/>
          <w:color w:val="auto"/>
        </w:rPr>
        <w:t xml:space="preserve"> shall automatically terminate upon termination of this Agreement for any reason in accordance with its terms, and Licensee shall cease Developing, Manufacturing and Commercializing the Compound and Products in the Territory.</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83" w:name="page484"/>
    <w:bookmarkEnd w:id="483"/>
    <w:p>
      <w:pPr>
        <w:ind w:left="1600"/>
        <w:spacing w:after="0"/>
        <w:rPr>
          <w:sz w:val="20"/>
          <w:szCs w:val="20"/>
          <w:color w:val="auto"/>
        </w:rPr>
      </w:pPr>
      <w:r>
        <w:rPr>
          <w:rFonts w:ascii="Times New Roman" w:cs="Times New Roman" w:eastAsia="Times New Roman" w:hAnsi="Times New Roman"/>
          <w:sz w:val="15"/>
          <w:szCs w:val="15"/>
          <w:color w:val="auto"/>
        </w:rPr>
        <w:t>13.5.2          </w:t>
      </w:r>
      <w:r>
        <w:rPr>
          <w:rFonts w:ascii="Times New Roman" w:cs="Times New Roman" w:eastAsia="Times New Roman" w:hAnsi="Times New Roman"/>
          <w:sz w:val="15"/>
          <w:szCs w:val="15"/>
          <w:b w:val="1"/>
          <w:bCs w:val="1"/>
          <w:color w:val="auto"/>
        </w:rPr>
        <w:t>Transfer of Regulatory Approvals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firstLine="2110"/>
        <w:spacing w:after="0" w:line="247" w:lineRule="auto"/>
        <w:rPr>
          <w:sz w:val="20"/>
          <w:szCs w:val="20"/>
          <w:color w:val="auto"/>
        </w:rPr>
      </w:pPr>
      <w:r>
        <w:rPr>
          <w:rFonts w:ascii="Times New Roman" w:cs="Times New Roman" w:eastAsia="Times New Roman" w:hAnsi="Times New Roman"/>
          <w:sz w:val="15"/>
          <w:szCs w:val="15"/>
          <w:color w:val="auto"/>
        </w:rPr>
        <w:t>    (a)            </w:t>
      </w:r>
      <w:r>
        <w:rPr>
          <w:rFonts w:ascii="Times New Roman" w:cs="Times New Roman" w:eastAsia="Times New Roman" w:hAnsi="Times New Roman"/>
          <w:sz w:val="15"/>
          <w:szCs w:val="15"/>
          <w:b w:val="1"/>
          <w:bCs w:val="1"/>
          <w:color w:val="auto"/>
        </w:rPr>
        <w:t>Transfer</w:t>
      </w:r>
      <w:r>
        <w:rPr>
          <w:rFonts w:ascii="Times New Roman" w:cs="Times New Roman" w:eastAsia="Times New Roman" w:hAnsi="Times New Roman"/>
          <w:sz w:val="15"/>
          <w:szCs w:val="15"/>
          <w:color w:val="auto"/>
        </w:rPr>
        <w:t xml:space="preserve">. Subject to </w:t>
      </w:r>
      <w:r>
        <w:rPr>
          <w:rFonts w:ascii="Times New Roman" w:cs="Times New Roman" w:eastAsia="Times New Roman" w:hAnsi="Times New Roman"/>
          <w:sz w:val="15"/>
          <w:szCs w:val="15"/>
          <w:u w:val="single" w:color="auto"/>
          <w:color w:val="auto"/>
        </w:rPr>
        <w:t>Section 13.5.2(b)</w:t>
      </w:r>
      <w:r>
        <w:rPr>
          <w:rFonts w:ascii="Times New Roman" w:cs="Times New Roman" w:eastAsia="Times New Roman" w:hAnsi="Times New Roman"/>
          <w:sz w:val="15"/>
          <w:szCs w:val="15"/>
          <w:color w:val="auto"/>
        </w:rPr>
        <w:t>, Licensee shall and hereby does, and shall cause its Sublicensees to (i) assign to Zenas or, at the direction of Zenas, its Affiliate or designee (such Affiliate or designee, the “</w:t>
      </w:r>
      <w:r>
        <w:rPr>
          <w:rFonts w:ascii="Times New Roman" w:cs="Times New Roman" w:eastAsia="Times New Roman" w:hAnsi="Times New Roman"/>
          <w:sz w:val="15"/>
          <w:szCs w:val="15"/>
          <w:b w:val="1"/>
          <w:bCs w:val="1"/>
          <w:color w:val="auto"/>
        </w:rPr>
        <w:t>Zenas Transferee</w:t>
      </w:r>
      <w:r>
        <w:rPr>
          <w:rFonts w:ascii="Times New Roman" w:cs="Times New Roman" w:eastAsia="Times New Roman" w:hAnsi="Times New Roman"/>
          <w:sz w:val="15"/>
          <w:szCs w:val="15"/>
          <w:color w:val="auto"/>
        </w:rPr>
        <w:t xml:space="preserve">”), all rights, title and interests in and to all Regulatory Filings or Regulatory Approvals specifically related to the Compound or the Products in the Field in the Territory, unless such assignment is prohibited by Applicable Laws or Zenas requests that Licensee or Sublicensee continue to hold any such Regulatory Filing or Regulatory Approval for a reasonable transition period following the effective date of termination; and (ii) if requested by Zenas, assist Zenas or the Zenas Transferee in submitting any such Regulatory Filing or applying for any such Regulatory Approval that cannot be transferred. Licensee agrees and covenants that it shall, and shall cause its Sublicensees to, promptly take any and all actions necessary to effectuate the prompt assignment of such Regulatory Filings and Regulatory Approvals, or to enable Zenas or the Zenas Transferee to obtain new Regulatory Filings or Regulatory Approvals, including executing and delivering all documents or instruments, and providing all copies of documents or information, that may be necessary, required or which Zenas or the Zenas Transferee may request. Licensee shall conduct all acts and fulfill all obligations, including cost relating to Licensee’s holding, submitting or applying any Regulatory Filing or Regulatory Approval that cannot be assigned or transferred or at Zenas’s request set forth in </w:t>
      </w:r>
      <w:r>
        <w:rPr>
          <w:rFonts w:ascii="Times New Roman" w:cs="Times New Roman" w:eastAsia="Times New Roman" w:hAnsi="Times New Roman"/>
          <w:sz w:val="15"/>
          <w:szCs w:val="15"/>
          <w:u w:val="single" w:color="auto"/>
          <w:color w:val="auto"/>
        </w:rPr>
        <w:t>Section 13.5.2</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Section 13.5.8</w:t>
      </w:r>
      <w:r>
        <w:rPr>
          <w:rFonts w:ascii="Times New Roman" w:cs="Times New Roman" w:eastAsia="Times New Roman" w:hAnsi="Times New Roman"/>
          <w:sz w:val="15"/>
          <w:szCs w:val="15"/>
          <w:color w:val="auto"/>
        </w:rPr>
        <w:t xml:space="preserve">, at Zenas’s cost, except that if this Agreement is terminated by Zenas pursuant to </w:t>
      </w:r>
      <w:r>
        <w:rPr>
          <w:rFonts w:ascii="Times New Roman" w:cs="Times New Roman" w:eastAsia="Times New Roman" w:hAnsi="Times New Roman"/>
          <w:sz w:val="15"/>
          <w:szCs w:val="15"/>
          <w:u w:val="single" w:color="auto"/>
          <w:color w:val="auto"/>
        </w:rPr>
        <w:t>Section 11.12</w:t>
      </w:r>
      <w:r>
        <w:rPr>
          <w:rFonts w:ascii="Times New Roman" w:cs="Times New Roman" w:eastAsia="Times New Roman" w:hAnsi="Times New Roman"/>
          <w:sz w:val="15"/>
          <w:szCs w:val="15"/>
          <w:color w:val="auto"/>
        </w:rPr>
        <w:t xml:space="preserve"> (Patent Challenge) or </w:t>
      </w:r>
      <w:r>
        <w:rPr>
          <w:rFonts w:ascii="Times New Roman" w:cs="Times New Roman" w:eastAsia="Times New Roman" w:hAnsi="Times New Roman"/>
          <w:sz w:val="15"/>
          <w:szCs w:val="15"/>
          <w:u w:val="single" w:color="auto"/>
          <w:color w:val="auto"/>
        </w:rPr>
        <w:t>Section 13.2.1</w:t>
      </w:r>
      <w:r>
        <w:rPr>
          <w:rFonts w:ascii="Times New Roman" w:cs="Times New Roman" w:eastAsia="Times New Roman" w:hAnsi="Times New Roman"/>
          <w:sz w:val="15"/>
          <w:szCs w:val="15"/>
          <w:color w:val="auto"/>
        </w:rPr>
        <w:t xml:space="preserve"> (Termination for Material Breach) or by Licensee pursuant to </w:t>
      </w:r>
      <w:r>
        <w:rPr>
          <w:rFonts w:ascii="Times New Roman" w:cs="Times New Roman" w:eastAsia="Times New Roman" w:hAnsi="Times New Roman"/>
          <w:sz w:val="15"/>
          <w:szCs w:val="15"/>
          <w:u w:val="single" w:color="auto"/>
          <w:color w:val="auto"/>
        </w:rPr>
        <w:t>Section 13.3</w:t>
      </w:r>
      <w:r>
        <w:rPr>
          <w:rFonts w:ascii="Times New Roman" w:cs="Times New Roman" w:eastAsia="Times New Roman" w:hAnsi="Times New Roman"/>
          <w:sz w:val="15"/>
          <w:szCs w:val="15"/>
          <w:color w:val="auto"/>
        </w:rPr>
        <w:t xml:space="preserve"> (Termination by Licensee), in which case such action shall be conducted at Licensee’s cost.</w:t>
      </w:r>
    </w:p>
    <w:p>
      <w:pPr>
        <w:spacing w:after="0" w:line="157" w:lineRule="exact"/>
        <w:rPr>
          <w:sz w:val="20"/>
          <w:szCs w:val="20"/>
          <w:color w:val="auto"/>
        </w:rPr>
      </w:pPr>
    </w:p>
    <w:p>
      <w:pPr>
        <w:jc w:val="both"/>
        <w:ind w:firstLine="2110"/>
        <w:spacing w:after="0" w:line="249" w:lineRule="auto"/>
        <w:rPr>
          <w:sz w:val="20"/>
          <w:szCs w:val="20"/>
          <w:color w:val="auto"/>
        </w:rPr>
      </w:pPr>
      <w:r>
        <w:rPr>
          <w:rFonts w:ascii="Times New Roman" w:cs="Times New Roman" w:eastAsia="Times New Roman" w:hAnsi="Times New Roman"/>
          <w:sz w:val="15"/>
          <w:szCs w:val="15"/>
          <w:color w:val="auto"/>
        </w:rPr>
        <w:t>    (b)            </w:t>
      </w:r>
      <w:r>
        <w:rPr>
          <w:rFonts w:ascii="Times New Roman" w:cs="Times New Roman" w:eastAsia="Times New Roman" w:hAnsi="Times New Roman"/>
          <w:sz w:val="15"/>
          <w:szCs w:val="15"/>
          <w:b w:val="1"/>
          <w:bCs w:val="1"/>
          <w:color w:val="auto"/>
        </w:rPr>
        <w:t>Regulatory Transition Period</w:t>
      </w:r>
      <w:r>
        <w:rPr>
          <w:rFonts w:ascii="Times New Roman" w:cs="Times New Roman" w:eastAsia="Times New Roman" w:hAnsi="Times New Roman"/>
          <w:sz w:val="15"/>
          <w:szCs w:val="15"/>
          <w:color w:val="auto"/>
        </w:rPr>
        <w:t>. In the event that Licensee or its Sublicensees cannot assign to Zenas or the Zenas Transferee any Regulatory Filings or Regulatory Approvals related to the Compound or the Products in the Field in the Territory pursuant to Applicable Laws, or Zenas reasonably requests that Licensee or its Sublicensee continue to hold any such Regulatory Filings or Regulatory Approvals, then, during any period after the effective date of termination in which Licensee or a Sublicensee holds any Regulatory Filings or Regulatory Approvals related to the Compound or Products in the Field in the Territory (the “</w:t>
      </w:r>
      <w:r>
        <w:rPr>
          <w:rFonts w:ascii="Times New Roman" w:cs="Times New Roman" w:eastAsia="Times New Roman" w:hAnsi="Times New Roman"/>
          <w:sz w:val="15"/>
          <w:szCs w:val="15"/>
          <w:b w:val="1"/>
          <w:bCs w:val="1"/>
          <w:color w:val="auto"/>
        </w:rPr>
        <w:t>Non-Transferred Regulatory Approvals</w:t>
      </w:r>
      <w:r>
        <w:rPr>
          <w:rFonts w:ascii="Times New Roman" w:cs="Times New Roman" w:eastAsia="Times New Roman" w:hAnsi="Times New Roman"/>
          <w:sz w:val="15"/>
          <w:szCs w:val="15"/>
          <w:color w:val="auto"/>
        </w:rPr>
        <w:t>”), Licensee shall take all lawful actions reasonably requested by Zenas with respect to the Non-Transferred Regulatory Approvals and continue to perform its regulatory obligations under the relevant Development Plan then in effect unless Licensee in good faith believes that such action may reasonably be likely to have a material detrimental effect on the health of study subjects. Zenas shall reimburse Licensee for all costs incurred in connection with such actions.</w:t>
      </w:r>
    </w:p>
    <w:p>
      <w:pPr>
        <w:spacing w:after="0" w:line="154" w:lineRule="exact"/>
        <w:rPr>
          <w:sz w:val="20"/>
          <w:szCs w:val="20"/>
          <w:color w:val="auto"/>
        </w:rPr>
      </w:pPr>
    </w:p>
    <w:p>
      <w:pPr>
        <w:jc w:val="both"/>
        <w:ind w:firstLine="1582"/>
        <w:spacing w:after="0" w:line="253" w:lineRule="auto"/>
        <w:rPr>
          <w:sz w:val="20"/>
          <w:szCs w:val="20"/>
          <w:color w:val="auto"/>
        </w:rPr>
      </w:pPr>
      <w:r>
        <w:rPr>
          <w:rFonts w:ascii="Times New Roman" w:cs="Times New Roman" w:eastAsia="Times New Roman" w:hAnsi="Times New Roman"/>
          <w:sz w:val="15"/>
          <w:szCs w:val="15"/>
          <w:color w:val="auto"/>
        </w:rPr>
        <w:t>13.5.3          </w:t>
      </w:r>
      <w:r>
        <w:rPr>
          <w:rFonts w:ascii="Times New Roman" w:cs="Times New Roman" w:eastAsia="Times New Roman" w:hAnsi="Times New Roman"/>
          <w:sz w:val="15"/>
          <w:szCs w:val="15"/>
          <w:b w:val="1"/>
          <w:bCs w:val="1"/>
          <w:color w:val="auto"/>
        </w:rPr>
        <w:t>Transition Assistance</w:t>
      </w:r>
      <w:r>
        <w:rPr>
          <w:rFonts w:ascii="Times New Roman" w:cs="Times New Roman" w:eastAsia="Times New Roman" w:hAnsi="Times New Roman"/>
          <w:sz w:val="15"/>
          <w:szCs w:val="15"/>
          <w:color w:val="auto"/>
        </w:rPr>
        <w:t>. Until the effective date of termination, Licensee shall continue to perform its obligations under the relevant Development Plan then in effect and pay all costs allocated for it to pay in accordance with this Agreement, except with respect to activities that Zenas elects to discontinue. Licensee shall reasonably cooperate with Zenas to assure a smooth transition of any clinical trials or other Development activities related to the Compound or the Products in progress on the effective date of termination that Zenas determines to continue in its sole discretion; [***].</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84" w:name="page485"/>
    <w:bookmarkEnd w:id="484"/>
    <w:p>
      <w:pPr>
        <w:jc w:val="both"/>
        <w:ind w:firstLine="1582"/>
        <w:spacing w:after="0" w:line="285" w:lineRule="auto"/>
        <w:rPr>
          <w:sz w:val="20"/>
          <w:szCs w:val="20"/>
          <w:color w:val="auto"/>
        </w:rPr>
      </w:pPr>
      <w:r>
        <w:rPr>
          <w:rFonts w:ascii="Times New Roman" w:cs="Times New Roman" w:eastAsia="Times New Roman" w:hAnsi="Times New Roman"/>
          <w:sz w:val="14"/>
          <w:szCs w:val="14"/>
          <w:color w:val="auto"/>
        </w:rPr>
        <w:t>13.5.4          </w:t>
      </w:r>
      <w:r>
        <w:rPr>
          <w:rFonts w:ascii="Times New Roman" w:cs="Times New Roman" w:eastAsia="Times New Roman" w:hAnsi="Times New Roman"/>
          <w:sz w:val="14"/>
          <w:szCs w:val="14"/>
          <w:b w:val="1"/>
          <w:bCs w:val="1"/>
          <w:color w:val="auto"/>
        </w:rPr>
        <w:t>Assignment of Third Party Agreements</w:t>
      </w:r>
      <w:r>
        <w:rPr>
          <w:rFonts w:ascii="Times New Roman" w:cs="Times New Roman" w:eastAsia="Times New Roman" w:hAnsi="Times New Roman"/>
          <w:sz w:val="14"/>
          <w:szCs w:val="14"/>
          <w:color w:val="auto"/>
        </w:rPr>
        <w:t>. At Zenas’s sole discretion and direction, Licensee shall assign all of Licensee’s right, title and interest in and to any agreements (or portions thereof) between Licensee and Third Parties that solely relate to the Development, Commercialization or Manufacture of the Compound or the Products, where such assignment is permitted without charge to Licensee or its Affiliates and where Zenas shall assume all future payments due under any agreement assigned pursuant to this subsection.</w:t>
      </w:r>
    </w:p>
    <w:p>
      <w:pPr>
        <w:spacing w:after="0" w:line="130" w:lineRule="exact"/>
        <w:rPr>
          <w:sz w:val="20"/>
          <w:szCs w:val="20"/>
          <w:color w:val="auto"/>
        </w:rPr>
      </w:pPr>
    </w:p>
    <w:p>
      <w:pPr>
        <w:jc w:val="both"/>
        <w:ind w:firstLine="1582"/>
        <w:spacing w:after="0" w:line="250" w:lineRule="auto"/>
        <w:rPr>
          <w:sz w:val="20"/>
          <w:szCs w:val="20"/>
          <w:color w:val="auto"/>
        </w:rPr>
      </w:pPr>
      <w:r>
        <w:rPr>
          <w:rFonts w:ascii="Times New Roman" w:cs="Times New Roman" w:eastAsia="Times New Roman" w:hAnsi="Times New Roman"/>
          <w:sz w:val="15"/>
          <w:szCs w:val="15"/>
          <w:color w:val="auto"/>
        </w:rPr>
        <w:t>13.5.5          </w:t>
      </w:r>
      <w:r>
        <w:rPr>
          <w:rFonts w:ascii="Times New Roman" w:cs="Times New Roman" w:eastAsia="Times New Roman" w:hAnsi="Times New Roman"/>
          <w:sz w:val="15"/>
          <w:szCs w:val="15"/>
          <w:b w:val="1"/>
          <w:bCs w:val="1"/>
          <w:color w:val="auto"/>
        </w:rPr>
        <w:t>Transfer of Commercialization Documentation</w:t>
      </w:r>
      <w:r>
        <w:rPr>
          <w:rFonts w:ascii="Times New Roman" w:cs="Times New Roman" w:eastAsia="Times New Roman" w:hAnsi="Times New Roman"/>
          <w:sz w:val="15"/>
          <w:szCs w:val="15"/>
          <w:color w:val="auto"/>
        </w:rPr>
        <w:t xml:space="preserve">. At Zenas’s sole discretion and direction, Licensee shall, and shall cause its Sublicensees to transfer to Zenas or the Zenas Transferee a copy of all materials being developed, used, or which Licensee intends to or may use in relation to Commercialization of the Compound or the Products in the Territory including all customer lists, promotional or marketing materials, written sales and advertising materials, marketing and commercialization data, detail aids, brochures, hand-outs, reprints, booth panels and any other promotional support items, and medical education materials, which may include educational aids, visit aids, brochures, hand-outs, reprints, booth panels, scientific and research articles, and any other medical education support items;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Licensee may redact the foregoing Commercialization documentation for any confidential or proprietary information of Licensee, its Affiliates or Sublicensees that is not related to the Commercialization of the Compound or the Products.</w:t>
      </w:r>
    </w:p>
    <w:p>
      <w:pPr>
        <w:spacing w:after="0" w:line="152" w:lineRule="exact"/>
        <w:rPr>
          <w:sz w:val="20"/>
          <w:szCs w:val="20"/>
          <w:color w:val="auto"/>
        </w:rPr>
      </w:pPr>
    </w:p>
    <w:p>
      <w:pPr>
        <w:jc w:val="both"/>
        <w:ind w:firstLine="1582"/>
        <w:spacing w:after="0" w:line="272" w:lineRule="auto"/>
        <w:rPr>
          <w:sz w:val="20"/>
          <w:szCs w:val="20"/>
          <w:color w:val="auto"/>
        </w:rPr>
      </w:pPr>
      <w:r>
        <w:rPr>
          <w:rFonts w:ascii="Times New Roman" w:cs="Times New Roman" w:eastAsia="Times New Roman" w:hAnsi="Times New Roman"/>
          <w:sz w:val="15"/>
          <w:szCs w:val="15"/>
          <w:color w:val="auto"/>
        </w:rPr>
        <w:t>13.5.6          </w:t>
      </w:r>
      <w:r>
        <w:rPr>
          <w:rFonts w:ascii="Times New Roman" w:cs="Times New Roman" w:eastAsia="Times New Roman" w:hAnsi="Times New Roman"/>
          <w:sz w:val="15"/>
          <w:szCs w:val="15"/>
          <w:b w:val="1"/>
          <w:bCs w:val="1"/>
          <w:color w:val="auto"/>
        </w:rPr>
        <w:t>Transfer of Licensee Product Mark</w:t>
      </w:r>
      <w:r>
        <w:rPr>
          <w:rFonts w:ascii="Times New Roman" w:cs="Times New Roman" w:eastAsia="Times New Roman" w:hAnsi="Times New Roman"/>
          <w:sz w:val="15"/>
          <w:szCs w:val="15"/>
          <w:color w:val="auto"/>
        </w:rPr>
        <w:t>. At Zenas’s sole discretion and direction, Licensee shall transfer and assign all rights and interests in any Licensee Product Mark in relation to the Compound or the Products.</w:t>
      </w:r>
    </w:p>
    <w:p>
      <w:pPr>
        <w:spacing w:after="0" w:line="136" w:lineRule="exact"/>
        <w:rPr>
          <w:sz w:val="20"/>
          <w:szCs w:val="20"/>
          <w:color w:val="auto"/>
        </w:rPr>
      </w:pPr>
    </w:p>
    <w:p>
      <w:pPr>
        <w:jc w:val="both"/>
        <w:ind w:firstLine="1582"/>
        <w:spacing w:after="0" w:line="272" w:lineRule="auto"/>
        <w:rPr>
          <w:sz w:val="20"/>
          <w:szCs w:val="20"/>
          <w:color w:val="auto"/>
        </w:rPr>
      </w:pPr>
      <w:r>
        <w:rPr>
          <w:rFonts w:ascii="Times New Roman" w:cs="Times New Roman" w:eastAsia="Times New Roman" w:hAnsi="Times New Roman"/>
          <w:sz w:val="15"/>
          <w:szCs w:val="15"/>
          <w:color w:val="auto"/>
        </w:rPr>
        <w:t>13.5.7          </w:t>
      </w:r>
      <w:r>
        <w:rPr>
          <w:rFonts w:ascii="Times New Roman" w:cs="Times New Roman" w:eastAsia="Times New Roman" w:hAnsi="Times New Roman"/>
          <w:sz w:val="15"/>
          <w:szCs w:val="15"/>
          <w:b w:val="1"/>
          <w:bCs w:val="1"/>
          <w:color w:val="auto"/>
        </w:rPr>
        <w:t>Return or Destruction of Confidential Information</w:t>
      </w:r>
      <w:r>
        <w:rPr>
          <w:rFonts w:ascii="Times New Roman" w:cs="Times New Roman" w:eastAsia="Times New Roman" w:hAnsi="Times New Roman"/>
          <w:sz w:val="15"/>
          <w:szCs w:val="15"/>
          <w:color w:val="auto"/>
        </w:rPr>
        <w:t xml:space="preserve">. Each Party shall return or destroy, at the other Party’s reasonable discretion, the other Party’s Confidential Information in accordance with </w:t>
      </w:r>
      <w:r>
        <w:rPr>
          <w:rFonts w:ascii="Times New Roman" w:cs="Times New Roman" w:eastAsia="Times New Roman" w:hAnsi="Times New Roman"/>
          <w:sz w:val="15"/>
          <w:szCs w:val="15"/>
          <w:u w:val="single" w:color="auto"/>
          <w:color w:val="auto"/>
        </w:rPr>
        <w:t>Section 9.1.5</w:t>
      </w:r>
      <w:r>
        <w:rPr>
          <w:rFonts w:ascii="Times New Roman" w:cs="Times New Roman" w:eastAsia="Times New Roman" w:hAnsi="Times New Roman"/>
          <w:sz w:val="15"/>
          <w:szCs w:val="15"/>
          <w:color w:val="auto"/>
        </w:rPr>
        <w:t>.</w:t>
      </w:r>
    </w:p>
    <w:p>
      <w:pPr>
        <w:spacing w:after="0" w:line="13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13.5.8          </w:t>
      </w:r>
      <w:r>
        <w:rPr>
          <w:rFonts w:ascii="Times New Roman" w:cs="Times New Roman" w:eastAsia="Times New Roman" w:hAnsi="Times New Roman"/>
          <w:sz w:val="15"/>
          <w:szCs w:val="15"/>
          <w:b w:val="1"/>
          <w:bCs w:val="1"/>
          <w:color w:val="auto"/>
        </w:rPr>
        <w:t>Disclosure and Delivery</w:t>
      </w:r>
      <w:r>
        <w:rPr>
          <w:rFonts w:ascii="Times New Roman" w:cs="Times New Roman" w:eastAsia="Times New Roman" w:hAnsi="Times New Roman"/>
          <w:sz w:val="15"/>
          <w:szCs w:val="15"/>
          <w:color w:val="auto"/>
        </w:rPr>
        <w:t>. Upon the termination of this Agreement and upon Zenas providing Licensee with a written notice that Zenas elects to</w:t>
      </w:r>
    </w:p>
    <w:p>
      <w:pPr>
        <w:spacing w:after="0" w:line="20" w:lineRule="exact"/>
        <w:rPr>
          <w:sz w:val="20"/>
          <w:szCs w:val="20"/>
          <w:color w:val="auto"/>
        </w:rPr>
      </w:pPr>
    </w:p>
    <w:p>
      <w:pPr>
        <w:jc w:val="both"/>
        <w:ind w:firstLine="8"/>
        <w:spacing w:after="0" w:line="245" w:lineRule="auto"/>
        <w:tabs>
          <w:tab w:leader="none" w:pos="202" w:val="left"/>
        </w:tabs>
        <w:numPr>
          <w:ilvl w:val="0"/>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the Development and Commercialization of the Compound or the Products in the Field in the Territory and (b) take a license under and with respect to Licensee Patent Rights and Licensee Know-How in connection with the Development, Manufacture or Commercialization of the Compound or the Products, Licensee will promptly transfer to Zenas copies of any physical embodiment of any Licensee Know-How relating to the Compound or the Products, to the extent used by Licensee or its Affiliates in connection with the Development, Manufacture or Commercialization of the Compound or the Products. The foregoing transfer shall be effected by the delivery of material documents, to the extent such Licensee Know-How is embodied in such documents, and to the extent that such Licensee Know-How is not fully embodied in such documents, Licensee shall, upon the reasonable request of Zenas, make its employees and agents who have knowledge of such Licensee Know-How in addition to that embodied in documents available to Zenas for interviews, demonstrations and training to effect such transfer in a manner sufficient to enable Zenas to practice such Licensee Know-How, either at Licensee’s facilities or through teleconferences.</w:t>
      </w:r>
    </w:p>
    <w:p>
      <w:pPr>
        <w:spacing w:after="0" w:line="15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13.5.9          </w:t>
      </w:r>
      <w:r>
        <w:rPr>
          <w:rFonts w:ascii="Times New Roman" w:cs="Times New Roman" w:eastAsia="Times New Roman" w:hAnsi="Times New Roman"/>
          <w:sz w:val="15"/>
          <w:szCs w:val="15"/>
          <w:b w:val="1"/>
          <w:bCs w:val="1"/>
          <w:color w:val="auto"/>
        </w:rPr>
        <w:t>Transition Supply</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    (a)            At Zenas’s election and request, Licensee shall [***].</w:t>
      </w:r>
    </w:p>
    <w:p>
      <w:pPr>
        <w:spacing w:after="0" w:line="179" w:lineRule="exact"/>
        <w:rPr>
          <w:sz w:val="20"/>
          <w:szCs w:val="20"/>
          <w:color w:val="auto"/>
        </w:rPr>
      </w:pPr>
    </w:p>
    <w:p>
      <w:pPr>
        <w:ind w:firstLine="2110"/>
        <w:spacing w:after="0" w:line="269" w:lineRule="auto"/>
        <w:rPr>
          <w:sz w:val="20"/>
          <w:szCs w:val="20"/>
          <w:color w:val="auto"/>
        </w:rPr>
      </w:pPr>
      <w:r>
        <w:rPr>
          <w:rFonts w:ascii="Times New Roman" w:cs="Times New Roman" w:eastAsia="Times New Roman" w:hAnsi="Times New Roman"/>
          <w:sz w:val="15"/>
          <w:szCs w:val="15"/>
          <w:color w:val="auto"/>
        </w:rPr>
        <w:t>    (b)            If Licensee is, on the effective date of the termination of this Agreement, party to any Third Party agreements with respect to the Manufacturing of the Compound or the Products, then it shall provide Zenas notice and (to the extent permitted to do so) copies thereof. [***].</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85" w:name="page486"/>
    <w:bookmarkEnd w:id="485"/>
    <w:p>
      <w:pPr>
        <w:jc w:val="both"/>
        <w:ind w:firstLine="1582"/>
        <w:spacing w:after="0" w:line="268" w:lineRule="auto"/>
        <w:rPr>
          <w:sz w:val="20"/>
          <w:szCs w:val="20"/>
          <w:color w:val="auto"/>
        </w:rPr>
      </w:pPr>
      <w:r>
        <w:rPr>
          <w:rFonts w:ascii="Times New Roman" w:cs="Times New Roman" w:eastAsia="Times New Roman" w:hAnsi="Times New Roman"/>
          <w:sz w:val="14"/>
          <w:szCs w:val="14"/>
          <w:color w:val="auto"/>
        </w:rPr>
        <w:t>13.5.10        </w:t>
      </w:r>
      <w:r>
        <w:rPr>
          <w:rFonts w:ascii="Times New Roman" w:cs="Times New Roman" w:eastAsia="Times New Roman" w:hAnsi="Times New Roman"/>
          <w:sz w:val="14"/>
          <w:szCs w:val="14"/>
          <w:b w:val="1"/>
          <w:bCs w:val="1"/>
          <w:color w:val="auto"/>
        </w:rPr>
        <w:t>License Grant by and Payment to Licensee</w:t>
      </w:r>
      <w:r>
        <w:rPr>
          <w:rFonts w:ascii="Times New Roman" w:cs="Times New Roman" w:eastAsia="Times New Roman" w:hAnsi="Times New Roman"/>
          <w:sz w:val="14"/>
          <w:szCs w:val="14"/>
          <w:color w:val="auto"/>
        </w:rPr>
        <w:t xml:space="preserve">. If (x) the license to Licensee under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terminates, and (y) Zenas elects, pursuant to </w:t>
      </w:r>
      <w:r>
        <w:rPr>
          <w:rFonts w:ascii="Times New Roman" w:cs="Times New Roman" w:eastAsia="Times New Roman" w:hAnsi="Times New Roman"/>
          <w:sz w:val="14"/>
          <w:szCs w:val="14"/>
          <w:u w:val="single" w:color="auto"/>
          <w:color w:val="auto"/>
        </w:rPr>
        <w:t>Section 13.5.8</w:t>
      </w:r>
      <w:r>
        <w:rPr>
          <w:rFonts w:ascii="Times New Roman" w:cs="Times New Roman" w:eastAsia="Times New Roman" w:hAnsi="Times New Roman"/>
          <w:sz w:val="14"/>
          <w:szCs w:val="14"/>
          <w:color w:val="auto"/>
        </w:rPr>
        <w:t xml:space="preserve">, to continue the Development and Commercialization of the Compound or the Products in the Field in the Territory, and (z) Zenas elects (which election shall be in its sole discretion) to receive a license under and with respect to Licensee Patent Rights and Licensee Know-How in connection with the Development, Manufacture or Commercialization of the Compound or the Products, then, effective upon the effective date of such termination, (a) Licensee hereby grants to Zenas (i) an exclusive license under and with respect to the Licensee Patent Rights, and (ii) a non-exclusive license under and with respect to Licensee Know-How, [***]. For clarity, if Zenas elects, pursuant to </w:t>
      </w:r>
      <w:r>
        <w:rPr>
          <w:rFonts w:ascii="Times New Roman" w:cs="Times New Roman" w:eastAsia="Times New Roman" w:hAnsi="Times New Roman"/>
          <w:sz w:val="14"/>
          <w:szCs w:val="14"/>
          <w:u w:val="single" w:color="auto"/>
          <w:color w:val="auto"/>
        </w:rPr>
        <w:t>Section 13.5.8</w:t>
      </w:r>
      <w:r>
        <w:rPr>
          <w:rFonts w:ascii="Times New Roman" w:cs="Times New Roman" w:eastAsia="Times New Roman" w:hAnsi="Times New Roman"/>
          <w:sz w:val="14"/>
          <w:szCs w:val="14"/>
          <w:color w:val="auto"/>
        </w:rPr>
        <w:t xml:space="preserve">, to continue the Development and Commercialization of the Compound or the Products in the Field in the Territory, </w:t>
      </w:r>
      <w:r>
        <w:rPr>
          <w:rFonts w:ascii="Times New Roman" w:cs="Times New Roman" w:eastAsia="Times New Roman" w:hAnsi="Times New Roman"/>
          <w:sz w:val="14"/>
          <w:szCs w:val="14"/>
          <w:i w:val="1"/>
          <w:iCs w:val="1"/>
          <w:color w:val="auto"/>
        </w:rPr>
        <w:t>but does not elect</w:t>
      </w:r>
      <w:r>
        <w:rPr>
          <w:rFonts w:ascii="Times New Roman" w:cs="Times New Roman" w:eastAsia="Times New Roman" w:hAnsi="Times New Roman"/>
          <w:sz w:val="14"/>
          <w:szCs w:val="14"/>
          <w:color w:val="auto"/>
        </w:rPr>
        <w:t xml:space="preserve"> to receive a license under or with respect to Licensee Patent Rights and Licensee Know-How in connection with the Development, Manufacture or Commercialization of the Compound or the Products, then no such license shall be granted and Zenas shall have no payment obligations to Licensee in respect of the Development, Manufacture or Commercialization of the Compound or the Products in the Territory as contemplated in this </w:t>
      </w:r>
      <w:r>
        <w:rPr>
          <w:rFonts w:ascii="Times New Roman" w:cs="Times New Roman" w:eastAsia="Times New Roman" w:hAnsi="Times New Roman"/>
          <w:sz w:val="14"/>
          <w:szCs w:val="14"/>
          <w:u w:val="single" w:color="auto"/>
          <w:color w:val="auto"/>
        </w:rPr>
        <w:t>Section 13.5.10</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jc w:val="both"/>
        <w:ind w:firstLine="1582"/>
        <w:spacing w:after="0" w:line="247" w:lineRule="auto"/>
        <w:rPr>
          <w:sz w:val="20"/>
          <w:szCs w:val="20"/>
          <w:color w:val="auto"/>
        </w:rPr>
      </w:pPr>
      <w:r>
        <w:rPr>
          <w:rFonts w:ascii="Times New Roman" w:cs="Times New Roman" w:eastAsia="Times New Roman" w:hAnsi="Times New Roman"/>
          <w:sz w:val="15"/>
          <w:szCs w:val="15"/>
          <w:color w:val="auto"/>
        </w:rPr>
        <w:t>13.5.11        </w:t>
      </w:r>
      <w:r>
        <w:rPr>
          <w:rFonts w:ascii="Times New Roman" w:cs="Times New Roman" w:eastAsia="Times New Roman" w:hAnsi="Times New Roman"/>
          <w:sz w:val="15"/>
          <w:szCs w:val="15"/>
          <w:b w:val="1"/>
          <w:bCs w:val="1"/>
          <w:color w:val="auto"/>
        </w:rPr>
        <w:t>Survival of Certain Obligations</w:t>
      </w:r>
      <w:r>
        <w:rPr>
          <w:rFonts w:ascii="Times New Roman" w:cs="Times New Roman" w:eastAsia="Times New Roman" w:hAnsi="Times New Roman"/>
          <w:sz w:val="15"/>
          <w:szCs w:val="15"/>
          <w:color w:val="auto"/>
        </w:rPr>
        <w:t xml:space="preserve">. Expiration or termination of this Agreement shall not relieve the Parties of any obligation accruing before or at the time of such expiration or termination. The provisions of this Agreement that must, by their nature, survive expiration or termination of this Agreement to give effect to their intent, shall so survive, including </w:t>
      </w:r>
      <w:r>
        <w:rPr>
          <w:rFonts w:ascii="Times New Roman" w:cs="Times New Roman" w:eastAsia="Times New Roman" w:hAnsi="Times New Roman"/>
          <w:sz w:val="15"/>
          <w:szCs w:val="15"/>
          <w:u w:val="single" w:color="auto"/>
          <w:color w:val="auto"/>
        </w:rPr>
        <w:t>Section 2.6</w:t>
      </w:r>
      <w:r>
        <w:rPr>
          <w:rFonts w:ascii="Times New Roman" w:cs="Times New Roman" w:eastAsia="Times New Roman" w:hAnsi="Times New Roman"/>
          <w:sz w:val="15"/>
          <w:szCs w:val="15"/>
          <w:color w:val="auto"/>
        </w:rPr>
        <w:t xml:space="preserve"> (No Other Rights), </w:t>
      </w:r>
      <w:r>
        <w:rPr>
          <w:rFonts w:ascii="Times New Roman" w:cs="Times New Roman" w:eastAsia="Times New Roman" w:hAnsi="Times New Roman"/>
          <w:sz w:val="15"/>
          <w:szCs w:val="15"/>
          <w:u w:val="single" w:color="auto"/>
          <w:color w:val="auto"/>
        </w:rPr>
        <w:t>Section 4.4.9</w:t>
      </w:r>
      <w:r>
        <w:rPr>
          <w:rFonts w:ascii="Times New Roman" w:cs="Times New Roman" w:eastAsia="Times New Roman" w:hAnsi="Times New Roman"/>
          <w:sz w:val="15"/>
          <w:szCs w:val="15"/>
          <w:color w:val="auto"/>
        </w:rPr>
        <w:t xml:space="preserve"> (Payments) (with respect to any outstanding payment obligation of a Party with respect to the Shared Development Costs incurred prior to the date of termination or expiration), </w:t>
      </w:r>
      <w:r>
        <w:rPr>
          <w:rFonts w:ascii="Times New Roman" w:cs="Times New Roman" w:eastAsia="Times New Roman" w:hAnsi="Times New Roman"/>
          <w:sz w:val="15"/>
          <w:szCs w:val="15"/>
          <w:u w:val="single" w:color="auto"/>
          <w:color w:val="auto"/>
        </w:rPr>
        <w:t>Section 8.2</w:t>
      </w:r>
      <w:r>
        <w:rPr>
          <w:rFonts w:ascii="Times New Roman" w:cs="Times New Roman" w:eastAsia="Times New Roman" w:hAnsi="Times New Roman"/>
          <w:sz w:val="15"/>
          <w:szCs w:val="15"/>
          <w:color w:val="auto"/>
        </w:rPr>
        <w:t xml:space="preserve"> (Milestones) through </w:t>
      </w:r>
      <w:r>
        <w:rPr>
          <w:rFonts w:ascii="Times New Roman" w:cs="Times New Roman" w:eastAsia="Times New Roman" w:hAnsi="Times New Roman"/>
          <w:sz w:val="15"/>
          <w:szCs w:val="15"/>
          <w:u w:val="single" w:color="auto"/>
          <w:color w:val="auto"/>
        </w:rPr>
        <w:t>Section 8.12</w:t>
      </w:r>
      <w:r>
        <w:rPr>
          <w:rFonts w:ascii="Times New Roman" w:cs="Times New Roman" w:eastAsia="Times New Roman" w:hAnsi="Times New Roman"/>
          <w:sz w:val="15"/>
          <w:szCs w:val="15"/>
          <w:color w:val="auto"/>
        </w:rPr>
        <w:t xml:space="preserve"> (Offset Rights) (with respect to any payment obligations accrued prior to effective date of termination or expiration or thereafter in accordance with this </w:t>
      </w:r>
      <w:r>
        <w:rPr>
          <w:rFonts w:ascii="Times New Roman" w:cs="Times New Roman" w:eastAsia="Times New Roman" w:hAnsi="Times New Roman"/>
          <w:sz w:val="15"/>
          <w:szCs w:val="15"/>
          <w:u w:val="single" w:color="auto"/>
          <w:color w:val="auto"/>
        </w:rPr>
        <w:t>Section 13.5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9.1</w:t>
      </w:r>
      <w:r>
        <w:rPr>
          <w:rFonts w:ascii="Times New Roman" w:cs="Times New Roman" w:eastAsia="Times New Roman" w:hAnsi="Times New Roman"/>
          <w:sz w:val="15"/>
          <w:szCs w:val="15"/>
          <w:color w:val="auto"/>
        </w:rPr>
        <w:t xml:space="preserve"> (Confidentiality) (for the duration specified therein), </w:t>
      </w:r>
      <w:r>
        <w:rPr>
          <w:rFonts w:ascii="Times New Roman" w:cs="Times New Roman" w:eastAsia="Times New Roman" w:hAnsi="Times New Roman"/>
          <w:sz w:val="15"/>
          <w:szCs w:val="15"/>
          <w:u w:val="single" w:color="auto"/>
          <w:color w:val="auto"/>
        </w:rPr>
        <w:t>Section 10.5</w:t>
      </w:r>
      <w:r>
        <w:rPr>
          <w:rFonts w:ascii="Times New Roman" w:cs="Times New Roman" w:eastAsia="Times New Roman" w:hAnsi="Times New Roman"/>
          <w:sz w:val="15"/>
          <w:szCs w:val="15"/>
          <w:color w:val="auto"/>
        </w:rPr>
        <w:t xml:space="preserve"> (Disclaimer), </w:t>
      </w:r>
      <w:r>
        <w:rPr>
          <w:rFonts w:ascii="Times New Roman" w:cs="Times New Roman" w:eastAsia="Times New Roman" w:hAnsi="Times New Roman"/>
          <w:sz w:val="15"/>
          <w:szCs w:val="15"/>
          <w:u w:val="single" w:color="auto"/>
          <w:color w:val="auto"/>
        </w:rPr>
        <w:t>Section 11.2.1</w:t>
      </w:r>
      <w:r>
        <w:rPr>
          <w:rFonts w:ascii="Times New Roman" w:cs="Times New Roman" w:eastAsia="Times New Roman" w:hAnsi="Times New Roman"/>
          <w:sz w:val="15"/>
          <w:szCs w:val="15"/>
          <w:color w:val="auto"/>
        </w:rPr>
        <w:t xml:space="preserve"> (Ownership of Technology), </w:t>
      </w:r>
      <w:r>
        <w:rPr>
          <w:rFonts w:ascii="Times New Roman" w:cs="Times New Roman" w:eastAsia="Times New Roman" w:hAnsi="Times New Roman"/>
          <w:sz w:val="15"/>
          <w:szCs w:val="15"/>
          <w:u w:val="single" w:color="auto"/>
          <w:color w:val="auto"/>
        </w:rPr>
        <w:t>Section 11.5</w:t>
      </w:r>
      <w:r>
        <w:rPr>
          <w:rFonts w:ascii="Times New Roman" w:cs="Times New Roman" w:eastAsia="Times New Roman" w:hAnsi="Times New Roman"/>
          <w:sz w:val="15"/>
          <w:szCs w:val="15"/>
          <w:color w:val="auto"/>
        </w:rPr>
        <w:t xml:space="preserve"> (Enforcement of Intellectual Property) through </w:t>
      </w:r>
      <w:r>
        <w:rPr>
          <w:rFonts w:ascii="Times New Roman" w:cs="Times New Roman" w:eastAsia="Times New Roman" w:hAnsi="Times New Roman"/>
          <w:sz w:val="15"/>
          <w:szCs w:val="15"/>
          <w:u w:val="single" w:color="auto"/>
          <w:color w:val="auto"/>
        </w:rPr>
        <w:t>Section 11.7</w:t>
      </w:r>
      <w:r>
        <w:rPr>
          <w:rFonts w:ascii="Times New Roman" w:cs="Times New Roman" w:eastAsia="Times New Roman" w:hAnsi="Times New Roman"/>
          <w:sz w:val="15"/>
          <w:szCs w:val="15"/>
          <w:color w:val="auto"/>
        </w:rPr>
        <w:t xml:space="preserve"> (Third Party Patent Challenge) (in each case, with respect to any actions or proceedings described therein to the extent outstanding as of the date of termination or expiration), </w:t>
      </w:r>
      <w:r>
        <w:rPr>
          <w:rFonts w:ascii="Times New Roman" w:cs="Times New Roman" w:eastAsia="Times New Roman" w:hAnsi="Times New Roman"/>
          <w:sz w:val="15"/>
          <w:szCs w:val="15"/>
          <w:u w:val="single" w:color="auto"/>
          <w:color w:val="auto"/>
        </w:rPr>
        <w:t>Section 13.2.3</w:t>
      </w:r>
      <w:r>
        <w:rPr>
          <w:rFonts w:ascii="Times New Roman" w:cs="Times New Roman" w:eastAsia="Times New Roman" w:hAnsi="Times New Roman"/>
          <w:sz w:val="15"/>
          <w:szCs w:val="15"/>
          <w:color w:val="auto"/>
        </w:rPr>
        <w:t xml:space="preserve"> (Rights in Bankruptcy), this </w:t>
      </w:r>
      <w:r>
        <w:rPr>
          <w:rFonts w:ascii="Times New Roman" w:cs="Times New Roman" w:eastAsia="Times New Roman" w:hAnsi="Times New Roman"/>
          <w:sz w:val="15"/>
          <w:szCs w:val="15"/>
          <w:u w:val="single" w:color="auto"/>
          <w:color w:val="auto"/>
        </w:rPr>
        <w:t>Section 13.5</w:t>
      </w:r>
      <w:r>
        <w:rPr>
          <w:rFonts w:ascii="Times New Roman" w:cs="Times New Roman" w:eastAsia="Times New Roman" w:hAnsi="Times New Roman"/>
          <w:sz w:val="15"/>
          <w:szCs w:val="15"/>
          <w:color w:val="auto"/>
        </w:rPr>
        <w:t xml:space="preserve"> (Effects of Termination) (in the event of the termination, but not expiration of this Agreement, except that this </w:t>
      </w:r>
      <w:r>
        <w:rPr>
          <w:rFonts w:ascii="Times New Roman" w:cs="Times New Roman" w:eastAsia="Times New Roman" w:hAnsi="Times New Roman"/>
          <w:sz w:val="15"/>
          <w:szCs w:val="15"/>
          <w:u w:val="single" w:color="auto"/>
          <w:color w:val="auto"/>
        </w:rPr>
        <w:t>Section 13.5.11</w:t>
      </w:r>
      <w:r>
        <w:rPr>
          <w:rFonts w:ascii="Times New Roman" w:cs="Times New Roman" w:eastAsia="Times New Roman" w:hAnsi="Times New Roman"/>
          <w:sz w:val="15"/>
          <w:szCs w:val="15"/>
          <w:color w:val="auto"/>
        </w:rPr>
        <w:t xml:space="preserve"> (Survival of Certain Obligations) should survive the termination and expiration of this Agreement), </w:t>
      </w:r>
      <w:r>
        <w:rPr>
          <w:rFonts w:ascii="Times New Roman" w:cs="Times New Roman" w:eastAsia="Times New Roman" w:hAnsi="Times New Roman"/>
          <w:sz w:val="15"/>
          <w:szCs w:val="15"/>
          <w:u w:val="single" w:color="auto"/>
          <w:color w:val="auto"/>
        </w:rPr>
        <w:t>Section 14.1</w:t>
      </w:r>
      <w:r>
        <w:rPr>
          <w:rFonts w:ascii="Times New Roman" w:cs="Times New Roman" w:eastAsia="Times New Roman" w:hAnsi="Times New Roman"/>
          <w:sz w:val="15"/>
          <w:szCs w:val="15"/>
          <w:color w:val="auto"/>
        </w:rPr>
        <w:t xml:space="preserve"> (Indemnification by Zenas) through </w:t>
      </w:r>
      <w:r>
        <w:rPr>
          <w:rFonts w:ascii="Times New Roman" w:cs="Times New Roman" w:eastAsia="Times New Roman" w:hAnsi="Times New Roman"/>
          <w:sz w:val="15"/>
          <w:szCs w:val="15"/>
          <w:u w:val="single" w:color="auto"/>
          <w:color w:val="auto"/>
        </w:rPr>
        <w:t>Section 14.3</w:t>
      </w:r>
      <w:r>
        <w:rPr>
          <w:rFonts w:ascii="Times New Roman" w:cs="Times New Roman" w:eastAsia="Times New Roman" w:hAnsi="Times New Roman"/>
          <w:sz w:val="15"/>
          <w:szCs w:val="15"/>
          <w:color w:val="auto"/>
        </w:rPr>
        <w:t xml:space="preserve"> (Procedure), </w:t>
      </w:r>
      <w:r>
        <w:rPr>
          <w:rFonts w:ascii="Times New Roman" w:cs="Times New Roman" w:eastAsia="Times New Roman" w:hAnsi="Times New Roman"/>
          <w:sz w:val="15"/>
          <w:szCs w:val="15"/>
          <w:u w:val="single" w:color="auto"/>
          <w:color w:val="auto"/>
        </w:rPr>
        <w:t>Section 14.5</w:t>
      </w:r>
      <w:r>
        <w:rPr>
          <w:rFonts w:ascii="Times New Roman" w:cs="Times New Roman" w:eastAsia="Times New Roman" w:hAnsi="Times New Roman"/>
          <w:sz w:val="15"/>
          <w:szCs w:val="15"/>
          <w:color w:val="auto"/>
        </w:rPr>
        <w:t xml:space="preserve"> (No Consequential Damages), </w:t>
      </w:r>
      <w:r>
        <w:rPr>
          <w:rFonts w:ascii="Times New Roman" w:cs="Times New Roman" w:eastAsia="Times New Roman" w:hAnsi="Times New Roman"/>
          <w:sz w:val="15"/>
          <w:szCs w:val="15"/>
          <w:u w:val="single" w:color="auto"/>
          <w:color w:val="auto"/>
        </w:rPr>
        <w:t>Article 1</w:t>
      </w:r>
      <w:r>
        <w:rPr>
          <w:rFonts w:ascii="Times New Roman" w:cs="Times New Roman" w:eastAsia="Times New Roman" w:hAnsi="Times New Roman"/>
          <w:sz w:val="15"/>
          <w:szCs w:val="15"/>
          <w:color w:val="auto"/>
        </w:rPr>
        <w:t xml:space="preserve"> (to the extent necessary to interpret other surviving sections), and </w:t>
      </w:r>
      <w:r>
        <w:rPr>
          <w:rFonts w:ascii="Times New Roman" w:cs="Times New Roman" w:eastAsia="Times New Roman" w:hAnsi="Times New Roman"/>
          <w:sz w:val="15"/>
          <w:szCs w:val="15"/>
          <w:u w:val="single" w:color="auto"/>
          <w:color w:val="auto"/>
        </w:rPr>
        <w:t>Article 15</w:t>
      </w:r>
      <w:r>
        <w:rPr>
          <w:rFonts w:ascii="Times New Roman" w:cs="Times New Roman" w:eastAsia="Times New Roman" w:hAnsi="Times New Roman"/>
          <w:sz w:val="15"/>
          <w:szCs w:val="15"/>
          <w:color w:val="auto"/>
        </w:rPr>
        <w:t xml:space="preserve"> (Miscellaneous). Any expiration or early termination of this Agreement shall be without prejudice to the rights or remedies either Party may have at law or in equity against the other accrued or accruing under this Agreement before termination.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86" w:name="page487"/>
    <w:bookmarkEnd w:id="486"/>
    <w:p>
      <w:pPr>
        <w:ind w:left="540"/>
        <w:spacing w:after="0"/>
        <w:rPr>
          <w:sz w:val="20"/>
          <w:szCs w:val="20"/>
          <w:color w:val="auto"/>
        </w:rPr>
      </w:pPr>
      <w:r>
        <w:rPr>
          <w:rFonts w:ascii="Times New Roman" w:cs="Times New Roman" w:eastAsia="Times New Roman" w:hAnsi="Times New Roman"/>
          <w:sz w:val="15"/>
          <w:szCs w:val="15"/>
          <w:b w:val="1"/>
          <w:bCs w:val="1"/>
          <w:color w:val="auto"/>
        </w:rPr>
        <w:t>14.         </w:t>
      </w:r>
      <w:r>
        <w:rPr>
          <w:rFonts w:ascii="Times New Roman" w:cs="Times New Roman" w:eastAsia="Times New Roman" w:hAnsi="Times New Roman"/>
          <w:sz w:val="15"/>
          <w:szCs w:val="15"/>
          <w:b w:val="1"/>
          <w:bCs w:val="1"/>
          <w:u w:val="single" w:color="auto"/>
          <w:color w:val="auto"/>
        </w:rPr>
        <w:t>  Indemnification and Insurance</w:t>
      </w:r>
      <w:r>
        <w:rPr>
          <w:rFonts w:ascii="Times New Roman" w:cs="Times New Roman" w:eastAsia="Times New Roman" w:hAnsi="Times New Roman"/>
          <w:sz w:val="15"/>
          <w:szCs w:val="15"/>
          <w:b w:val="1"/>
          <w:bCs w:val="1"/>
          <w:color w:val="auto"/>
        </w:rPr>
        <w:t>.</w:t>
      </w:r>
    </w:p>
    <w:p>
      <w:pPr>
        <w:spacing w:after="0" w:line="179" w:lineRule="exact"/>
        <w:rPr>
          <w:sz w:val="20"/>
          <w:szCs w:val="20"/>
          <w:color w:val="auto"/>
        </w:rPr>
      </w:pPr>
    </w:p>
    <w:p>
      <w:pPr>
        <w:jc w:val="both"/>
        <w:ind w:firstLine="1055"/>
        <w:spacing w:after="0" w:line="253" w:lineRule="auto"/>
        <w:rPr>
          <w:sz w:val="20"/>
          <w:szCs w:val="20"/>
          <w:color w:val="auto"/>
        </w:rPr>
      </w:pPr>
      <w:r>
        <w:rPr>
          <w:rFonts w:ascii="Times New Roman" w:cs="Times New Roman" w:eastAsia="Times New Roman" w:hAnsi="Times New Roman"/>
          <w:sz w:val="15"/>
          <w:szCs w:val="15"/>
          <w:b w:val="1"/>
          <w:bCs w:val="1"/>
          <w:color w:val="auto"/>
        </w:rPr>
        <w:t>14.1        Indemnification by Zenas</w:t>
      </w:r>
      <w:r>
        <w:rPr>
          <w:rFonts w:ascii="Times New Roman" w:cs="Times New Roman" w:eastAsia="Times New Roman" w:hAnsi="Times New Roman"/>
          <w:sz w:val="15"/>
          <w:szCs w:val="15"/>
          <w:color w:val="auto"/>
        </w:rPr>
        <w:t>. Zenas shall indemnify, defend and hold harmless Licensee, its Affiliates and its Sublicensees, and each of its and their respective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employees, officers, directors, agents and assigns (each, a “</w:t>
      </w:r>
      <w:r>
        <w:rPr>
          <w:rFonts w:ascii="Times New Roman" w:cs="Times New Roman" w:eastAsia="Times New Roman" w:hAnsi="Times New Roman"/>
          <w:sz w:val="15"/>
          <w:szCs w:val="15"/>
          <w:b w:val="1"/>
          <w:bCs w:val="1"/>
          <w:color w:val="auto"/>
        </w:rPr>
        <w:t>Licensee Indemnified Party</w:t>
      </w:r>
      <w:r>
        <w:rPr>
          <w:rFonts w:ascii="Times New Roman" w:cs="Times New Roman" w:eastAsia="Times New Roman" w:hAnsi="Times New Roman"/>
          <w:sz w:val="15"/>
          <w:szCs w:val="15"/>
          <w:color w:val="auto"/>
        </w:rPr>
        <w:t>”) from and against any and all losses, damages, liabilities, settlements, penalties, fines and expenses (including reasonable attorneys’ fees and expenses) (collectively, “</w:t>
      </w:r>
      <w:r>
        <w:rPr>
          <w:rFonts w:ascii="Times New Roman" w:cs="Times New Roman" w:eastAsia="Times New Roman" w:hAnsi="Times New Roman"/>
          <w:sz w:val="15"/>
          <w:szCs w:val="15"/>
          <w:b w:val="1"/>
          <w:bCs w:val="1"/>
          <w:color w:val="auto"/>
        </w:rPr>
        <w:t>Liability</w:t>
      </w:r>
      <w:r>
        <w:rPr>
          <w:rFonts w:ascii="Times New Roman" w:cs="Times New Roman" w:eastAsia="Times New Roman" w:hAnsi="Times New Roman"/>
          <w:sz w:val="15"/>
          <w:szCs w:val="15"/>
          <w:color w:val="auto"/>
        </w:rPr>
        <w:t>”) that the Licensee Indemnified Party may be required to pay to one or more Third Parties as a result of Third Party claims resulting from or arising out of:</w:t>
      </w:r>
    </w:p>
    <w:p>
      <w:pPr>
        <w:spacing w:after="0" w:line="15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14.1.1          any Zenas representation or warranty set forth herein being untrue in any material respect when made or any breach by Zenas of any of its covenants 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obligations hereunder;</w:t>
      </w:r>
    </w:p>
    <w:p>
      <w:pPr>
        <w:spacing w:after="0" w:line="164" w:lineRule="exact"/>
        <w:rPr>
          <w:sz w:val="20"/>
          <w:szCs w:val="20"/>
          <w:color w:val="auto"/>
        </w:rPr>
      </w:pPr>
    </w:p>
    <w:p>
      <w:pPr>
        <w:jc w:val="both"/>
        <w:ind w:firstLine="1582"/>
        <w:spacing w:after="0" w:line="269" w:lineRule="auto"/>
        <w:rPr>
          <w:sz w:val="20"/>
          <w:szCs w:val="20"/>
          <w:color w:val="auto"/>
        </w:rPr>
      </w:pPr>
      <w:r>
        <w:rPr>
          <w:rFonts w:ascii="Times New Roman" w:cs="Times New Roman" w:eastAsia="Times New Roman" w:hAnsi="Times New Roman"/>
          <w:sz w:val="15"/>
          <w:szCs w:val="15"/>
          <w:color w:val="auto"/>
        </w:rPr>
        <w:t>14.1.2          the gross negligence or willful misconduct by or of Zenas or its Affiliates or (sub)licensees, or any of its or their respective employees, officers, directors, and agents under this Agreement;</w:t>
      </w:r>
    </w:p>
    <w:p>
      <w:pPr>
        <w:spacing w:after="0" w:line="141" w:lineRule="exact"/>
        <w:rPr>
          <w:sz w:val="20"/>
          <w:szCs w:val="20"/>
          <w:color w:val="auto"/>
        </w:rPr>
      </w:pPr>
    </w:p>
    <w:p>
      <w:pPr>
        <w:jc w:val="both"/>
        <w:ind w:firstLine="1582"/>
        <w:spacing w:after="0" w:line="269" w:lineRule="auto"/>
        <w:rPr>
          <w:sz w:val="20"/>
          <w:szCs w:val="20"/>
          <w:color w:val="auto"/>
        </w:rPr>
      </w:pPr>
      <w:r>
        <w:rPr>
          <w:rFonts w:ascii="Times New Roman" w:cs="Times New Roman" w:eastAsia="Times New Roman" w:hAnsi="Times New Roman"/>
          <w:sz w:val="15"/>
          <w:szCs w:val="15"/>
          <w:color w:val="auto"/>
        </w:rPr>
        <w:t>14.1.3          any breach of any Upstream License that is caused by the actions or omissions of Zenas or its Affiliates or licensees (other than Licensee or Licensee’s Affiliates or Sublicensees); or</w:t>
      </w:r>
    </w:p>
    <w:p>
      <w:pPr>
        <w:spacing w:after="0" w:line="141" w:lineRule="exact"/>
        <w:rPr>
          <w:sz w:val="20"/>
          <w:szCs w:val="20"/>
          <w:color w:val="auto"/>
        </w:rPr>
      </w:pPr>
    </w:p>
    <w:p>
      <w:pPr>
        <w:jc w:val="both"/>
        <w:ind w:firstLine="1582"/>
        <w:spacing w:after="0" w:line="269" w:lineRule="auto"/>
        <w:rPr>
          <w:sz w:val="20"/>
          <w:szCs w:val="20"/>
          <w:color w:val="auto"/>
        </w:rPr>
      </w:pPr>
      <w:r>
        <w:rPr>
          <w:rFonts w:ascii="Times New Roman" w:cs="Times New Roman" w:eastAsia="Times New Roman" w:hAnsi="Times New Roman"/>
          <w:sz w:val="15"/>
          <w:szCs w:val="15"/>
          <w:color w:val="auto"/>
        </w:rPr>
        <w:t>14.1.4          the Development, Manufacture, or Commercialization of the Compound or Products by Zenas or its Affiliates or sublicensees (including, for clarity, any product liability resulting therefrom) both in the Territory and worldwide.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except in each case, to the extent such Liability is subject to indemnification by Licensee pursuant to </w:t>
      </w:r>
      <w:r>
        <w:rPr>
          <w:rFonts w:ascii="Times New Roman" w:cs="Times New Roman" w:eastAsia="Times New Roman" w:hAnsi="Times New Roman"/>
          <w:sz w:val="15"/>
          <w:szCs w:val="15"/>
          <w:u w:val="single" w:color="auto"/>
          <w:color w:val="auto"/>
        </w:rPr>
        <w:t>Section 14.2</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14.2        Indemnification by Licensee</w:t>
      </w:r>
      <w:r>
        <w:rPr>
          <w:rFonts w:ascii="Times New Roman" w:cs="Times New Roman" w:eastAsia="Times New Roman" w:hAnsi="Times New Roman"/>
          <w:sz w:val="15"/>
          <w:szCs w:val="15"/>
          <w:color w:val="auto"/>
        </w:rPr>
        <w:t>. Licensee shall indemnify, defend and hold harmless Zenas and its Affiliates, and each of its and their respective employees, officers,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directors, agents and assigns (each, a “</w:t>
      </w:r>
      <w:r>
        <w:rPr>
          <w:rFonts w:ascii="Times New Roman" w:cs="Times New Roman" w:eastAsia="Times New Roman" w:hAnsi="Times New Roman"/>
          <w:sz w:val="15"/>
          <w:szCs w:val="15"/>
          <w:b w:val="1"/>
          <w:bCs w:val="1"/>
          <w:color w:val="auto"/>
        </w:rPr>
        <w:t>Zenas Indemnified Party</w:t>
      </w:r>
      <w:r>
        <w:rPr>
          <w:rFonts w:ascii="Times New Roman" w:cs="Times New Roman" w:eastAsia="Times New Roman" w:hAnsi="Times New Roman"/>
          <w:sz w:val="15"/>
          <w:szCs w:val="15"/>
          <w:color w:val="auto"/>
        </w:rPr>
        <w:t>”) from and against any and all Liabilities that the Zenas Indemnified Party may be required to pay to one or more Third Parties as a result of Third Party claims resulting from or arising out of:</w:t>
      </w:r>
    </w:p>
    <w:p>
      <w:pPr>
        <w:spacing w:after="0" w:line="14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    (a)            any Licensee representation or warranty set forth herein being untrue in any material respect when made or a breach by Licensee of any of its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covenants or obligations hereunder;</w:t>
      </w:r>
    </w:p>
    <w:p>
      <w:pPr>
        <w:spacing w:after="0" w:line="164" w:lineRule="exact"/>
        <w:rPr>
          <w:sz w:val="20"/>
          <w:szCs w:val="20"/>
          <w:color w:val="auto"/>
        </w:rPr>
      </w:pPr>
    </w:p>
    <w:p>
      <w:pPr>
        <w:jc w:val="both"/>
        <w:ind w:firstLine="2110"/>
        <w:spacing w:after="0" w:line="269" w:lineRule="auto"/>
        <w:rPr>
          <w:sz w:val="20"/>
          <w:szCs w:val="20"/>
          <w:color w:val="auto"/>
        </w:rPr>
      </w:pPr>
      <w:r>
        <w:rPr>
          <w:rFonts w:ascii="Times New Roman" w:cs="Times New Roman" w:eastAsia="Times New Roman" w:hAnsi="Times New Roman"/>
          <w:sz w:val="15"/>
          <w:szCs w:val="15"/>
          <w:color w:val="auto"/>
        </w:rPr>
        <w:t>    (b)            the gross negligence or willful misconduct by or of Licensee, its Affiliates or its Sublicensees, or any of its or their respective employees, officers, directors, and agents under this Agreement;</w:t>
      </w:r>
    </w:p>
    <w:p>
      <w:pPr>
        <w:spacing w:after="0" w:line="141" w:lineRule="exact"/>
        <w:rPr>
          <w:sz w:val="20"/>
          <w:szCs w:val="20"/>
          <w:color w:val="auto"/>
        </w:rPr>
      </w:pPr>
    </w:p>
    <w:p>
      <w:pPr>
        <w:jc w:val="both"/>
        <w:ind w:firstLine="2110"/>
        <w:spacing w:after="0" w:line="257" w:lineRule="auto"/>
        <w:rPr>
          <w:sz w:val="20"/>
          <w:szCs w:val="20"/>
          <w:color w:val="auto"/>
        </w:rPr>
      </w:pPr>
      <w:r>
        <w:rPr>
          <w:rFonts w:ascii="Times New Roman" w:cs="Times New Roman" w:eastAsia="Times New Roman" w:hAnsi="Times New Roman"/>
          <w:sz w:val="15"/>
          <w:szCs w:val="15"/>
          <w:color w:val="auto"/>
        </w:rPr>
        <w:t>    (c)            the Development, Manufacture (if applicable) or Commercialization of the Compound or Products by Licensee or its Affiliates or Sublicensees in the Field in the Territory (including, for clarity, any product liability resulting therefrom), and the Manufacture (if applicable) of the Compound or Products by Licensee or its Affiliates or Sublicensees in the Field outside the Territory (including, for clarity, any product liability resulting therefrom); or</w:t>
      </w:r>
    </w:p>
    <w:p>
      <w:pPr>
        <w:spacing w:after="0" w:line="14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    (d)            any breach of any Upstream License that is caused by the actions or omissions of Licensee or its Affiliates or Sublicensees.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except in each case, to the extent such Liability is subject to indemnification by Zenas pursuant to </w:t>
      </w:r>
      <w:r>
        <w:rPr>
          <w:rFonts w:ascii="Times New Roman" w:cs="Times New Roman" w:eastAsia="Times New Roman" w:hAnsi="Times New Roman"/>
          <w:sz w:val="15"/>
          <w:szCs w:val="15"/>
          <w:u w:val="single" w:color="auto"/>
          <w:color w:val="auto"/>
        </w:rPr>
        <w:t>Section 14.1</w:t>
      </w:r>
      <w:r>
        <w:rPr>
          <w:rFonts w:ascii="Times New Roman" w:cs="Times New Roman" w:eastAsia="Times New Roman" w:hAnsi="Times New Roman"/>
          <w:sz w:val="15"/>
          <w:szCs w:val="15"/>
          <w:color w:val="auto"/>
        </w:rPr>
        <w: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87" w:name="page488"/>
    <w:bookmarkEnd w:id="487"/>
    <w:p>
      <w:pPr>
        <w:jc w:val="both"/>
        <w:ind w:firstLine="1055"/>
        <w:spacing w:after="0" w:line="246" w:lineRule="auto"/>
        <w:rPr>
          <w:sz w:val="20"/>
          <w:szCs w:val="20"/>
          <w:color w:val="auto"/>
        </w:rPr>
      </w:pPr>
      <w:r>
        <w:rPr>
          <w:rFonts w:ascii="Times New Roman" w:cs="Times New Roman" w:eastAsia="Times New Roman" w:hAnsi="Times New Roman"/>
          <w:sz w:val="15"/>
          <w:szCs w:val="15"/>
          <w:b w:val="1"/>
          <w:bCs w:val="1"/>
          <w:color w:val="auto"/>
        </w:rPr>
        <w:t>14.3         Procedure</w:t>
      </w:r>
      <w:r>
        <w:rPr>
          <w:rFonts w:ascii="Times New Roman" w:cs="Times New Roman" w:eastAsia="Times New Roman" w:hAnsi="Times New Roman"/>
          <w:sz w:val="15"/>
          <w:szCs w:val="15"/>
          <w:color w:val="auto"/>
        </w:rPr>
        <w:t>. Each Party shall notify the other Party in writing in the event it becomes aware of a claim for which indemnification may be sought hereunder or for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which Liability is shared pursuant to this </w:t>
      </w:r>
      <w:r>
        <w:rPr>
          <w:rFonts w:ascii="Times New Roman" w:cs="Times New Roman" w:eastAsia="Times New Roman" w:hAnsi="Times New Roman"/>
          <w:sz w:val="15"/>
          <w:szCs w:val="15"/>
          <w:u w:val="single" w:color="auto"/>
          <w:color w:val="auto"/>
        </w:rPr>
        <w:t>Article 14</w:t>
      </w:r>
      <w:r>
        <w:rPr>
          <w:rFonts w:ascii="Times New Roman" w:cs="Times New Roman" w:eastAsia="Times New Roman" w:hAnsi="Times New Roman"/>
          <w:sz w:val="15"/>
          <w:szCs w:val="15"/>
          <w:color w:val="auto"/>
        </w:rPr>
        <w:t xml:space="preserve">. In case any proceeding (including any governmental investigation) shall be instituted involving either Party in respect of which indemnity may be sought pursuant to this </w:t>
      </w:r>
      <w:r>
        <w:rPr>
          <w:rFonts w:ascii="Times New Roman" w:cs="Times New Roman" w:eastAsia="Times New Roman" w:hAnsi="Times New Roman"/>
          <w:sz w:val="15"/>
          <w:szCs w:val="15"/>
          <w:u w:val="single" w:color="auto"/>
          <w:color w:val="auto"/>
        </w:rPr>
        <w:t>Article 14</w:t>
      </w:r>
      <w:r>
        <w:rPr>
          <w:rFonts w:ascii="Times New Roman" w:cs="Times New Roman" w:eastAsia="Times New Roman" w:hAnsi="Times New Roman"/>
          <w:sz w:val="15"/>
          <w:szCs w:val="15"/>
          <w:color w:val="auto"/>
        </w:rPr>
        <w:t>, such Party (the “</w:t>
      </w:r>
      <w:r>
        <w:rPr>
          <w:rFonts w:ascii="Times New Roman" w:cs="Times New Roman" w:eastAsia="Times New Roman" w:hAnsi="Times New Roman"/>
          <w:sz w:val="15"/>
          <w:szCs w:val="15"/>
          <w:b w:val="1"/>
          <w:bCs w:val="1"/>
          <w:color w:val="auto"/>
        </w:rPr>
        <w:t>Indemnified Party</w:t>
      </w:r>
      <w:r>
        <w:rPr>
          <w:rFonts w:ascii="Times New Roman" w:cs="Times New Roman" w:eastAsia="Times New Roman" w:hAnsi="Times New Roman"/>
          <w:sz w:val="15"/>
          <w:szCs w:val="15"/>
          <w:color w:val="auto"/>
        </w:rPr>
        <w:t xml:space="preserve">”) shall promptly notify in writing the Party obligated to indemnify such Party pursuant to </w:t>
      </w:r>
      <w:r>
        <w:rPr>
          <w:rFonts w:ascii="Times New Roman" w:cs="Times New Roman" w:eastAsia="Times New Roman" w:hAnsi="Times New Roman"/>
          <w:sz w:val="15"/>
          <w:szCs w:val="15"/>
          <w:u w:val="single" w:color="auto"/>
          <w:color w:val="auto"/>
        </w:rPr>
        <w:t>Section 14.1</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14.2</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b w:val="1"/>
          <w:bCs w:val="1"/>
          <w:color w:val="auto"/>
        </w:rPr>
        <w:t>Indemnifying Party</w:t>
      </w:r>
      <w:r>
        <w:rPr>
          <w:rFonts w:ascii="Times New Roman" w:cs="Times New Roman" w:eastAsia="Times New Roman" w:hAnsi="Times New Roman"/>
          <w:sz w:val="15"/>
          <w:szCs w:val="15"/>
          <w:color w:val="auto"/>
        </w:rPr>
        <w:t xml:space="preserve">”) in writing and the Indemnifying Party and Indemnified Party shall meet to discuss how to respond to any claims that are the subject matter of such proceeding,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delay in providing such notification shall only limit the Indemnifying Party’s obligation to the extent of the actual prejudice caused to the Indemnifying Party by such delay. The Indemnifying Party, upon request of the Indemnified Party, shall retain counsel reasonably satisfactory to the Indemnified Party to represent the Indemnified Party and shall pay the fees and expenses of such counsel related to such proceeding. If the Indemnifying Party assumes the defense of the Liability, it shall keep the Indemnified Party advised of the status of such Liability and the defense thereof and shall consider recommendations made by the Indemnified Party with respect thereto. In any such proceeding, the Indemnified Party shall have the right to retain its own counsel, but the fees and expenses of such counsel shall be at the expense of the Indemnified Party unless (a) the Indemnifying Party and the Indemnified Party shall have mutually agreed to the retention of such counsel or (b) the named parties to any such proceeding (including any impleaded parties) include both the Indemnifying Party and the Indemnified Party and representation of both the Indemnifying Party and the Indemnified Party by the same counsel would be inappropriate due to actual or potential differing interests between them. All such fees and expenses incurred pursuant to </w:t>
      </w:r>
      <w:r>
        <w:rPr>
          <w:rFonts w:ascii="Times New Roman" w:cs="Times New Roman" w:eastAsia="Times New Roman" w:hAnsi="Times New Roman"/>
          <w:sz w:val="15"/>
          <w:szCs w:val="15"/>
          <w:u w:val="single" w:color="auto"/>
          <w:color w:val="auto"/>
        </w:rPr>
        <w:t>Section 14.1</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14.2</w:t>
      </w:r>
      <w:r>
        <w:rPr>
          <w:rFonts w:ascii="Times New Roman" w:cs="Times New Roman" w:eastAsia="Times New Roman" w:hAnsi="Times New Roman"/>
          <w:sz w:val="15"/>
          <w:szCs w:val="15"/>
          <w:color w:val="auto"/>
        </w:rPr>
        <w:t xml:space="preserve"> shall be reimbursed as they are incurred. The Indemnifying Party shall not be liable for any settlement of any proceeding unless effected with its written consent, which shall not be unreasonably withheld. The Indemnifying Party shall not, without the written consent of the Indemnified Party, effect any settlement of any pending or threatened proceeding in respect of which the Indemnified Party is, or arising out of the same set of facts could have been, a party and indemnity could have been sought hereunder by the Indemnified Party, unless such settlement includes an unconditional release of the Indemnified Party from all liability on claims to which the indemnity relates that are the subject matter of such proceeding. If the Parties cannot agree as to the application of </w:t>
      </w:r>
      <w:r>
        <w:rPr>
          <w:rFonts w:ascii="Times New Roman" w:cs="Times New Roman" w:eastAsia="Times New Roman" w:hAnsi="Times New Roman"/>
          <w:sz w:val="15"/>
          <w:szCs w:val="15"/>
          <w:u w:val="single" w:color="auto"/>
          <w:color w:val="auto"/>
        </w:rPr>
        <w:t>Section 14.1</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14.2</w:t>
      </w:r>
      <w:r>
        <w:rPr>
          <w:rFonts w:ascii="Times New Roman" w:cs="Times New Roman" w:eastAsia="Times New Roman" w:hAnsi="Times New Roman"/>
          <w:sz w:val="15"/>
          <w:szCs w:val="15"/>
          <w:color w:val="auto"/>
        </w:rPr>
        <w:t xml:space="preserve"> to any particular claim, the Parties may conduct separate defenses of such claim and reserve the right to claim indemnity from the other Party in accordance with </w:t>
      </w:r>
      <w:r>
        <w:rPr>
          <w:rFonts w:ascii="Times New Roman" w:cs="Times New Roman" w:eastAsia="Times New Roman" w:hAnsi="Times New Roman"/>
          <w:sz w:val="15"/>
          <w:szCs w:val="15"/>
          <w:u w:val="single" w:color="auto"/>
          <w:color w:val="auto"/>
        </w:rPr>
        <w:t>Section 14.1</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14.2</w:t>
      </w:r>
      <w:r>
        <w:rPr>
          <w:rFonts w:ascii="Times New Roman" w:cs="Times New Roman" w:eastAsia="Times New Roman" w:hAnsi="Times New Roman"/>
          <w:sz w:val="15"/>
          <w:szCs w:val="15"/>
          <w:color w:val="auto"/>
        </w:rPr>
        <w:t xml:space="preserve"> above in accordance with </w:t>
      </w:r>
      <w:r>
        <w:rPr>
          <w:rFonts w:ascii="Times New Roman" w:cs="Times New Roman" w:eastAsia="Times New Roman" w:hAnsi="Times New Roman"/>
          <w:sz w:val="15"/>
          <w:szCs w:val="15"/>
          <w:u w:val="single" w:color="auto"/>
          <w:color w:val="auto"/>
        </w:rPr>
        <w:t>Section 15.3</w:t>
      </w:r>
      <w:r>
        <w:rPr>
          <w:rFonts w:ascii="Times New Roman" w:cs="Times New Roman" w:eastAsia="Times New Roman" w:hAnsi="Times New Roman"/>
          <w:sz w:val="15"/>
          <w:szCs w:val="15"/>
          <w:color w:val="auto"/>
        </w:rPr>
        <w:t xml:space="preserve"> upon resolution of the underlying claim.</w:t>
      </w:r>
    </w:p>
    <w:p>
      <w:pPr>
        <w:spacing w:after="0" w:line="157" w:lineRule="exact"/>
        <w:rPr>
          <w:sz w:val="20"/>
          <w:szCs w:val="20"/>
          <w:color w:val="auto"/>
        </w:rPr>
      </w:pPr>
    </w:p>
    <w:p>
      <w:pPr>
        <w:jc w:val="both"/>
        <w:ind w:firstLine="1055"/>
        <w:spacing w:after="0" w:line="251" w:lineRule="auto"/>
        <w:rPr>
          <w:sz w:val="20"/>
          <w:szCs w:val="20"/>
          <w:color w:val="auto"/>
        </w:rPr>
      </w:pPr>
      <w:r>
        <w:rPr>
          <w:rFonts w:ascii="Times New Roman" w:cs="Times New Roman" w:eastAsia="Times New Roman" w:hAnsi="Times New Roman"/>
          <w:sz w:val="15"/>
          <w:szCs w:val="15"/>
          <w:b w:val="1"/>
          <w:bCs w:val="1"/>
          <w:color w:val="auto"/>
        </w:rPr>
        <w:t>14.4        Insurance</w:t>
      </w:r>
      <w:r>
        <w:rPr>
          <w:rFonts w:ascii="Times New Roman" w:cs="Times New Roman" w:eastAsia="Times New Roman" w:hAnsi="Times New Roman"/>
          <w:sz w:val="15"/>
          <w:szCs w:val="15"/>
          <w:color w:val="auto"/>
        </w:rPr>
        <w:t>. Licensee shall procure and maintain insurance, including clinical trial insurance and product liability insurance, adequate to cover is obligations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respect to its activities hereunder and which is consistent with normal business practices of prudent companies similarly situated at all times;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any such clinical trials insurance coverage shall, prior to the First Commercial Sale of a Product, in no event be less than [***]. Licensee shall provide Zenas with evidence of such insurance upon request and shall provide Zenas with written notice at least [***] prior to Licensee’s decision or receipt of notice from the insurance company, as applicable, with respect to the cancellation, non-renewal or material decrease in the coverage level of such insurance. It is understood that such insurance shall not be construed to create a limit of Licensee’s liability.</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936" w:right="319" w:bottom="1440" w:gutter="0" w:footer="0" w:header="0"/>
        </w:sectPr>
      </w:pPr>
    </w:p>
    <w:bookmarkStart w:id="488" w:name="page489"/>
    <w:bookmarkEnd w:id="488"/>
    <w:p>
      <w:pPr>
        <w:jc w:val="both"/>
        <w:ind w:firstLine="1055"/>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14.5        No Consequential Damages. </w:t>
      </w:r>
      <w:r>
        <w:rPr>
          <w:rFonts w:ascii="Times New Roman" w:cs="Times New Roman" w:eastAsia="Times New Roman" w:hAnsi="Times New Roman"/>
          <w:sz w:val="14"/>
          <w:szCs w:val="14"/>
          <w:color w:val="auto"/>
        </w:rPr>
        <w:t>NOTWITHSTANDING THE FOREGOING, IN NO EVENT WILL EITHER PARTY BE LIABLE TO THE OTHER PARTY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ANY CONSEQUENTIAL, INCIDENTAL, INDIRECT, SPECIAL, PUNITIVE OR EXEMPLARY DAMAGES, OR FOR LOST REVENUES OR LOST PROFITS (WHETHER DIRECT OR INDIRECT) UNDER THIS AGREEMENT REGARDLESS OF ANY NOTICE OF THE POSSIBILITY OF SUCH DAMAGES, EXCEPT TO THE EXTENT THE DAMAGES RESULT FROM (A) A PARTY’S GROSS NEGLIGENCE OR WILLFUL MISCONDUCT, (B) A PARTY’S BREACH OF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(C) A PARTY’S INDEMNIFICATION OBLIGATIONS UNDER THIS </w:t>
      </w:r>
      <w:r>
        <w:rPr>
          <w:rFonts w:ascii="Times New Roman" w:cs="Times New Roman" w:eastAsia="Times New Roman" w:hAnsi="Times New Roman"/>
          <w:sz w:val="14"/>
          <w:szCs w:val="14"/>
          <w:u w:val="single" w:color="auto"/>
          <w:color w:val="auto"/>
        </w:rPr>
        <w:t>ARTICLE 14</w:t>
      </w:r>
      <w:r>
        <w:rPr>
          <w:rFonts w:ascii="Times New Roman" w:cs="Times New Roman" w:eastAsia="Times New Roman" w:hAnsi="Times New Roman"/>
          <w:sz w:val="14"/>
          <w:szCs w:val="14"/>
          <w:color w:val="auto"/>
        </w:rPr>
        <w:t xml:space="preserve">, (D) ZENAS’S BREACH OF </w:t>
      </w:r>
      <w:r>
        <w:rPr>
          <w:rFonts w:ascii="Times New Roman" w:cs="Times New Roman" w:eastAsia="Times New Roman" w:hAnsi="Times New Roman"/>
          <w:sz w:val="14"/>
          <w:szCs w:val="14"/>
          <w:u w:val="single" w:color="auto"/>
          <w:color w:val="auto"/>
        </w:rPr>
        <w:t>SECTION 10.2.1(t)</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10.2.1(x)</w:t>
      </w:r>
      <w:r>
        <w:rPr>
          <w:rFonts w:ascii="Times New Roman" w:cs="Times New Roman" w:eastAsia="Times New Roman" w:hAnsi="Times New Roman"/>
          <w:sz w:val="14"/>
          <w:szCs w:val="14"/>
          <w:color w:val="auto"/>
        </w:rPr>
        <w:t xml:space="preserve">, OR (E) LICENSEE’S BREACH OF </w:t>
      </w:r>
      <w:r>
        <w:rPr>
          <w:rFonts w:ascii="Times New Roman" w:cs="Times New Roman" w:eastAsia="Times New Roman" w:hAnsi="Times New Roman"/>
          <w:sz w:val="14"/>
          <w:szCs w:val="14"/>
          <w:u w:val="single" w:color="auto"/>
          <w:color w:val="auto"/>
        </w:rPr>
        <w:t>SECTION 10.2.2(d)</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15.         </w:t>
      </w:r>
      <w:r>
        <w:rPr>
          <w:rFonts w:ascii="Times New Roman" w:cs="Times New Roman" w:eastAsia="Times New Roman" w:hAnsi="Times New Roman"/>
          <w:sz w:val="15"/>
          <w:szCs w:val="15"/>
          <w:b w:val="1"/>
          <w:bCs w:val="1"/>
          <w:u w:val="single" w:color="auto"/>
          <w:color w:val="auto"/>
        </w:rPr>
        <w:t>  Miscellaneous</w:t>
      </w:r>
      <w:r>
        <w:rPr>
          <w:rFonts w:ascii="Times New Roman" w:cs="Times New Roman" w:eastAsia="Times New Roman" w:hAnsi="Times New Roman"/>
          <w:sz w:val="15"/>
          <w:szCs w:val="15"/>
          <w:b w:val="1"/>
          <w:bCs w:val="1"/>
          <w:color w:val="auto"/>
        </w:rPr>
        <w:t>.</w:t>
      </w:r>
    </w:p>
    <w:p>
      <w:pPr>
        <w:spacing w:after="0" w:line="179" w:lineRule="exact"/>
        <w:rPr>
          <w:sz w:val="20"/>
          <w:szCs w:val="20"/>
          <w:color w:val="auto"/>
        </w:rPr>
      </w:pPr>
    </w:p>
    <w:p>
      <w:pPr>
        <w:jc w:val="both"/>
        <w:ind w:firstLine="1055"/>
        <w:spacing w:after="0" w:line="248" w:lineRule="auto"/>
        <w:rPr>
          <w:sz w:val="20"/>
          <w:szCs w:val="20"/>
          <w:color w:val="auto"/>
        </w:rPr>
      </w:pPr>
      <w:r>
        <w:rPr>
          <w:rFonts w:ascii="Times New Roman" w:cs="Times New Roman" w:eastAsia="Times New Roman" w:hAnsi="Times New Roman"/>
          <w:sz w:val="15"/>
          <w:szCs w:val="15"/>
          <w:b w:val="1"/>
          <w:bCs w:val="1"/>
          <w:color w:val="auto"/>
        </w:rPr>
        <w:t>15.1        Assignment</w:t>
      </w:r>
      <w:r>
        <w:rPr>
          <w:rFonts w:ascii="Times New Roman" w:cs="Times New Roman" w:eastAsia="Times New Roman" w:hAnsi="Times New Roman"/>
          <w:sz w:val="15"/>
          <w:szCs w:val="15"/>
          <w:color w:val="auto"/>
        </w:rPr>
        <w:t>. Neither Party may assign its rights or delegate its obligations under this Agreement, in whole or in part without the prior written consent of the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Party, except that (a) each Party shall have the right, without such consent, on written notice to the other Parties, to assign any or all of its rights and delegate or subcontract any or all of its obligations hereunder to (i) any of its Affiliates or (ii) a successor of all or substantially all of the business of such Party or of the portion of such business to which this Agreement relates, whether by way of merger, sale of stock, sale of assets or other transaction (or series of transactions); and (b) either Party shall have the right, without such consent, to perform any or all of its obligations and exercise any or all of its rights under this Agreement through any of its Affiliates. Notwithstanding the foregoing, each Party shall remain responsible for any failure to perform on the part of any such Affiliates. Any attempted assignment or delegation in violation of this </w:t>
      </w:r>
      <w:r>
        <w:rPr>
          <w:rFonts w:ascii="Times New Roman" w:cs="Times New Roman" w:eastAsia="Times New Roman" w:hAnsi="Times New Roman"/>
          <w:sz w:val="15"/>
          <w:szCs w:val="15"/>
          <w:u w:val="single" w:color="auto"/>
          <w:color w:val="auto"/>
        </w:rPr>
        <w:t>Section 15.1</w:t>
      </w:r>
      <w:r>
        <w:rPr>
          <w:rFonts w:ascii="Times New Roman" w:cs="Times New Roman" w:eastAsia="Times New Roman" w:hAnsi="Times New Roman"/>
          <w:sz w:val="15"/>
          <w:szCs w:val="15"/>
          <w:color w:val="auto"/>
        </w:rPr>
        <w:t xml:space="preserve"> shall be void. Any permitted transferee or assignee of this Agreement shall assume and be bound by the obligations of its transferor or assignor under this Agreement, and shall, in a writing delivered to the other Party, expressly assume the performance of such rights or obligations. This Agreement shall be binding on, and inure to the benefit of, each Party, its successors and permitted assigns.</w:t>
      </w:r>
    </w:p>
    <w:p>
      <w:pPr>
        <w:spacing w:after="0" w:line="156" w:lineRule="exact"/>
        <w:rPr>
          <w:sz w:val="20"/>
          <w:szCs w:val="20"/>
          <w:color w:val="auto"/>
        </w:rPr>
      </w:pPr>
    </w:p>
    <w:p>
      <w:pPr>
        <w:jc w:val="both"/>
        <w:ind w:firstLine="1055"/>
        <w:spacing w:after="0" w:line="253" w:lineRule="auto"/>
        <w:rPr>
          <w:sz w:val="20"/>
          <w:szCs w:val="20"/>
          <w:color w:val="auto"/>
        </w:rPr>
      </w:pPr>
      <w:r>
        <w:rPr>
          <w:rFonts w:ascii="Times New Roman" w:cs="Times New Roman" w:eastAsia="Times New Roman" w:hAnsi="Times New Roman"/>
          <w:sz w:val="15"/>
          <w:szCs w:val="15"/>
          <w:b w:val="1"/>
          <w:bCs w:val="1"/>
          <w:color w:val="auto"/>
        </w:rPr>
        <w:t>15.2        Governing Law</w:t>
      </w:r>
      <w:r>
        <w:rPr>
          <w:rFonts w:ascii="Times New Roman" w:cs="Times New Roman" w:eastAsia="Times New Roman" w:hAnsi="Times New Roman"/>
          <w:sz w:val="15"/>
          <w:szCs w:val="15"/>
          <w:color w:val="auto"/>
        </w:rPr>
        <w:t>. The interpretation and construction of this Agreement, and all matters relating hereto, shall be governed by the laws of the State of New York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applicable to agreements executed and to be performed solely within such state excluding any conflicts or choice of law rule or principle that might otherwise refer construction or interpretation of this Agreement to the substantive law of another jurisdiction;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matters relating to the construction or effect of any Patent Right will be governed by the patent laws of the relevant jurisdiction in which such Patent Right is granted.</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15.3        Dispute Resolution</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right="20" w:firstLine="1582"/>
        <w:spacing w:after="0" w:line="258" w:lineRule="auto"/>
        <w:rPr>
          <w:sz w:val="20"/>
          <w:szCs w:val="20"/>
          <w:color w:val="auto"/>
        </w:rPr>
      </w:pPr>
      <w:r>
        <w:rPr>
          <w:rFonts w:ascii="Times New Roman" w:cs="Times New Roman" w:eastAsia="Times New Roman" w:hAnsi="Times New Roman"/>
          <w:sz w:val="15"/>
          <w:szCs w:val="15"/>
          <w:color w:val="auto"/>
        </w:rPr>
        <w:t>15.3.1          </w:t>
      </w:r>
      <w:r>
        <w:rPr>
          <w:rFonts w:ascii="Times New Roman" w:cs="Times New Roman" w:eastAsia="Times New Roman" w:hAnsi="Times New Roman"/>
          <w:sz w:val="15"/>
          <w:szCs w:val="15"/>
          <w:b w:val="1"/>
          <w:bCs w:val="1"/>
          <w:color w:val="auto"/>
        </w:rPr>
        <w:t>Disputes</w:t>
      </w:r>
      <w:r>
        <w:rPr>
          <w:rFonts w:ascii="Times New Roman" w:cs="Times New Roman" w:eastAsia="Times New Roman" w:hAnsi="Times New Roman"/>
          <w:sz w:val="15"/>
          <w:szCs w:val="15"/>
          <w:color w:val="auto"/>
        </w:rPr>
        <w:t>. Any dispute, controversy or claim arising out of or relating to this Agreement, including the validity, invalidity, breach or termination thereof (a “</w:t>
      </w:r>
      <w:r>
        <w:rPr>
          <w:rFonts w:ascii="Times New Roman" w:cs="Times New Roman" w:eastAsia="Times New Roman" w:hAnsi="Times New Roman"/>
          <w:sz w:val="15"/>
          <w:szCs w:val="15"/>
          <w:b w:val="1"/>
          <w:bCs w:val="1"/>
          <w:color w:val="auto"/>
        </w:rPr>
        <w:t>Dispute</w:t>
      </w:r>
      <w:r>
        <w:rPr>
          <w:rFonts w:ascii="Times New Roman" w:cs="Times New Roman" w:eastAsia="Times New Roman" w:hAnsi="Times New Roman"/>
          <w:sz w:val="15"/>
          <w:szCs w:val="15"/>
          <w:color w:val="auto"/>
        </w:rPr>
        <w:t>”), will be referred to the [***] of the Parties for resolution. In the event the two individuals referred to in the preceding sentence are unable to resolve such dispute within [***] after the initial written request, then, upon the written demand of either Party, the Dispute shall be subject to arbitration, as provided below.</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89" w:name="page490"/>
    <w:bookmarkEnd w:id="489"/>
    <w:p>
      <w:pPr>
        <w:ind w:left="1600"/>
        <w:spacing w:after="0"/>
        <w:rPr>
          <w:sz w:val="20"/>
          <w:szCs w:val="20"/>
          <w:color w:val="auto"/>
        </w:rPr>
      </w:pPr>
      <w:r>
        <w:rPr>
          <w:rFonts w:ascii="Times New Roman" w:cs="Times New Roman" w:eastAsia="Times New Roman" w:hAnsi="Times New Roman"/>
          <w:sz w:val="14"/>
          <w:szCs w:val="14"/>
          <w:color w:val="auto"/>
        </w:rPr>
        <w:t xml:space="preserve">15.3.2          If the Parties are unable to resolve such Dispute through the negotiations described in </w:t>
      </w:r>
      <w:r>
        <w:rPr>
          <w:rFonts w:ascii="Times New Roman" w:cs="Times New Roman" w:eastAsia="Times New Roman" w:hAnsi="Times New Roman"/>
          <w:sz w:val="14"/>
          <w:szCs w:val="14"/>
          <w:u w:val="single" w:color="auto"/>
          <w:color w:val="auto"/>
        </w:rPr>
        <w:t>Section 15.3.1</w:t>
      </w:r>
      <w:r>
        <w:rPr>
          <w:rFonts w:ascii="Times New Roman" w:cs="Times New Roman" w:eastAsia="Times New Roman" w:hAnsi="Times New Roman"/>
          <w:sz w:val="14"/>
          <w:szCs w:val="14"/>
          <w:color w:val="auto"/>
        </w:rPr>
        <w:t>, then, except in the case of a Dispute that concerns</w:t>
      </w:r>
    </w:p>
    <w:p>
      <w:pPr>
        <w:spacing w:after="0" w:line="30" w:lineRule="exact"/>
        <w:rPr>
          <w:sz w:val="20"/>
          <w:szCs w:val="20"/>
          <w:color w:val="auto"/>
        </w:rPr>
      </w:pPr>
    </w:p>
    <w:p>
      <w:pPr>
        <w:jc w:val="both"/>
        <w:ind w:firstLine="8"/>
        <w:spacing w:after="0" w:line="246" w:lineRule="auto"/>
        <w:tabs>
          <w:tab w:leader="none" w:pos="202"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validity or infringement of a patent, trademark or copyright, or (b) any antitrust, anti-monopoly or competition law or regulation, whether or not statutory, the dispute shall be settled by arbitration, with limited discovery, administered under the [***] in force when the notice of arbitration is submitted in accordance with these rules. The arbitration proceedings shall be conducted in English, in New York, New York, and applicable arbitration association shall use the laws of the State of New York as the governing law for this Agreement and the Parties’ obligations hereunder in accordance with </w:t>
      </w:r>
      <w:r>
        <w:rPr>
          <w:rFonts w:ascii="Times New Roman" w:cs="Times New Roman" w:eastAsia="Times New Roman" w:hAnsi="Times New Roman"/>
          <w:sz w:val="15"/>
          <w:szCs w:val="15"/>
          <w:u w:val="single" w:color="auto"/>
          <w:color w:val="auto"/>
        </w:rPr>
        <w:t>Section 15.2</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jc w:val="both"/>
        <w:ind w:firstLine="1582"/>
        <w:spacing w:after="0" w:line="249" w:lineRule="auto"/>
        <w:rPr>
          <w:sz w:val="20"/>
          <w:szCs w:val="20"/>
          <w:color w:val="auto"/>
        </w:rPr>
      </w:pPr>
      <w:r>
        <w:rPr>
          <w:rFonts w:ascii="Times New Roman" w:cs="Times New Roman" w:eastAsia="Times New Roman" w:hAnsi="Times New Roman"/>
          <w:sz w:val="15"/>
          <w:szCs w:val="15"/>
          <w:color w:val="auto"/>
        </w:rPr>
        <w:t>15.3.3          The number of arbitrators shall be [***]. The arbitrators (the “</w:t>
      </w:r>
      <w:r>
        <w:rPr>
          <w:rFonts w:ascii="Times New Roman" w:cs="Times New Roman" w:eastAsia="Times New Roman" w:hAnsi="Times New Roman"/>
          <w:sz w:val="15"/>
          <w:szCs w:val="15"/>
          <w:b w:val="1"/>
          <w:bCs w:val="1"/>
          <w:color w:val="auto"/>
        </w:rPr>
        <w:t>Arbitral Tribunal</w:t>
      </w:r>
      <w:r>
        <w:rPr>
          <w:rFonts w:ascii="Times New Roman" w:cs="Times New Roman" w:eastAsia="Times New Roman" w:hAnsi="Times New Roman"/>
          <w:sz w:val="15"/>
          <w:szCs w:val="15"/>
          <w:color w:val="auto"/>
        </w:rPr>
        <w:t>”) shall be appointed as follows: (a) the claimant to the Dispute, or in the case of multiple claimants, all such claimants acting collectively (the “</w:t>
      </w:r>
      <w:r>
        <w:rPr>
          <w:rFonts w:ascii="Times New Roman" w:cs="Times New Roman" w:eastAsia="Times New Roman" w:hAnsi="Times New Roman"/>
          <w:sz w:val="15"/>
          <w:szCs w:val="15"/>
          <w:b w:val="1"/>
          <w:bCs w:val="1"/>
          <w:color w:val="auto"/>
        </w:rPr>
        <w:t>Claimant</w:t>
      </w:r>
      <w:r>
        <w:rPr>
          <w:rFonts w:ascii="Times New Roman" w:cs="Times New Roman" w:eastAsia="Times New Roman" w:hAnsi="Times New Roman"/>
          <w:sz w:val="15"/>
          <w:szCs w:val="15"/>
          <w:color w:val="auto"/>
        </w:rPr>
        <w:t>”) shall select [***] and (b) the respondent to the Dispute, or in the case of more than one respondent, the respondents acting collectively (the “</w:t>
      </w:r>
      <w:r>
        <w:rPr>
          <w:rFonts w:ascii="Times New Roman" w:cs="Times New Roman" w:eastAsia="Times New Roman" w:hAnsi="Times New Roman"/>
          <w:sz w:val="15"/>
          <w:szCs w:val="15"/>
          <w:b w:val="1"/>
          <w:bCs w:val="1"/>
          <w:color w:val="auto"/>
        </w:rPr>
        <w:t>Respondent</w:t>
      </w:r>
      <w:r>
        <w:rPr>
          <w:rFonts w:ascii="Times New Roman" w:cs="Times New Roman" w:eastAsia="Times New Roman" w:hAnsi="Times New Roman"/>
          <w:sz w:val="15"/>
          <w:szCs w:val="15"/>
          <w:color w:val="auto"/>
        </w:rPr>
        <w:t xml:space="preserve">”) shall select [***]. The Claimant shall nominate its arbitrator at the time of filing the notice of arbitration. The Respondent shall nominate its arbitrator within [***] after receiving the notice of arbitration. Such arbitrators shall be freely selected, and neither the Claimant nor the Respondent shall be limited in their selection to any prescribed list;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all arbitrators shall be and remain independent from the Parties, and be conflicts-free and neutral experienced arbitrators. Within [***] from the appointment of the [***]. If the [***] or the administrative rules are in conflict with the provisions of this </w:t>
      </w:r>
      <w:r>
        <w:rPr>
          <w:rFonts w:ascii="Times New Roman" w:cs="Times New Roman" w:eastAsia="Times New Roman" w:hAnsi="Times New Roman"/>
          <w:sz w:val="15"/>
          <w:szCs w:val="15"/>
          <w:u w:val="single" w:color="auto"/>
          <w:color w:val="auto"/>
        </w:rPr>
        <w:t>Section 15.3.3</w:t>
      </w:r>
      <w:r>
        <w:rPr>
          <w:rFonts w:ascii="Times New Roman" w:cs="Times New Roman" w:eastAsia="Times New Roman" w:hAnsi="Times New Roman"/>
          <w:sz w:val="15"/>
          <w:szCs w:val="15"/>
          <w:color w:val="auto"/>
        </w:rPr>
        <w:t xml:space="preserve">, including the provisions concerning the appointment of arbitrators, the provisions of this </w:t>
      </w:r>
      <w:r>
        <w:rPr>
          <w:rFonts w:ascii="Times New Roman" w:cs="Times New Roman" w:eastAsia="Times New Roman" w:hAnsi="Times New Roman"/>
          <w:sz w:val="15"/>
          <w:szCs w:val="15"/>
          <w:u w:val="single" w:color="auto"/>
          <w:color w:val="auto"/>
        </w:rPr>
        <w:t>Section 15.3.3</w:t>
      </w:r>
      <w:r>
        <w:rPr>
          <w:rFonts w:ascii="Times New Roman" w:cs="Times New Roman" w:eastAsia="Times New Roman" w:hAnsi="Times New Roman"/>
          <w:sz w:val="15"/>
          <w:szCs w:val="15"/>
          <w:color w:val="auto"/>
        </w:rPr>
        <w:t xml:space="preserve"> shall prevail.</w:t>
      </w:r>
    </w:p>
    <w:p>
      <w:pPr>
        <w:spacing w:after="0" w:line="156" w:lineRule="exact"/>
        <w:rPr>
          <w:sz w:val="20"/>
          <w:szCs w:val="20"/>
          <w:color w:val="auto"/>
        </w:rPr>
      </w:pPr>
    </w:p>
    <w:p>
      <w:pPr>
        <w:jc w:val="both"/>
        <w:ind w:firstLine="1582"/>
        <w:spacing w:after="0" w:line="248" w:lineRule="auto"/>
        <w:rPr>
          <w:sz w:val="20"/>
          <w:szCs w:val="20"/>
          <w:color w:val="auto"/>
        </w:rPr>
      </w:pPr>
      <w:r>
        <w:rPr>
          <w:rFonts w:ascii="Times New Roman" w:cs="Times New Roman" w:eastAsia="Times New Roman" w:hAnsi="Times New Roman"/>
          <w:sz w:val="15"/>
          <w:szCs w:val="15"/>
          <w:color w:val="auto"/>
        </w:rPr>
        <w:t xml:space="preserve">15.3.4          Within [***] after the arbitrators are selected, the Parties will each submit to the arbitrators, and to one another, a written statement of their respective positions regarding the alleged Dispute. The Parties will also provide the arbitrators a copy of this Agreement, as may be amended at such time. Each party will have [***] from receipt of the other Party’s submission to provide to the arbitrator a written response thereto. Neither Party may have any communication (either written or oral) with the arbitrators other than for the sole purpose of engaging the arbitrator at the outset or as expressly permitted in this </w:t>
      </w:r>
      <w:r>
        <w:rPr>
          <w:rFonts w:ascii="Times New Roman" w:cs="Times New Roman" w:eastAsia="Times New Roman" w:hAnsi="Times New Roman"/>
          <w:sz w:val="15"/>
          <w:szCs w:val="15"/>
          <w:u w:val="single" w:color="auto"/>
          <w:color w:val="auto"/>
        </w:rPr>
        <w:t>Section 15.3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arbitrator will have the right to meet with the Parties, either alone or together, as necessary in the arbitrator’s opinion to make a determination. Based on the materials submitted, the arbitrators will determine whether any discovery process is necessary, and, if it is, the parameters of such process with the intent of resolving the arbitration as expeditiously as possible (e.g., limiting the number of depositions and the time discovery is permitted to take). The Parties and arbitrators shall employ procedures designed to resolve the conflict by arbitration within [***] of the Dispute being referred for arbitration.</w:t>
      </w:r>
    </w:p>
    <w:p>
      <w:pPr>
        <w:spacing w:after="0" w:line="159" w:lineRule="exact"/>
        <w:rPr>
          <w:sz w:val="20"/>
          <w:szCs w:val="20"/>
          <w:color w:val="auto"/>
        </w:rPr>
      </w:pPr>
    </w:p>
    <w:p>
      <w:pPr>
        <w:jc w:val="both"/>
        <w:ind w:firstLine="1582"/>
        <w:spacing w:after="0" w:line="270" w:lineRule="auto"/>
        <w:rPr>
          <w:sz w:val="20"/>
          <w:szCs w:val="20"/>
          <w:color w:val="auto"/>
        </w:rPr>
      </w:pPr>
      <w:r>
        <w:rPr>
          <w:rFonts w:ascii="Times New Roman" w:cs="Times New Roman" w:eastAsia="Times New Roman" w:hAnsi="Times New Roman"/>
          <w:sz w:val="14"/>
          <w:szCs w:val="14"/>
          <w:color w:val="auto"/>
        </w:rPr>
        <w:t xml:space="preserve">15.3.5          Each Party shall bear its own attorneys’ fees, costs and disbursements arising out of the arbitration, and shall pay an equal share of the fees and costs of the arbitrators;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in making their award, the Arbitral Tribunal shall have the authority to award attorney’s fees and other costs and expenses of the arbitration as they deem just and appropriate under the circumstances;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Arbitral Tribunal shall have no authority to award punitive or any other type of damages not measured by a Party’s compensatory damages and the arbitrator(s) shall have no authority to grant any award or remedy other than such awards or remedies that are available under the Applicable Law. The award of the Arbitral Tribunal shall be final and binding upon the disputing Parties, and either Party may apply to a court of competent jurisdiction for enforcement of such award. The Parties shall cooperate and use their respective commercially reasonable efforts to take all actions reasonably required to facilitate the prompt enforcement of any arbitral award made by the Arbitral Tribunal.</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90" w:name="page491"/>
    <w:bookmarkEnd w:id="490"/>
    <w:p>
      <w:pPr>
        <w:jc w:val="both"/>
        <w:ind w:firstLine="1582"/>
        <w:spacing w:after="0" w:line="250" w:lineRule="auto"/>
        <w:rPr>
          <w:sz w:val="20"/>
          <w:szCs w:val="20"/>
          <w:color w:val="auto"/>
        </w:rPr>
      </w:pPr>
      <w:r>
        <w:rPr>
          <w:rFonts w:ascii="Times New Roman" w:cs="Times New Roman" w:eastAsia="Times New Roman" w:hAnsi="Times New Roman"/>
          <w:sz w:val="15"/>
          <w:szCs w:val="15"/>
          <w:color w:val="auto"/>
        </w:rPr>
        <w:t>15.3.6           The Parties undertake and agree that all arbitral proceedings conducted with reference to this arbitration clause will be kept strictly confidential. This confidentiality undertaking shall cover all information disclosed in the course of such arbitral proceedings, as well as any decision or award that is made or declared during the proceedings. Information covered by this confidentiality undertaking may not, in any form, be disclosed to a Third Party without the written consent of the Parties. Notwithstanding the foregoing, a Party shall not be prevented from disclosing such information in order to safeguard in the best possible way his rights vis-à-vis the other Party in connection with a dispute or if the Party is obliged to so disclose pursuant to Applicable Laws.</w:t>
      </w:r>
    </w:p>
    <w:p>
      <w:pPr>
        <w:spacing w:after="0" w:line="156" w:lineRule="exact"/>
        <w:rPr>
          <w:sz w:val="20"/>
          <w:szCs w:val="20"/>
          <w:color w:val="auto"/>
        </w:rPr>
      </w:pPr>
    </w:p>
    <w:p>
      <w:pPr>
        <w:jc w:val="both"/>
        <w:ind w:firstLine="1582"/>
        <w:spacing w:after="0" w:line="252" w:lineRule="auto"/>
        <w:rPr>
          <w:sz w:val="20"/>
          <w:szCs w:val="20"/>
          <w:color w:val="auto"/>
        </w:rPr>
      </w:pPr>
      <w:r>
        <w:rPr>
          <w:rFonts w:ascii="Times New Roman" w:cs="Times New Roman" w:eastAsia="Times New Roman" w:hAnsi="Times New Roman"/>
          <w:sz w:val="15"/>
          <w:szCs w:val="15"/>
          <w:color w:val="auto"/>
        </w:rPr>
        <w:t>15.3.7           The Parties agree that nothing contained in this Agreement will deny either Party the right to seek injunctive or other equitable relief (in addition to whatever remedies it might have at law) from a court or Government Authority of competent jurisdiction applying the laws of that court or Government Authority in the context of the other Party’s breach or threat of breach of any of its obligations related to the first Party’s Confidential Information or Intellectual Property. In no event shall arbitration be initiated after the date when commencement of a legal or equitable proceeding based on the dispute, controversy or claim would be barred by the applicable New York statute of limitations.</w:t>
      </w:r>
    </w:p>
    <w:p>
      <w:pPr>
        <w:spacing w:after="0" w:line="15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15.3.8           In case this Agreement or any part of it is assigned or transferred to a Third Party, such Third Party shall automatically be bound by the provisions of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arbitration clause.</w:t>
      </w:r>
    </w:p>
    <w:p>
      <w:pPr>
        <w:spacing w:after="0" w:line="164" w:lineRule="exact"/>
        <w:rPr>
          <w:sz w:val="20"/>
          <w:szCs w:val="20"/>
          <w:color w:val="auto"/>
        </w:rPr>
      </w:pPr>
    </w:p>
    <w:p>
      <w:pPr>
        <w:jc w:val="both"/>
        <w:ind w:firstLine="1582"/>
        <w:spacing w:after="0" w:line="257" w:lineRule="auto"/>
        <w:rPr>
          <w:sz w:val="20"/>
          <w:szCs w:val="20"/>
          <w:color w:val="auto"/>
        </w:rPr>
      </w:pPr>
      <w:r>
        <w:rPr>
          <w:rFonts w:ascii="Times New Roman" w:cs="Times New Roman" w:eastAsia="Times New Roman" w:hAnsi="Times New Roman"/>
          <w:sz w:val="15"/>
          <w:szCs w:val="15"/>
          <w:color w:val="auto"/>
        </w:rPr>
        <w:t>15.3.9           By agreeing to this binding arbitration provision, the Parties understand that they are waiving certain rights and protections which may otherwise be available if a dispute between the parties were determined by litigation in court, including the right to seek or obtain certain types of damages precluded by this provision, the right to a jury trial, certain rights of appeal and a right to invoke formal rules of procedure and evidence.</w:t>
      </w:r>
    </w:p>
    <w:p>
      <w:pPr>
        <w:spacing w:after="0" w:line="147" w:lineRule="exact"/>
        <w:rPr>
          <w:sz w:val="20"/>
          <w:szCs w:val="20"/>
          <w:color w:val="auto"/>
        </w:rPr>
      </w:pPr>
    </w:p>
    <w:p>
      <w:pPr>
        <w:jc w:val="both"/>
        <w:ind w:firstLine="1055"/>
        <w:spacing w:after="0" w:line="248" w:lineRule="auto"/>
        <w:rPr>
          <w:sz w:val="20"/>
          <w:szCs w:val="20"/>
          <w:color w:val="auto"/>
        </w:rPr>
      </w:pPr>
      <w:r>
        <w:rPr>
          <w:rFonts w:ascii="Times New Roman" w:cs="Times New Roman" w:eastAsia="Times New Roman" w:hAnsi="Times New Roman"/>
          <w:sz w:val="15"/>
          <w:szCs w:val="15"/>
          <w:b w:val="1"/>
          <w:bCs w:val="1"/>
          <w:color w:val="auto"/>
        </w:rPr>
        <w:t>15.4        Force Majeure</w:t>
      </w:r>
      <w:r>
        <w:rPr>
          <w:rFonts w:ascii="Times New Roman" w:cs="Times New Roman" w:eastAsia="Times New Roman" w:hAnsi="Times New Roman"/>
          <w:sz w:val="15"/>
          <w:szCs w:val="15"/>
          <w:color w:val="auto"/>
        </w:rPr>
        <w:t>. Neither Zenas nor Licensee shall be liable for delay in delivery or nonperformance in whole or in part, nor shall Zenas or Licensee have the right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terminate this Agreement except as otherwise specifically provided in this </w:t>
      </w:r>
      <w:r>
        <w:rPr>
          <w:rFonts w:ascii="Times New Roman" w:cs="Times New Roman" w:eastAsia="Times New Roman" w:hAnsi="Times New Roman"/>
          <w:sz w:val="15"/>
          <w:szCs w:val="15"/>
          <w:u w:val="single" w:color="auto"/>
          <w:color w:val="auto"/>
        </w:rPr>
        <w:t>Section 15.4</w:t>
      </w:r>
      <w:r>
        <w:rPr>
          <w:rFonts w:ascii="Times New Roman" w:cs="Times New Roman" w:eastAsia="Times New Roman" w:hAnsi="Times New Roman"/>
          <w:sz w:val="15"/>
          <w:szCs w:val="15"/>
          <w:color w:val="auto"/>
        </w:rPr>
        <w:t>, where such delivery or performance has been affected by a condition beyond the reasonable control of Zenas or Licensee, as applicable, including prohibition or restriction imposed by Applicable Laws (a “</w:t>
      </w:r>
      <w:r>
        <w:rPr>
          <w:rFonts w:ascii="Times New Roman" w:cs="Times New Roman" w:eastAsia="Times New Roman" w:hAnsi="Times New Roman"/>
          <w:sz w:val="15"/>
          <w:szCs w:val="15"/>
          <w:b w:val="1"/>
          <w:bCs w:val="1"/>
          <w:color w:val="auto"/>
        </w:rPr>
        <w:t>Force Majeure Event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Party affected by a Force Majeure Event (the “</w:t>
      </w:r>
      <w:r>
        <w:rPr>
          <w:rFonts w:ascii="Times New Roman" w:cs="Times New Roman" w:eastAsia="Times New Roman" w:hAnsi="Times New Roman"/>
          <w:sz w:val="15"/>
          <w:szCs w:val="15"/>
          <w:b w:val="1"/>
          <w:bCs w:val="1"/>
          <w:color w:val="auto"/>
        </w:rPr>
        <w:t>Force Majeure Party</w:t>
      </w:r>
      <w:r>
        <w:rPr>
          <w:rFonts w:ascii="Times New Roman" w:cs="Times New Roman" w:eastAsia="Times New Roman" w:hAnsi="Times New Roman"/>
          <w:sz w:val="15"/>
          <w:szCs w:val="15"/>
          <w:color w:val="auto"/>
        </w:rPr>
        <w:t xml:space="preserve">”) shall, within [***] after its occurrence, give notice to Zenas (if the Force Majeure Party is Licensee) or Licensee (if the Force Majeure Party is Zenas) stating the nature of the condition, its anticipated duration and any action being taken to avoid or minimize its effect. The suspension of performance shall be of no greater scope and no longer duration than is reasonably required and the Force Majeure Party shall use its reasonable efforts to remedy its inability to perform;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if the suspension of performance continues for [***] after the date of the occurrence of the Force Majeure Event, and such failure to perform would constitute a material breach of this Agreement in the absence of such Force Majeure Event, then the non-breaching Party shall have the right to terminate this Agreement.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91" w:name="page492"/>
    <w:bookmarkEnd w:id="491"/>
    <w:p>
      <w:pPr>
        <w:jc w:val="both"/>
        <w:ind w:firstLine="1055"/>
        <w:spacing w:after="0" w:line="251" w:lineRule="auto"/>
        <w:rPr>
          <w:sz w:val="20"/>
          <w:szCs w:val="20"/>
          <w:color w:val="auto"/>
        </w:rPr>
      </w:pPr>
      <w:r>
        <w:rPr>
          <w:rFonts w:ascii="Times New Roman" w:cs="Times New Roman" w:eastAsia="Times New Roman" w:hAnsi="Times New Roman"/>
          <w:sz w:val="15"/>
          <w:szCs w:val="15"/>
          <w:b w:val="1"/>
          <w:bCs w:val="1"/>
          <w:color w:val="auto"/>
        </w:rPr>
        <w:t>15.5         Waiver</w:t>
      </w:r>
      <w:r>
        <w:rPr>
          <w:rFonts w:ascii="Times New Roman" w:cs="Times New Roman" w:eastAsia="Times New Roman" w:hAnsi="Times New Roman"/>
          <w:sz w:val="15"/>
          <w:szCs w:val="15"/>
          <w:color w:val="auto"/>
        </w:rPr>
        <w:t>. A Party’s failure to enforce, at any time or for any period of time, any provision of this Agreement, or to exercise any right or remedy, does not constitute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waiver of such provision, right or remedy, or prevent such Party thereafter from enforcing any or all provisions and exercising any or all other rights and remedies. Any term or condition of this Agreement may be waived at any time by the Party that is entitled to the benefit thereof, but no such waiver shall be effective unless set forth in a written instrument duly executed by or on behalf of the Party waiving such term or condition. The exercise of any right or remedy does not constitute an election or prevent the exercise of any or all rights or remedies, all rights and remedies being cumulative.</w:t>
      </w:r>
    </w:p>
    <w:p>
      <w:pPr>
        <w:spacing w:after="0" w:line="15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15.6         Notices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firstLine="1582"/>
        <w:spacing w:after="0" w:line="250" w:lineRule="auto"/>
        <w:rPr>
          <w:sz w:val="20"/>
          <w:szCs w:val="20"/>
          <w:color w:val="auto"/>
        </w:rPr>
      </w:pPr>
      <w:r>
        <w:rPr>
          <w:rFonts w:ascii="Times New Roman" w:cs="Times New Roman" w:eastAsia="Times New Roman" w:hAnsi="Times New Roman"/>
          <w:sz w:val="15"/>
          <w:szCs w:val="15"/>
          <w:color w:val="auto"/>
        </w:rPr>
        <w:t>15.6.1           </w:t>
      </w:r>
      <w:r>
        <w:rPr>
          <w:rFonts w:ascii="Times New Roman" w:cs="Times New Roman" w:eastAsia="Times New Roman" w:hAnsi="Times New Roman"/>
          <w:sz w:val="15"/>
          <w:szCs w:val="15"/>
          <w:b w:val="1"/>
          <w:bCs w:val="1"/>
          <w:color w:val="auto"/>
        </w:rPr>
        <w:t>Notice Requirements</w:t>
      </w:r>
      <w:r>
        <w:rPr>
          <w:rFonts w:ascii="Times New Roman" w:cs="Times New Roman" w:eastAsia="Times New Roman" w:hAnsi="Times New Roman"/>
          <w:sz w:val="15"/>
          <w:szCs w:val="15"/>
          <w:color w:val="auto"/>
        </w:rPr>
        <w:t xml:space="preserve">. All notices and other communications required or permitted hereunder shall be in writing and may be delivered personally, sent by overnight delivery service, mailed by registered or certified mail, or postage prepaid to the addresses for each Party set forth below, with a courtesy copy sent by email, which will not constitute notice. Each such notice or other communication shall be treated as effective or having been given (i) when delivered, if delivered personally; (ii) on the next Business Day, if sent by overnight delivery; (iii) forty-eight (48) hours after mailing, if mailed by registered or certified mail; or (iv) if emailed, upon confirmation of receipt. A Party may change its notice address at any time by delivery of written notice of such change to the other Party. This </w:t>
      </w:r>
      <w:r>
        <w:rPr>
          <w:rFonts w:ascii="Times New Roman" w:cs="Times New Roman" w:eastAsia="Times New Roman" w:hAnsi="Times New Roman"/>
          <w:sz w:val="15"/>
          <w:szCs w:val="15"/>
          <w:u w:val="single" w:color="auto"/>
          <w:color w:val="auto"/>
        </w:rPr>
        <w:t>Section 15.6</w:t>
      </w:r>
      <w:r>
        <w:rPr>
          <w:rFonts w:ascii="Times New Roman" w:cs="Times New Roman" w:eastAsia="Times New Roman" w:hAnsi="Times New Roman"/>
          <w:sz w:val="15"/>
          <w:szCs w:val="15"/>
          <w:color w:val="auto"/>
        </w:rPr>
        <w:t xml:space="preserve"> is not intended to govern the day-to-day business communications necessary between the Parties in performing their obligations under the terms of this Agreement.</w:t>
      </w:r>
    </w:p>
    <w:p>
      <w:pPr>
        <w:spacing w:after="0" w:line="152"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15.6.2          </w:t>
            </w:r>
            <w:r>
              <w:rPr>
                <w:rFonts w:ascii="Times New Roman" w:cs="Times New Roman" w:eastAsia="Times New Roman" w:hAnsi="Times New Roman"/>
                <w:sz w:val="15"/>
                <w:szCs w:val="15"/>
                <w:b w:val="1"/>
                <w:bCs w:val="1"/>
                <w:color w:val="auto"/>
              </w:rPr>
              <w:t>Addresses for Notice</w:t>
            </w:r>
            <w:r>
              <w:rPr>
                <w:rFonts w:ascii="Times New Roman" w:cs="Times New Roman" w:eastAsia="Times New Roman" w:hAnsi="Times New Roman"/>
                <w:sz w:val="15"/>
                <w:szCs w:val="15"/>
                <w:color w:val="auto"/>
              </w:rPr>
              <w:t>.</w:t>
            </w:r>
          </w:p>
        </w:tc>
      </w:tr>
      <w:tr>
        <w:trPr>
          <w:trHeight w:val="319"/>
        </w:trPr>
        <w:tc>
          <w:tcPr>
            <w:tcW w:w="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Licensee:</w:t>
            </w:r>
          </w:p>
        </w:tc>
        <w:tc>
          <w:tcPr>
            <w:tcW w:w="3340" w:type="dxa"/>
            <w:vAlign w:val="bottom"/>
          </w:tcPr>
          <w:p>
            <w:pPr>
              <w:ind w:left="1380"/>
              <w:spacing w:after="0"/>
              <w:rPr>
                <w:sz w:val="20"/>
                <w:szCs w:val="20"/>
                <w:color w:val="auto"/>
              </w:rPr>
            </w:pPr>
            <w:r>
              <w:rPr>
                <w:rFonts w:ascii="Times New Roman" w:cs="Times New Roman" w:eastAsia="Times New Roman" w:hAnsi="Times New Roman"/>
                <w:sz w:val="15"/>
                <w:szCs w:val="15"/>
                <w:color w:val="auto"/>
              </w:rPr>
              <w:t>Bristol-Myers Squibb Company</w:t>
            </w:r>
          </w:p>
        </w:tc>
      </w:tr>
      <w:tr>
        <w:trPr>
          <w:trHeight w:val="174"/>
        </w:trPr>
        <w:tc>
          <w:tcPr>
            <w:tcW w:w="5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340" w:type="dxa"/>
            <w:vAlign w:val="bottom"/>
          </w:tcPr>
          <w:p>
            <w:pPr>
              <w:ind w:left="1380"/>
              <w:spacing w:after="0"/>
              <w:rPr>
                <w:sz w:val="20"/>
                <w:szCs w:val="20"/>
                <w:color w:val="auto"/>
              </w:rPr>
            </w:pPr>
            <w:r>
              <w:rPr>
                <w:rFonts w:ascii="Times New Roman" w:cs="Times New Roman" w:eastAsia="Times New Roman" w:hAnsi="Times New Roman"/>
                <w:sz w:val="15"/>
                <w:szCs w:val="15"/>
                <w:color w:val="auto"/>
                <w:w w:val="96"/>
              </w:rPr>
              <w:t>Route 206 &amp; Province Line Road</w:t>
            </w:r>
          </w:p>
        </w:tc>
      </w:tr>
      <w:tr>
        <w:trPr>
          <w:trHeight w:val="176"/>
        </w:trPr>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40" w:type="dxa"/>
            <w:vAlign w:val="bottom"/>
          </w:tcPr>
          <w:p>
            <w:pPr>
              <w:ind w:left="1380"/>
              <w:spacing w:after="0"/>
              <w:rPr>
                <w:sz w:val="20"/>
                <w:szCs w:val="20"/>
                <w:color w:val="auto"/>
              </w:rPr>
            </w:pPr>
            <w:r>
              <w:rPr>
                <w:rFonts w:ascii="Times New Roman" w:cs="Times New Roman" w:eastAsia="Times New Roman" w:hAnsi="Times New Roman"/>
                <w:sz w:val="15"/>
                <w:szCs w:val="15"/>
                <w:color w:val="auto"/>
              </w:rPr>
              <w:t>Princeton, NJ 08543-4000</w:t>
            </w:r>
          </w:p>
        </w:tc>
      </w:tr>
      <w:tr>
        <w:trPr>
          <w:trHeight w:val="190"/>
        </w:trPr>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tcPr>
          <w:p>
            <w:pPr>
              <w:ind w:left="1380"/>
              <w:spacing w:after="0"/>
              <w:rPr>
                <w:sz w:val="20"/>
                <w:szCs w:val="20"/>
                <w:color w:val="auto"/>
              </w:rPr>
            </w:pPr>
            <w:r>
              <w:rPr>
                <w:rFonts w:ascii="Times New Roman" w:cs="Times New Roman" w:eastAsia="Times New Roman" w:hAnsi="Times New Roman"/>
                <w:sz w:val="15"/>
                <w:szCs w:val="15"/>
                <w:color w:val="auto"/>
              </w:rPr>
              <w:t>Attention: [***]</w:t>
            </w:r>
          </w:p>
        </w:tc>
      </w:tr>
    </w:tbl>
    <w:p>
      <w:pPr>
        <w:spacing w:after="0" w:line="1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With copies to (which shall not constitute notice):</w:t>
      </w:r>
    </w:p>
    <w:p>
      <w:pPr>
        <w:spacing w:after="0" w:line="17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Bristol-Myers Squibb Company</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Route 206 and Province Line Road</w:t>
      </w:r>
    </w:p>
    <w:p>
      <w:pPr>
        <w:spacing w:after="0" w:line="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Princeton, NJ 08543-4000</w:t>
      </w:r>
    </w:p>
    <w:p>
      <w:pPr>
        <w:spacing w:after="0" w:line="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Attention: [***]</w:t>
      </w:r>
    </w:p>
    <w:p>
      <w:pPr>
        <w:spacing w:after="0" w:line="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Email: [***]</w:t>
      </w:r>
    </w:p>
    <w:p>
      <w:pPr>
        <w:spacing w:after="0" w:line="16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and</w:t>
      </w:r>
    </w:p>
    <w:p>
      <w:pPr>
        <w:spacing w:after="0" w:line="17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Arnold &amp; Porter LLP</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250 W 55th St</w:t>
      </w:r>
    </w:p>
    <w:p>
      <w:pPr>
        <w:spacing w:after="0" w:line="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New York, NY 10019</w:t>
      </w:r>
    </w:p>
    <w:p>
      <w:pPr>
        <w:spacing w:after="0" w:line="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Attention: [***]</w:t>
      </w:r>
    </w:p>
    <w:p>
      <w:pPr>
        <w:spacing w:after="0" w:line="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Email: [***]</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92" w:name="page493"/>
    <w:bookmarkEnd w:id="492"/>
    <w:tbl>
      <w:tblPr>
        <w:tblLayout w:type="fixed"/>
        <w:tblInd w:w="580" w:type="dxa"/>
        <w:tblCellMar>
          <w:top w:w="0" w:type="dxa"/>
          <w:left w:w="0" w:type="dxa"/>
          <w:bottom w:w="0" w:type="dxa"/>
          <w:right w:w="0" w:type="dxa"/>
        </w:tblCellMar>
      </w:tblPr>
      <w:tr>
        <w:trPr>
          <w:trHeight w:val="172"/>
        </w:trPr>
        <w:tc>
          <w:tcPr>
            <w:tcW w:w="1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Zenas:</w:t>
            </w:r>
          </w:p>
        </w:tc>
        <w:tc>
          <w:tcPr>
            <w:tcW w:w="248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Zenas BioPharma, Inc.</w:t>
            </w:r>
          </w:p>
        </w:tc>
      </w:tr>
      <w:tr>
        <w:trPr>
          <w:trHeight w:val="174"/>
        </w:trPr>
        <w:tc>
          <w:tcPr>
            <w:tcW w:w="340" w:type="dxa"/>
            <w:vAlign w:val="bottom"/>
            <w:tcBorders>
              <w:top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248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1000 Winter St.</w:t>
            </w:r>
          </w:p>
        </w:tc>
      </w:tr>
      <w:tr>
        <w:trPr>
          <w:trHeight w:val="176"/>
        </w:trPr>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80" w:type="dxa"/>
            <w:vAlign w:val="bottom"/>
          </w:tcPr>
          <w:p>
            <w:pPr>
              <w:ind w:left="880"/>
              <w:spacing w:after="0"/>
              <w:rPr>
                <w:sz w:val="20"/>
                <w:szCs w:val="20"/>
                <w:color w:val="auto"/>
              </w:rPr>
            </w:pPr>
            <w:r>
              <w:rPr>
                <w:rFonts w:ascii="Times New Roman" w:cs="Times New Roman" w:eastAsia="Times New Roman" w:hAnsi="Times New Roman"/>
                <w:sz w:val="15"/>
                <w:szCs w:val="15"/>
                <w:color w:val="auto"/>
                <w:w w:val="96"/>
              </w:rPr>
              <w:t>North Building, Suite 1200</w:t>
            </w:r>
          </w:p>
        </w:tc>
      </w:tr>
      <w:tr>
        <w:trPr>
          <w:trHeight w:val="176"/>
        </w:trPr>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8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Waltham, MA 02451</w:t>
            </w:r>
          </w:p>
        </w:tc>
      </w:tr>
      <w:tr>
        <w:trPr>
          <w:trHeight w:val="176"/>
        </w:trPr>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8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Attention: [***]</w:t>
            </w:r>
          </w:p>
        </w:tc>
      </w:tr>
      <w:tr>
        <w:trPr>
          <w:trHeight w:val="190"/>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8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Email: [***]</w:t>
            </w:r>
          </w:p>
        </w:tc>
      </w:tr>
    </w:tbl>
    <w:p>
      <w:pPr>
        <w:spacing w:after="0" w:line="1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With copies to (which shall not constitute notice):</w:t>
      </w:r>
    </w:p>
    <w:p>
      <w:pPr>
        <w:spacing w:after="0" w:line="17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Sidley Austin LLP</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2850 Quarry Lake Drive, Suite 280</w:t>
      </w:r>
    </w:p>
    <w:p>
      <w:pPr>
        <w:spacing w:after="0" w:line="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Baltimore, MD 21209</w:t>
      </w:r>
    </w:p>
    <w:p>
      <w:pPr>
        <w:spacing w:after="0" w:line="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Attention: [***]</w:t>
      </w:r>
    </w:p>
    <w:p>
      <w:pPr>
        <w:spacing w:after="0" w:line="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Email: [***]</w:t>
      </w:r>
    </w:p>
    <w:p>
      <w:pPr>
        <w:spacing w:after="0" w:line="162" w:lineRule="exact"/>
        <w:rPr>
          <w:sz w:val="20"/>
          <w:szCs w:val="20"/>
          <w:color w:val="auto"/>
        </w:rPr>
      </w:pPr>
    </w:p>
    <w:p>
      <w:pPr>
        <w:jc w:val="both"/>
        <w:ind w:firstLine="1055"/>
        <w:spacing w:after="0" w:line="253" w:lineRule="auto"/>
        <w:rPr>
          <w:sz w:val="20"/>
          <w:szCs w:val="20"/>
          <w:color w:val="auto"/>
        </w:rPr>
      </w:pPr>
      <w:r>
        <w:rPr>
          <w:rFonts w:ascii="Times New Roman" w:cs="Times New Roman" w:eastAsia="Times New Roman" w:hAnsi="Times New Roman"/>
          <w:sz w:val="15"/>
          <w:szCs w:val="15"/>
          <w:b w:val="1"/>
          <w:bCs w:val="1"/>
          <w:color w:val="auto"/>
        </w:rPr>
        <w:t>15.7        Entire Agreement</w:t>
      </w:r>
      <w:r>
        <w:rPr>
          <w:rFonts w:ascii="Times New Roman" w:cs="Times New Roman" w:eastAsia="Times New Roman" w:hAnsi="Times New Roman"/>
          <w:sz w:val="15"/>
          <w:szCs w:val="15"/>
          <w:color w:val="auto"/>
        </w:rPr>
        <w:t>. This Agreement, including the Schedules attached hereto, constitutes the entire agreement between the Parties with respect to the subject matter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hereof and supersedes all prior or contemporaneous understandings or agreements, whether written or oral, with respect to the subject matter hereof. Each Party confirms that it is not relying on any representations or warranties of the other Party, except as specifically set forth herein. No amendment or modification hereof shall be binding upon the Parties unless in writing and duly executed by authorized representatives of both Parties.</w:t>
      </w:r>
    </w:p>
    <w:p>
      <w:pPr>
        <w:spacing w:after="0" w:line="152"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15.8        Schedules</w:t>
      </w:r>
      <w:r>
        <w:rPr>
          <w:rFonts w:ascii="Times New Roman" w:cs="Times New Roman" w:eastAsia="Times New Roman" w:hAnsi="Times New Roman"/>
          <w:sz w:val="15"/>
          <w:szCs w:val="15"/>
          <w:color w:val="auto"/>
        </w:rPr>
        <w:t>. All Schedules referred to in this Agreement are intended to be, and hereby are, specifically incorporated into and made a part of this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that, in the event of any conflict or any inconsistency between any term or condition of this Agreement and any term or condition of any Schedule or other attachment hereto (including the relevant Development Plan, but excluding the Upstream Licenses), the terms and conditions of this Agreement shall control.</w:t>
      </w:r>
    </w:p>
    <w:p>
      <w:pPr>
        <w:spacing w:after="0" w:line="147"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15.9        No Benefit to Others</w:t>
      </w:r>
      <w:r>
        <w:rPr>
          <w:rFonts w:ascii="Times New Roman" w:cs="Times New Roman" w:eastAsia="Times New Roman" w:hAnsi="Times New Roman"/>
          <w:sz w:val="15"/>
          <w:szCs w:val="15"/>
          <w:color w:val="auto"/>
        </w:rPr>
        <w:t>. The provisions of this Agreement are for the sole benefit of the Parties and their successors and permitted assigns, and they shall not be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construed as conferring any rights in any other Persons except as otherwise expressly provided in this Agreement.</w:t>
      </w:r>
    </w:p>
    <w:p>
      <w:pPr>
        <w:spacing w:after="0" w:line="136" w:lineRule="exact"/>
        <w:rPr>
          <w:sz w:val="20"/>
          <w:szCs w:val="20"/>
          <w:color w:val="auto"/>
        </w:rPr>
      </w:pPr>
    </w:p>
    <w:p>
      <w:pPr>
        <w:jc w:val="both"/>
        <w:ind w:firstLine="1055"/>
        <w:spacing w:after="0" w:line="251" w:lineRule="auto"/>
        <w:rPr>
          <w:sz w:val="20"/>
          <w:szCs w:val="20"/>
          <w:color w:val="auto"/>
        </w:rPr>
      </w:pPr>
      <w:r>
        <w:rPr>
          <w:rFonts w:ascii="Times New Roman" w:cs="Times New Roman" w:eastAsia="Times New Roman" w:hAnsi="Times New Roman"/>
          <w:sz w:val="15"/>
          <w:szCs w:val="15"/>
          <w:b w:val="1"/>
          <w:bCs w:val="1"/>
          <w:color w:val="auto"/>
        </w:rPr>
        <w:t>15.10      Severability</w:t>
      </w:r>
      <w:r>
        <w:rPr>
          <w:rFonts w:ascii="Times New Roman" w:cs="Times New Roman" w:eastAsia="Times New Roman" w:hAnsi="Times New Roman"/>
          <w:sz w:val="15"/>
          <w:szCs w:val="15"/>
          <w:color w:val="auto"/>
        </w:rPr>
        <w:t>. If any provision hereof should be invalid, illegal or unenforceable in any respect, then, to the fullest extent permitted by Applicable Law, (a) all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provisions hereof shall remain in full force and effect and shall be liberally construed in order to carry out the intent of the Parties as nearly as may be possible, and (b) the Parties shall use their best efforts to negotiate a provision, in replacement of the provision held invalid, illegal or unenforceable, that is consistent with Applicable Laws and accomplishes, as nearly as possible, the original intention of the Parties with respect thereto. To the fullest extent permitted by Applicable Law, each Party hereby waives any provision of law that would render any provision hereof prohibited or unenforceable in any respect.</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493" w:name="page494"/>
    <w:bookmarkEnd w:id="493"/>
    <w:p>
      <w:pPr>
        <w:jc w:val="both"/>
        <w:ind w:firstLine="1055"/>
        <w:spacing w:after="0" w:line="251" w:lineRule="auto"/>
        <w:rPr>
          <w:sz w:val="20"/>
          <w:szCs w:val="20"/>
          <w:color w:val="auto"/>
        </w:rPr>
      </w:pPr>
      <w:r>
        <w:rPr>
          <w:rFonts w:ascii="Times New Roman" w:cs="Times New Roman" w:eastAsia="Times New Roman" w:hAnsi="Times New Roman"/>
          <w:sz w:val="15"/>
          <w:szCs w:val="15"/>
          <w:b w:val="1"/>
          <w:bCs w:val="1"/>
          <w:color w:val="auto"/>
        </w:rPr>
        <w:t>15.11      Further Assurance</w:t>
      </w:r>
      <w:r>
        <w:rPr>
          <w:rFonts w:ascii="Times New Roman" w:cs="Times New Roman" w:eastAsia="Times New Roman" w:hAnsi="Times New Roman"/>
          <w:sz w:val="15"/>
          <w:szCs w:val="15"/>
          <w:color w:val="auto"/>
        </w:rPr>
        <w:t>. Each Party shall duly execute and deliver, or cause to be duly executed and delivered, such further instruments and do and cause to be done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further acts and things, including the filing of such assignments, agreements, documents and instruments, as may be necessary or as the other Party may reasonably request to carry out more effectively the provisions and purposes hereof, or to better assure and confirm unto such other Party its rights and remedies under this Agreement. Each Party shall respond, as promptly as practicable, to the other Party’s requests for information in the Control of such Party to the extent that the requesting Party reasonably requires such information to comply with Applicable Laws or to perform its obligations under this Agreement.</w:t>
      </w:r>
    </w:p>
    <w:p>
      <w:pPr>
        <w:spacing w:after="0" w:line="153"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15.12      Publicity</w:t>
      </w:r>
      <w:r>
        <w:rPr>
          <w:rFonts w:ascii="Times New Roman" w:cs="Times New Roman" w:eastAsia="Times New Roman" w:hAnsi="Times New Roman"/>
          <w:sz w:val="15"/>
          <w:szCs w:val="15"/>
          <w:color w:val="auto"/>
        </w:rPr>
        <w:t>. Subject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9.1.6</w:t>
      </w:r>
      <w:r>
        <w:rPr>
          <w:rFonts w:ascii="Times New Roman" w:cs="Times New Roman" w:eastAsia="Times New Roman" w:hAnsi="Times New Roman"/>
          <w:sz w:val="15"/>
          <w:szCs w:val="15"/>
          <w:color w:val="auto"/>
        </w:rPr>
        <w:t>, neither Party shall issue a press release or make any public announcement or other public disclosure with respect to any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transactions contemplated herein without obtaining the prior written consent of the other Party;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 disclosure shall be permitted without the other Party’s consent to the extent that it does not contain information beyond that included in a prior disclosure approved in writing by both Parties.</w:t>
      </w:r>
    </w:p>
    <w:p>
      <w:pPr>
        <w:spacing w:after="0" w:line="147" w:lineRule="exact"/>
        <w:rPr>
          <w:sz w:val="20"/>
          <w:szCs w:val="20"/>
          <w:color w:val="auto"/>
        </w:rPr>
      </w:pPr>
    </w:p>
    <w:p>
      <w:pPr>
        <w:jc w:val="both"/>
        <w:ind w:firstLine="1055"/>
        <w:spacing w:after="0" w:line="253" w:lineRule="auto"/>
        <w:rPr>
          <w:sz w:val="20"/>
          <w:szCs w:val="20"/>
          <w:color w:val="auto"/>
        </w:rPr>
      </w:pPr>
      <w:r>
        <w:rPr>
          <w:rFonts w:ascii="Times New Roman" w:cs="Times New Roman" w:eastAsia="Times New Roman" w:hAnsi="Times New Roman"/>
          <w:sz w:val="15"/>
          <w:szCs w:val="15"/>
          <w:b w:val="1"/>
          <w:bCs w:val="1"/>
          <w:color w:val="auto"/>
        </w:rPr>
        <w:t>15.13      Relationship of the Parties</w:t>
      </w:r>
      <w:r>
        <w:rPr>
          <w:rFonts w:ascii="Times New Roman" w:cs="Times New Roman" w:eastAsia="Times New Roman" w:hAnsi="Times New Roman"/>
          <w:sz w:val="15"/>
          <w:szCs w:val="15"/>
          <w:color w:val="auto"/>
        </w:rPr>
        <w:t>. Nothing contained in this Agreement shall be construed as creating a partnership, joint venture or agency relationship between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Parties hereto or, as granting to either Party the authority to bind or contract any obligation in the name of or on the account of the other Party, or to make any statements, representations, guarantees or warranties on behalf of the other Party. All Persons employed by a Party or any of its Affiliates shall be employees of such Party or its Affiliates and not of the other Party or such other Party’s Affiliates, and all costs and obligations incurred by reason of any such employment shall be for the account and expense of such Party or its Affiliates, as applicable.</w:t>
      </w:r>
    </w:p>
    <w:p>
      <w:pPr>
        <w:spacing w:after="0" w:line="152" w:lineRule="exact"/>
        <w:rPr>
          <w:sz w:val="20"/>
          <w:szCs w:val="20"/>
          <w:color w:val="auto"/>
        </w:rPr>
      </w:pPr>
    </w:p>
    <w:p>
      <w:pPr>
        <w:jc w:val="both"/>
        <w:ind w:firstLine="1055"/>
        <w:spacing w:after="0" w:line="250" w:lineRule="auto"/>
        <w:rPr>
          <w:sz w:val="20"/>
          <w:szCs w:val="20"/>
          <w:color w:val="auto"/>
        </w:rPr>
      </w:pPr>
      <w:r>
        <w:rPr>
          <w:rFonts w:ascii="Times New Roman" w:cs="Times New Roman" w:eastAsia="Times New Roman" w:hAnsi="Times New Roman"/>
          <w:sz w:val="15"/>
          <w:szCs w:val="15"/>
          <w:b w:val="1"/>
          <w:bCs w:val="1"/>
          <w:color w:val="auto"/>
        </w:rPr>
        <w:t>15.14      Affiliates</w:t>
      </w:r>
      <w:r>
        <w:rPr>
          <w:rFonts w:ascii="Times New Roman" w:cs="Times New Roman" w:eastAsia="Times New Roman" w:hAnsi="Times New Roman"/>
          <w:sz w:val="15"/>
          <w:szCs w:val="15"/>
          <w:color w:val="auto"/>
        </w:rPr>
        <w:t>. Each Party shall cause its respective Affiliates to comply fully with the provisions of this Agreement to the extent such provisions relate, or are intended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relate to such Affiliates, as if such Affiliates were expressly named as joint obligors hereunder. Without limiting the generality of the foregoing or </w:t>
      </w:r>
      <w:r>
        <w:rPr>
          <w:rFonts w:ascii="Times New Roman" w:cs="Times New Roman" w:eastAsia="Times New Roman" w:hAnsi="Times New Roman"/>
          <w:sz w:val="15"/>
          <w:szCs w:val="15"/>
          <w:u w:val="single" w:color="auto"/>
          <w:color w:val="auto"/>
        </w:rPr>
        <w:t>Section 15.1</w:t>
      </w:r>
      <w:r>
        <w:rPr>
          <w:rFonts w:ascii="Times New Roman" w:cs="Times New Roman" w:eastAsia="Times New Roman" w:hAnsi="Times New Roman"/>
          <w:sz w:val="15"/>
          <w:szCs w:val="15"/>
          <w:color w:val="auto"/>
        </w:rPr>
        <w:t xml:space="preserve">, if any obligations of a Party hereunder are delegated to or performed by any of such Party’s Affiliate as permitted under </w:t>
      </w:r>
      <w:r>
        <w:rPr>
          <w:rFonts w:ascii="Times New Roman" w:cs="Times New Roman" w:eastAsia="Times New Roman" w:hAnsi="Times New Roman"/>
          <w:sz w:val="15"/>
          <w:szCs w:val="15"/>
          <w:u w:val="single" w:color="auto"/>
          <w:color w:val="auto"/>
        </w:rPr>
        <w:t>Section 15.1</w:t>
      </w:r>
      <w:r>
        <w:rPr>
          <w:rFonts w:ascii="Times New Roman" w:cs="Times New Roman" w:eastAsia="Times New Roman" w:hAnsi="Times New Roman"/>
          <w:sz w:val="15"/>
          <w:szCs w:val="15"/>
          <w:color w:val="auto"/>
        </w:rPr>
        <w:t>, such obligations will be deemed satisfied upon performance by such Affiliate. Each Party hereby expressly waives any requirement that the other Party exhausts any right, power or remedy, or proceed against an Affiliate, for any obligation or performance hereunder prior to proceeding directly against such Party. Wherever in this Agreement the Parties delegate responsibility to Affiliates, the Parties agree that such entities may not make decisions inconsistent with this Agreement, amend the terms of this Agreement or act contrary to its terms in any way.</w:t>
      </w:r>
    </w:p>
    <w:p>
      <w:pPr>
        <w:spacing w:after="0" w:line="152"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b w:val="1"/>
          <w:bCs w:val="1"/>
          <w:color w:val="auto"/>
        </w:rPr>
        <w:t>15.15      Expenses</w:t>
      </w:r>
      <w:r>
        <w:rPr>
          <w:rFonts w:ascii="Times New Roman" w:cs="Times New Roman" w:eastAsia="Times New Roman" w:hAnsi="Times New Roman"/>
          <w:sz w:val="15"/>
          <w:szCs w:val="15"/>
          <w:color w:val="auto"/>
        </w:rPr>
        <w:t>. Each of the Parties shall pay the fees and expenses of its respective counsel and other experts and all other expenses, except as otherwise expressly set forth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herein, incurred by such Party incident to the negotiation, preparation, execution, delivery and performance of this Agreement.</w:t>
      </w:r>
    </w:p>
    <w:p>
      <w:pPr>
        <w:spacing w:after="0" w:line="136" w:lineRule="exact"/>
        <w:rPr>
          <w:sz w:val="20"/>
          <w:szCs w:val="20"/>
          <w:color w:val="auto"/>
        </w:rPr>
      </w:pPr>
    </w:p>
    <w:p>
      <w:pPr>
        <w:jc w:val="both"/>
        <w:ind w:firstLine="1055"/>
        <w:spacing w:after="0" w:line="258" w:lineRule="auto"/>
        <w:rPr>
          <w:sz w:val="20"/>
          <w:szCs w:val="20"/>
          <w:color w:val="auto"/>
        </w:rPr>
      </w:pPr>
      <w:r>
        <w:rPr>
          <w:rFonts w:ascii="Times New Roman" w:cs="Times New Roman" w:eastAsia="Times New Roman" w:hAnsi="Times New Roman"/>
          <w:sz w:val="15"/>
          <w:szCs w:val="15"/>
          <w:b w:val="1"/>
          <w:bCs w:val="1"/>
          <w:color w:val="auto"/>
        </w:rPr>
        <w:t>15.16      Counterparts</w:t>
      </w:r>
      <w:r>
        <w:rPr>
          <w:rFonts w:ascii="Times New Roman" w:cs="Times New Roman" w:eastAsia="Times New Roman" w:hAnsi="Times New Roman"/>
          <w:sz w:val="15"/>
          <w:szCs w:val="15"/>
          <w:color w:val="auto"/>
        </w:rPr>
        <w:t>. This Agreement may be executed in one or more counterpart copies, each of which shall be deemed an original and all of which taken together shall be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deemed to constitute one and the same instrument. An executed signature page of this Agreement delivered by e-mail transmission shall be as effective as an original executed signature page. It shall not be necessary in making proof of this Agreement or any counterpart hereof to produce or account for any of the other counterparts.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Follows</w:t>
      </w:r>
      <w:r>
        <w:rPr>
          <w:rFonts w:ascii="Times New Roman" w:cs="Times New Roman" w:eastAsia="Times New Roman" w:hAnsi="Times New Roman"/>
          <w:sz w:val="15"/>
          <w:szCs w:val="15"/>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94" w:name="page495"/>
    <w:bookmarkEnd w:id="494"/>
    <w:p>
      <w:pPr>
        <w:ind w:left="540"/>
        <w:spacing w:after="0"/>
        <w:rPr>
          <w:sz w:val="20"/>
          <w:szCs w:val="20"/>
          <w:color w:val="auto"/>
        </w:rPr>
      </w:pPr>
      <w:r>
        <w:rPr>
          <w:rFonts w:ascii="Times New Roman" w:cs="Times New Roman" w:eastAsia="Times New Roman" w:hAnsi="Times New Roman"/>
          <w:sz w:val="15"/>
          <w:szCs w:val="15"/>
          <w:color w:val="auto"/>
        </w:rPr>
        <w:t>IN WITNESS WHEREOF, the Parties hereto have executed or caused its duly authorized representative to execute this Agreement on the Effective Date.</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u w:val="single" w:color="auto"/>
          <w:color w:val="auto"/>
        </w:rPr>
        <w:t>Zenas</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540" w:type="dxa"/>
            <w:vAlign w:val="bottom"/>
          </w:tcPr>
          <w:p>
            <w:pPr>
              <w:ind w:left="4980"/>
              <w:spacing w:after="0"/>
              <w:rPr>
                <w:sz w:val="20"/>
                <w:szCs w:val="20"/>
                <w:color w:val="auto"/>
              </w:rPr>
            </w:pPr>
            <w:r>
              <w:rPr>
                <w:rFonts w:ascii="Times New Roman" w:cs="Times New Roman" w:eastAsia="Times New Roman" w:hAnsi="Times New Roman"/>
                <w:sz w:val="15"/>
                <w:szCs w:val="15"/>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Joseph Farmer</w:t>
            </w:r>
          </w:p>
        </w:tc>
      </w:tr>
      <w:tr>
        <w:trPr>
          <w:trHeight w:val="152"/>
        </w:trPr>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540" w:type="dxa"/>
            <w:vAlign w:val="bottom"/>
          </w:tcPr>
          <w:p>
            <w:pPr>
              <w:ind w:left="4980"/>
              <w:spacing w:after="0" w:line="152" w:lineRule="exact"/>
              <w:rPr>
                <w:sz w:val="20"/>
                <w:szCs w:val="20"/>
                <w:color w:val="auto"/>
              </w:rPr>
            </w:pPr>
            <w:r>
              <w:rPr>
                <w:rFonts w:ascii="Times New Roman" w:cs="Times New Roman" w:eastAsia="Times New Roman" w:hAnsi="Times New Roman"/>
                <w:sz w:val="15"/>
                <w:szCs w:val="15"/>
                <w:color w:val="auto"/>
              </w:rPr>
              <w:t>Name:</w:t>
            </w:r>
          </w:p>
        </w:tc>
        <w:tc>
          <w:tcPr>
            <w:tcW w:w="506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Joseph Farmer</w:t>
            </w:r>
          </w:p>
        </w:tc>
      </w:tr>
      <w:tr>
        <w:trPr>
          <w:trHeight w:val="190"/>
        </w:trPr>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540" w:type="dxa"/>
            <w:vAlign w:val="bottom"/>
          </w:tcPr>
          <w:p>
            <w:pPr>
              <w:ind w:left="4980"/>
              <w:spacing w:after="0"/>
              <w:rPr>
                <w:sz w:val="20"/>
                <w:szCs w:val="20"/>
                <w:color w:val="auto"/>
              </w:rPr>
            </w:pPr>
            <w:r>
              <w:rPr>
                <w:rFonts w:ascii="Times New Roman" w:cs="Times New Roman" w:eastAsia="Times New Roman" w:hAnsi="Times New Roman"/>
                <w:sz w:val="15"/>
                <w:szCs w:val="15"/>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President and Chief Operating Officer</w:t>
            </w:r>
          </w:p>
        </w:tc>
      </w:tr>
      <w:tr>
        <w:trPr>
          <w:trHeight w:val="319"/>
        </w:trPr>
        <w:tc>
          <w:tcPr>
            <w:tcW w:w="16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Licensee:</w:t>
            </w:r>
          </w:p>
        </w:tc>
        <w:tc>
          <w:tcPr>
            <w:tcW w:w="5060" w:type="dxa"/>
            <w:vAlign w:val="bottom"/>
          </w:tcPr>
          <w:p>
            <w:pPr>
              <w:spacing w:after="0"/>
              <w:rPr>
                <w:sz w:val="24"/>
                <w:szCs w:val="24"/>
                <w:color w:val="auto"/>
              </w:rPr>
            </w:pPr>
          </w:p>
        </w:tc>
      </w:tr>
      <w:tr>
        <w:trPr>
          <w:trHeight w:val="365"/>
        </w:trPr>
        <w:tc>
          <w:tcPr>
            <w:tcW w:w="1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600" w:type="dxa"/>
            <w:vAlign w:val="bottom"/>
            <w:gridSpan w:val="2"/>
          </w:tcPr>
          <w:p>
            <w:pPr>
              <w:ind w:left="4980"/>
              <w:spacing w:after="0"/>
              <w:rPr>
                <w:sz w:val="20"/>
                <w:szCs w:val="20"/>
                <w:color w:val="auto"/>
              </w:rPr>
            </w:pPr>
            <w:r>
              <w:rPr>
                <w:rFonts w:ascii="Times New Roman" w:cs="Times New Roman" w:eastAsia="Times New Roman" w:hAnsi="Times New Roman"/>
                <w:sz w:val="15"/>
                <w:szCs w:val="15"/>
                <w:b w:val="1"/>
                <w:bCs w:val="1"/>
                <w:color w:val="auto"/>
              </w:rPr>
              <w:t>Bristol-Myers Squibb Company</w:t>
            </w:r>
          </w:p>
        </w:tc>
      </w:tr>
      <w:tr>
        <w:trPr>
          <w:trHeight w:val="352"/>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40" w:type="dxa"/>
            <w:vAlign w:val="bottom"/>
          </w:tcPr>
          <w:p>
            <w:pPr>
              <w:ind w:left="4980"/>
              <w:spacing w:after="0"/>
              <w:rPr>
                <w:sz w:val="20"/>
                <w:szCs w:val="20"/>
                <w:color w:val="auto"/>
              </w:rPr>
            </w:pPr>
            <w:r>
              <w:rPr>
                <w:rFonts w:ascii="Times New Roman" w:cs="Times New Roman" w:eastAsia="Times New Roman" w:hAnsi="Times New Roman"/>
                <w:sz w:val="15"/>
                <w:szCs w:val="15"/>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r>
      <w:tr>
        <w:trPr>
          <w:trHeight w:val="152"/>
        </w:trPr>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540" w:type="dxa"/>
            <w:vAlign w:val="bottom"/>
          </w:tcPr>
          <w:p>
            <w:pPr>
              <w:ind w:left="4980"/>
              <w:spacing w:after="0" w:line="152" w:lineRule="exact"/>
              <w:rPr>
                <w:sz w:val="20"/>
                <w:szCs w:val="20"/>
                <w:color w:val="auto"/>
              </w:rPr>
            </w:pPr>
            <w:r>
              <w:rPr>
                <w:rFonts w:ascii="Times New Roman" w:cs="Times New Roman" w:eastAsia="Times New Roman" w:hAnsi="Times New Roman"/>
                <w:sz w:val="15"/>
                <w:szCs w:val="15"/>
                <w:color w:val="auto"/>
              </w:rPr>
              <w:t>Name:</w:t>
            </w:r>
          </w:p>
        </w:tc>
        <w:tc>
          <w:tcPr>
            <w:tcW w:w="506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w:t>
            </w:r>
          </w:p>
        </w:tc>
      </w:tr>
      <w:tr>
        <w:trPr>
          <w:trHeight w:val="190"/>
        </w:trPr>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540" w:type="dxa"/>
            <w:vAlign w:val="bottom"/>
          </w:tcPr>
          <w:p>
            <w:pPr>
              <w:ind w:left="4980"/>
              <w:spacing w:after="0"/>
              <w:rPr>
                <w:sz w:val="20"/>
                <w:szCs w:val="20"/>
                <w:color w:val="auto"/>
              </w:rPr>
            </w:pPr>
            <w:r>
              <w:rPr>
                <w:rFonts w:ascii="Times New Roman" w:cs="Times New Roman" w:eastAsia="Times New Roman" w:hAnsi="Times New Roman"/>
                <w:sz w:val="15"/>
                <w:szCs w:val="15"/>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549"/>
        </w:trPr>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63" w:right="319" w:bottom="1440" w:gutter="0" w:footer="0" w:header="0"/>
        </w:sectPr>
      </w:pPr>
    </w:p>
    <w:bookmarkStart w:id="495" w:name="page496"/>
    <w:bookmarkEnd w:id="4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Schedules</w:t>
            </w:r>
          </w:p>
        </w:tc>
        <w:tc>
          <w:tcPr>
            <w:tcW w:w="9800" w:type="dxa"/>
            <w:vAlign w:val="bottom"/>
          </w:tcPr>
          <w:p>
            <w:pPr>
              <w:spacing w:after="0"/>
              <w:rPr>
                <w:sz w:val="15"/>
                <w:szCs w:val="15"/>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r>
        <w:trPr>
          <w:trHeight w:val="350"/>
        </w:trPr>
        <w:tc>
          <w:tcPr>
            <w:tcW w:w="1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Schedule 1.21</w:t>
            </w:r>
          </w:p>
        </w:tc>
        <w:tc>
          <w:tcPr>
            <w:tcW w:w="98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Obexelimab</w:t>
            </w:r>
          </w:p>
        </w:tc>
      </w:tr>
      <w:tr>
        <w:trPr>
          <w:trHeight w:val="176"/>
        </w:trPr>
        <w:tc>
          <w:tcPr>
            <w:tcW w:w="1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Schedule 1.81</w:t>
            </w:r>
          </w:p>
        </w:tc>
        <w:tc>
          <w:tcPr>
            <w:tcW w:w="98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Specified Joint Patent Rights Biomarkers</w:t>
            </w:r>
          </w:p>
        </w:tc>
      </w:tr>
      <w:tr>
        <w:trPr>
          <w:trHeight w:val="176"/>
        </w:trPr>
        <w:tc>
          <w:tcPr>
            <w:tcW w:w="1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Schedule 1.95</w:t>
            </w:r>
          </w:p>
        </w:tc>
        <w:tc>
          <w:tcPr>
            <w:tcW w:w="98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Zenas Patent Rights</w:t>
            </w:r>
          </w:p>
        </w:tc>
      </w:tr>
      <w:tr>
        <w:trPr>
          <w:trHeight w:val="176"/>
        </w:trPr>
        <w:tc>
          <w:tcPr>
            <w:tcW w:w="1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Schedule 2.4</w:t>
            </w:r>
          </w:p>
        </w:tc>
        <w:tc>
          <w:tcPr>
            <w:tcW w:w="98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Upstream Licenses</w:t>
            </w:r>
          </w:p>
        </w:tc>
      </w:tr>
      <w:tr>
        <w:trPr>
          <w:trHeight w:val="190"/>
        </w:trPr>
        <w:tc>
          <w:tcPr>
            <w:tcW w:w="1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Schedule 4.4.2(g)</w:t>
            </w:r>
          </w:p>
        </w:tc>
        <w:tc>
          <w:tcPr>
            <w:tcW w:w="98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Joint Development Plan and Budget [***]</w:t>
            </w:r>
          </w:p>
        </w:tc>
      </w:tr>
      <w:tr>
        <w:trPr>
          <w:trHeight w:val="549"/>
        </w:trPr>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47" w:right="319" w:bottom="1440" w:gutter="0" w:footer="0" w:header="0"/>
        </w:sectPr>
      </w:pPr>
    </w:p>
    <w:bookmarkStart w:id="496" w:name="page497"/>
    <w:bookmarkEnd w:id="496"/>
    <w:p>
      <w:pPr>
        <w:jc w:val="center"/>
        <w:spacing w:after="0"/>
        <w:rPr>
          <w:sz w:val="20"/>
          <w:szCs w:val="20"/>
          <w:color w:val="auto"/>
        </w:rPr>
      </w:pPr>
      <w:r>
        <w:rPr>
          <w:rFonts w:ascii="Times New Roman" w:cs="Times New Roman" w:eastAsia="Times New Roman" w:hAnsi="Times New Roman"/>
          <w:sz w:val="15"/>
          <w:szCs w:val="15"/>
          <w:b w:val="1"/>
          <w:bCs w:val="1"/>
          <w:color w:val="auto"/>
        </w:rPr>
        <w:t>Schedule 1.21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Obexelimab</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Obexelimab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Schedule 1.21 - 1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97" w:name="page498"/>
    <w:bookmarkEnd w:id="497"/>
    <w:p>
      <w:pPr>
        <w:jc w:val="center"/>
        <w:spacing w:after="0"/>
        <w:rPr>
          <w:sz w:val="20"/>
          <w:szCs w:val="20"/>
          <w:color w:val="auto"/>
        </w:rPr>
      </w:pPr>
      <w:r>
        <w:rPr>
          <w:rFonts w:ascii="Times New Roman" w:cs="Times New Roman" w:eastAsia="Times New Roman" w:hAnsi="Times New Roman"/>
          <w:sz w:val="15"/>
          <w:szCs w:val="15"/>
          <w:b w:val="1"/>
          <w:bCs w:val="1"/>
          <w:color w:val="auto"/>
        </w:rPr>
        <w:t>Schedule 1.81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Specified Joint Patent Rights Biomarkers</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the Specified Joint Patent Rights Biomarkers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Schedule 1.81 - 1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98" w:name="page499"/>
    <w:bookmarkEnd w:id="498"/>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Schedule 1.95</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Zenas Patent Rights</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the Zenas Patent Rights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Schedule 1.95 - 1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99" w:name="page500"/>
    <w:bookmarkEnd w:id="499"/>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Schedule 2.4.1</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Upstream Licenses</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the Upstream Licenses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Schedule 2.4.1 - 1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00" w:name="page501"/>
    <w:bookmarkEnd w:id="500"/>
    <w:p>
      <w:pPr>
        <w:jc w:val="center"/>
        <w:spacing w:after="0"/>
        <w:rPr>
          <w:sz w:val="20"/>
          <w:szCs w:val="20"/>
          <w:color w:val="auto"/>
        </w:rPr>
      </w:pPr>
      <w:r>
        <w:rPr>
          <w:rFonts w:ascii="Times New Roman" w:cs="Times New Roman" w:eastAsia="Times New Roman" w:hAnsi="Times New Roman"/>
          <w:sz w:val="15"/>
          <w:szCs w:val="15"/>
          <w:b w:val="1"/>
          <w:bCs w:val="1"/>
          <w:color w:val="auto"/>
        </w:rPr>
        <w:t>Schedule 4.4.2(g)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Joint Development Plan and Budget for the </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[Pursuant to Regulation S-K, Item 601(a)(5), this Schedule setting forth the Joint Development Plan and Budget for the [***] has not been filed. The Registrant agrees to furnish supplementally a copy of any omitted schedules to the Securities and Exchange Commission upon request; provided, however, that the Registrant may request confidential treatment of omitted items.]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Schedule 4.4.2(g)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01" w:name="page502"/>
    <w:bookmarkEnd w:id="501"/>
    <w:p>
      <w:pPr>
        <w:jc w:val="right"/>
        <w:spacing w:after="0"/>
        <w:rPr>
          <w:sz w:val="20"/>
          <w:szCs w:val="20"/>
          <w:color w:val="auto"/>
        </w:rPr>
      </w:pPr>
      <w:r>
        <w:rPr>
          <w:rFonts w:ascii="Times New Roman" w:cs="Times New Roman" w:eastAsia="Times New Roman" w:hAnsi="Times New Roman"/>
          <w:sz w:val="15"/>
          <w:szCs w:val="15"/>
          <w:b w:val="1"/>
          <w:bCs w:val="1"/>
          <w:color w:val="auto"/>
        </w:rPr>
        <w:t>Exhibit 10.7</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2020 EQUITY INCENTIVE PLAN</w:t>
      </w:r>
    </w:p>
    <w:p>
      <w:pPr>
        <w:spacing w:after="0" w:line="162" w:lineRule="exact"/>
        <w:rPr>
          <w:sz w:val="20"/>
          <w:szCs w:val="20"/>
          <w:color w:val="auto"/>
        </w:rPr>
      </w:pPr>
    </w:p>
    <w:p>
      <w:pPr>
        <w:ind w:left="560" w:hanging="552"/>
        <w:spacing w:after="0"/>
        <w:tabs>
          <w:tab w:leader="none" w:pos="560" w:val="left"/>
        </w:tabs>
        <w:numPr>
          <w:ilvl w:val="0"/>
          <w:numId w:val="26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DEFINED TERMS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which is incorporated by reference, defines certain terms used in the Plan and includes certain operational rules related to those terms.</w:t>
      </w:r>
    </w:p>
    <w:p>
      <w:pPr>
        <w:spacing w:after="0" w:line="177" w:lineRule="exact"/>
        <w:rPr>
          <w:sz w:val="20"/>
          <w:szCs w:val="20"/>
          <w:color w:val="auto"/>
        </w:rPr>
      </w:pPr>
    </w:p>
    <w:p>
      <w:pPr>
        <w:ind w:left="560" w:hanging="552"/>
        <w:spacing w:after="0"/>
        <w:tabs>
          <w:tab w:leader="none" w:pos="560" w:val="left"/>
        </w:tabs>
        <w:numPr>
          <w:ilvl w:val="0"/>
          <w:numId w:val="26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PURPOSE</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Plan has been established to advance the interests of the Company by providing for the grant to Participants of Awards consisting of, or based on, Shares.</w:t>
      </w:r>
    </w:p>
    <w:p>
      <w:pPr>
        <w:spacing w:after="0" w:line="177" w:lineRule="exact"/>
        <w:rPr>
          <w:sz w:val="20"/>
          <w:szCs w:val="20"/>
          <w:color w:val="auto"/>
        </w:rPr>
      </w:pPr>
    </w:p>
    <w:p>
      <w:pPr>
        <w:ind w:left="560" w:hanging="552"/>
        <w:spacing w:after="0"/>
        <w:tabs>
          <w:tab w:leader="none" w:pos="560" w:val="left"/>
        </w:tabs>
        <w:numPr>
          <w:ilvl w:val="0"/>
          <w:numId w:val="2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ADMINISTRATION</w:t>
      </w:r>
    </w:p>
    <w:p>
      <w:pPr>
        <w:spacing w:after="0" w:line="181" w:lineRule="exact"/>
        <w:rPr>
          <w:sz w:val="20"/>
          <w:szCs w:val="20"/>
          <w:color w:val="auto"/>
        </w:rPr>
      </w:pPr>
    </w:p>
    <w:p>
      <w:pPr>
        <w:jc w:val="both"/>
        <w:ind w:firstLine="527"/>
        <w:spacing w:after="0" w:line="249" w:lineRule="auto"/>
        <w:rPr>
          <w:sz w:val="20"/>
          <w:szCs w:val="20"/>
          <w:color w:val="auto"/>
        </w:rPr>
      </w:pPr>
      <w:r>
        <w:rPr>
          <w:rFonts w:ascii="Times New Roman" w:cs="Times New Roman" w:eastAsia="Times New Roman" w:hAnsi="Times New Roman"/>
          <w:sz w:val="15"/>
          <w:szCs w:val="15"/>
          <w:color w:val="auto"/>
        </w:rPr>
        <w:t>The Plan will be administered by the Administrator. The Administrator has discretionary authority, subject only to the express provisions of the Plan, to interpret the Plan; to determine eligibility for and grant Awards; to determine the exercise price, base value from which appreciation is measured, or purchase price, if any, applicable to an Award, to determine, modify, accelerate or waive the terms and conditions of an Award; to determine the form of settlement of Awards (whether in cash, Shares, other Awards or other property); to prescribe forms, rules and procedures relating to the Plan and Awards; and to otherwise do all things necessary or desirable to carry out the purposes of the Plan or any Award. The Administrator also has discretionary authority to apply Performance Criteria to any Award, including as a condition to vesting. Determinations of the Administrator made with respect to the Plan or any Award are conclusive and bind all persons.</w:t>
      </w:r>
    </w:p>
    <w:p>
      <w:pPr>
        <w:spacing w:after="0" w:line="155" w:lineRule="exact"/>
        <w:rPr>
          <w:sz w:val="20"/>
          <w:szCs w:val="20"/>
          <w:color w:val="auto"/>
        </w:rPr>
      </w:pPr>
    </w:p>
    <w:p>
      <w:pPr>
        <w:ind w:left="560" w:hanging="552"/>
        <w:spacing w:after="0"/>
        <w:tabs>
          <w:tab w:leader="none" w:pos="560" w:val="left"/>
        </w:tabs>
        <w:numPr>
          <w:ilvl w:val="0"/>
          <w:numId w:val="2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LIMITS ON AWARDS UNDER THE PLAN</w:t>
      </w:r>
    </w:p>
    <w:p>
      <w:pPr>
        <w:spacing w:after="0" w:line="179" w:lineRule="exact"/>
        <w:rPr>
          <w:rFonts w:ascii="Times New Roman" w:cs="Times New Roman" w:eastAsia="Times New Roman" w:hAnsi="Times New Roman"/>
          <w:sz w:val="15"/>
          <w:szCs w:val="15"/>
          <w:b w:val="1"/>
          <w:bCs w:val="1"/>
          <w:color w:val="auto"/>
        </w:rPr>
      </w:pPr>
    </w:p>
    <w:p>
      <w:pPr>
        <w:jc w:val="both"/>
        <w:ind w:firstLine="535"/>
        <w:spacing w:after="0" w:line="248" w:lineRule="auto"/>
        <w:tabs>
          <w:tab w:leader="none" w:pos="1137" w:val="left"/>
        </w:tabs>
        <w:numPr>
          <w:ilvl w:val="1"/>
          <w:numId w:val="2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Number of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Subject to adjustment as provided in Section 7(b) below, the number of Shares that may be issued in satisfaction of Awards under the Plan is 20,782,224</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(the “</w:t>
      </w:r>
      <w:r>
        <w:rPr>
          <w:rFonts w:ascii="Times New Roman" w:cs="Times New Roman" w:eastAsia="Times New Roman" w:hAnsi="Times New Roman"/>
          <w:sz w:val="15"/>
          <w:szCs w:val="15"/>
          <w:b w:val="1"/>
          <w:bCs w:val="1"/>
          <w:color w:val="auto"/>
        </w:rPr>
        <w:t>Share Pool</w:t>
      </w:r>
      <w:r>
        <w:rPr>
          <w:rFonts w:ascii="Times New Roman" w:cs="Times New Roman" w:eastAsia="Times New Roman" w:hAnsi="Times New Roman"/>
          <w:sz w:val="15"/>
          <w:szCs w:val="15"/>
          <w:color w:val="auto"/>
        </w:rPr>
        <w:t>”). Up to 20,782,224 of the Shares from the Share Pool may be issued in satisfaction of ISOs, but nothing in this Section 4(a) will be construed as requiring that any, or any fixed number of, ISOs be granted under the Plan. For purposes of this Section 4(a), the number of Shares issued in satisfaction of Awards will be determined (i) by reducing the Share Pool by the number of Shares withheld by the Company in payment of the exercise price or purchase price of an Award or in satisfaction of tax withholding requirements with respect to an Award, (ii) by reducing the Share Pool by the full number of shares covered by a SAR any portion of which is settled in Shares (and not only the number of Shares delivered in settlement), and (iii) by increasing the Share Pool by any Shares underlying any portion of an Award that is settled in cash or that expires, becomes unexercisable, terminates or is forfeited to or repurchased by the Company without the issuance (or retention, in the case of Restricted Shares or Unrestricted Shares) of Shares. For the avoidance of doubt, the Share Pool will not be increased by any Shares delivered under the Plan that are subsequently repurchased using proceeds directly attributable to Share Option exercises. The limits set forth in this Section 4(a) will be construed to comply with the applicable requirements of Section 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57720" cy="698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02" w:name="page503"/>
    <w:bookmarkEnd w:id="502"/>
    <w:p>
      <w:pPr>
        <w:jc w:val="both"/>
        <w:ind w:firstLine="535"/>
        <w:spacing w:after="0" w:line="250" w:lineRule="auto"/>
        <w:tabs>
          <w:tab w:leader="none" w:pos="1277" w:val="left"/>
        </w:tabs>
        <w:numPr>
          <w:ilvl w:val="1"/>
          <w:numId w:val="2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Substitute Awards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Administrator may grant Substitute Awards under the Plan. To the extent consistent with the requirements of Section 422 and the regulations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thereunder and other Applicable Laws, Shares issued in respect of Substitute Awards will be in addition to and will not reduce the Share Pool. Notwithstanding the foregoing or anything in Section 4(a) to the contrary, if any Substitute Award is settled in cash or expires, becomes unexercisable, terminates or is forfeited to or repurchased by the Company without the issuance (or retention, in the case of Restricted Shares or Unrestricted Shares) of Shares, the Shares previously subject to such Award will not increase the Share Pool or otherwise be available for future issuance under the Plan. The Administrator will determine the extent to which the terms and conditions of the Plan apply to Substitute Awards, if at all,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Substitute Awards will not be subject to the limits described in Section 4(d) below.</w:t>
      </w:r>
    </w:p>
    <w:p>
      <w:pPr>
        <w:spacing w:after="0" w:line="152" w:lineRule="exact"/>
        <w:rPr>
          <w:rFonts w:ascii="Times New Roman" w:cs="Times New Roman" w:eastAsia="Times New Roman" w:hAnsi="Times New Roman"/>
          <w:sz w:val="15"/>
          <w:szCs w:val="15"/>
          <w:b w:val="1"/>
          <w:bCs w:val="1"/>
          <w:color w:val="auto"/>
        </w:rPr>
      </w:pPr>
    </w:p>
    <w:p>
      <w:pPr>
        <w:ind w:firstLine="535"/>
        <w:spacing w:after="0" w:line="272" w:lineRule="auto"/>
        <w:tabs>
          <w:tab w:leader="none" w:pos="1316" w:val="left"/>
        </w:tabs>
        <w:numPr>
          <w:ilvl w:val="1"/>
          <w:numId w:val="2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Type of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issued by the Company under the Plan may be authorized but unissued Shares, treasury Shares or previously issued Shares acquired by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as determined in the discretion of the Administrator. No fractional Shares will be issued under the Plan.</w:t>
      </w:r>
    </w:p>
    <w:p>
      <w:pPr>
        <w:spacing w:after="0" w:line="136" w:lineRule="exact"/>
        <w:rPr>
          <w:rFonts w:ascii="Times New Roman" w:cs="Times New Roman" w:eastAsia="Times New Roman" w:hAnsi="Times New Roman"/>
          <w:sz w:val="15"/>
          <w:szCs w:val="15"/>
          <w:b w:val="1"/>
          <w:bCs w:val="1"/>
          <w:color w:val="auto"/>
        </w:rPr>
      </w:pPr>
    </w:p>
    <w:p>
      <w:pPr>
        <w:ind w:left="560" w:hanging="552"/>
        <w:spacing w:after="0"/>
        <w:tabs>
          <w:tab w:leader="none" w:pos="560" w:val="left"/>
        </w:tabs>
        <w:numPr>
          <w:ilvl w:val="0"/>
          <w:numId w:val="2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ELIGIBILITY AND PARTICIPATION</w:t>
      </w:r>
    </w:p>
    <w:p>
      <w:pPr>
        <w:spacing w:after="0" w:line="181" w:lineRule="exact"/>
        <w:rPr>
          <w:sz w:val="20"/>
          <w:szCs w:val="20"/>
          <w:color w:val="auto"/>
        </w:rPr>
      </w:pPr>
    </w:p>
    <w:p>
      <w:pPr>
        <w:jc w:val="both"/>
        <w:ind w:firstLine="527"/>
        <w:spacing w:after="0" w:line="250" w:lineRule="auto"/>
        <w:rPr>
          <w:sz w:val="20"/>
          <w:szCs w:val="20"/>
          <w:color w:val="auto"/>
        </w:rPr>
      </w:pPr>
      <w:r>
        <w:rPr>
          <w:rFonts w:ascii="Times New Roman" w:cs="Times New Roman" w:eastAsia="Times New Roman" w:hAnsi="Times New Roman"/>
          <w:sz w:val="15"/>
          <w:szCs w:val="15"/>
          <w:color w:val="auto"/>
        </w:rPr>
        <w:t>The Administrator will select Participants from among Employees and Directors of, and consultants and advisors to, the Company and its subsidiaries. Eligibility for ISOs is limited to individuals described in the first sentence of this Section 5 who are employees of the Company or of a “parent corporation” or “subsidiary corporation” of the Company as those terms are defined in Section 424 of the Code. Eligibility for Share Options, other than ISOs, and SARs is limited to individuals described in the first sentence of this Section 5 who are providing direct services on the date of grant of the Award to the Company or to a subsidiary of the Company that would be described in the first sentence of Section 1.409A-1(b)(5)(iii)(E) of the Treasury Regulations.</w:t>
      </w:r>
    </w:p>
    <w:p>
      <w:pPr>
        <w:spacing w:after="0" w:line="154" w:lineRule="exact"/>
        <w:rPr>
          <w:sz w:val="20"/>
          <w:szCs w:val="20"/>
          <w:color w:val="auto"/>
        </w:rPr>
      </w:pPr>
    </w:p>
    <w:p>
      <w:pPr>
        <w:ind w:left="560" w:hanging="552"/>
        <w:spacing w:after="0"/>
        <w:tabs>
          <w:tab w:leader="none" w:pos="560" w:val="left"/>
        </w:tabs>
        <w:numPr>
          <w:ilvl w:val="0"/>
          <w:numId w:val="2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RULES APPLICABLE TO AWARDS</w:t>
      </w:r>
    </w:p>
    <w:p>
      <w:pPr>
        <w:spacing w:after="0" w:line="179" w:lineRule="exact"/>
        <w:rPr>
          <w:rFonts w:ascii="Times New Roman" w:cs="Times New Roman" w:eastAsia="Times New Roman" w:hAnsi="Times New Roman"/>
          <w:sz w:val="15"/>
          <w:szCs w:val="15"/>
          <w:b w:val="1"/>
          <w:bCs w:val="1"/>
          <w:color w:val="auto"/>
        </w:rPr>
      </w:pPr>
    </w:p>
    <w:p>
      <w:pPr>
        <w:ind w:left="1140" w:hanging="605"/>
        <w:spacing w:after="0"/>
        <w:tabs>
          <w:tab w:leader="none" w:pos="1140" w:val="left"/>
        </w:tabs>
        <w:numPr>
          <w:ilvl w:val="1"/>
          <w:numId w:val="2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All Awards</w:t>
      </w:r>
      <w:r>
        <w:rPr>
          <w:rFonts w:ascii="Times New Roman" w:cs="Times New Roman" w:eastAsia="Times New Roman" w:hAnsi="Times New Roman"/>
          <w:sz w:val="15"/>
          <w:szCs w:val="15"/>
          <w:b w:val="1"/>
          <w:bCs w:val="1"/>
          <w:color w:val="auto"/>
        </w:rPr>
        <w:t>.</w:t>
      </w:r>
    </w:p>
    <w:p>
      <w:pPr>
        <w:spacing w:after="0" w:line="179" w:lineRule="exact"/>
        <w:rPr>
          <w:rFonts w:ascii="Times New Roman" w:cs="Times New Roman" w:eastAsia="Times New Roman" w:hAnsi="Times New Roman"/>
          <w:sz w:val="15"/>
          <w:szCs w:val="15"/>
          <w:b w:val="1"/>
          <w:bCs w:val="1"/>
          <w:color w:val="auto"/>
        </w:rPr>
      </w:pPr>
    </w:p>
    <w:p>
      <w:pPr>
        <w:jc w:val="both"/>
        <w:ind w:firstLine="1063"/>
        <w:spacing w:after="0" w:line="253" w:lineRule="auto"/>
        <w:tabs>
          <w:tab w:leader="none" w:pos="1676" w:val="left"/>
        </w:tabs>
        <w:numPr>
          <w:ilvl w:val="2"/>
          <w:numId w:val="2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Award Provisions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Administrator will determine the terms and conditions of all Awards, subject to the limitations provided herein. No term of an Award shall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provide for automatic “reload” grants of additional Awards upon the exercise of a Share Option or SAR. By accepting (or, under such rules as the Administrator may prescribe, being deemed to have accepted) an Award, the Participant will be deemed to have agreed to the terms and conditions of the Award and the Plan. Notwithstanding any provision of the Plan to the contrary, Substitute Awards may contain terms and conditions that are inconsistent with the terms and conditions specified herein, as determined by the Administrator.</w:t>
      </w:r>
    </w:p>
    <w:p>
      <w:pPr>
        <w:spacing w:after="0" w:line="151" w:lineRule="exact"/>
        <w:rPr>
          <w:rFonts w:ascii="Times New Roman" w:cs="Times New Roman" w:eastAsia="Times New Roman" w:hAnsi="Times New Roman"/>
          <w:sz w:val="15"/>
          <w:szCs w:val="15"/>
          <w:b w:val="1"/>
          <w:bCs w:val="1"/>
          <w:color w:val="auto"/>
        </w:rPr>
      </w:pPr>
    </w:p>
    <w:p>
      <w:pPr>
        <w:ind w:left="1740" w:hanging="677"/>
        <w:spacing w:after="0"/>
        <w:tabs>
          <w:tab w:leader="none" w:pos="1740" w:val="left"/>
        </w:tabs>
        <w:numPr>
          <w:ilvl w:val="2"/>
          <w:numId w:val="2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Term of Plan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 Awards may be made after ten years from the Date of Adoption, but previously granted Awards may continue beyond that date in accordance</w:t>
      </w:r>
    </w:p>
    <w:p>
      <w:pPr>
        <w:spacing w:after="0" w:line="31"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5"/>
          <w:szCs w:val="15"/>
          <w:color w:val="auto"/>
        </w:rPr>
        <w:t>with their terms.</w:t>
      </w:r>
    </w:p>
    <w:p>
      <w:pPr>
        <w:spacing w:after="0" w:line="162" w:lineRule="exact"/>
        <w:rPr>
          <w:rFonts w:ascii="Times New Roman" w:cs="Times New Roman" w:eastAsia="Times New Roman" w:hAnsi="Times New Roman"/>
          <w:sz w:val="14"/>
          <w:szCs w:val="14"/>
          <w:b w:val="1"/>
          <w:bCs w:val="1"/>
          <w:color w:val="auto"/>
        </w:rPr>
      </w:pPr>
    </w:p>
    <w:p>
      <w:pPr>
        <w:jc w:val="both"/>
        <w:ind w:firstLine="1063"/>
        <w:spacing w:after="0" w:line="253" w:lineRule="auto"/>
        <w:tabs>
          <w:tab w:leader="none" w:pos="1753" w:val="left"/>
        </w:tabs>
        <w:numPr>
          <w:ilvl w:val="2"/>
          <w:numId w:val="2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Transferability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Neither ISOs nor, except as the Administrator otherwise expressly provides in accordance with the third sentence of this Section 6(a)(3),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Awards may be transferred other than by will or by the laws of descent and distribution. During a Participant’s lifetime, ISOs and, except as the Administrator otherwise expressly provides in accordance with the third sentence of this Section 6(a)(3), SARs and NSOs may be exercised only by the Participant. The Administrator may permit the gratuitous transfer (</w:t>
      </w:r>
      <w:r>
        <w:rPr>
          <w:rFonts w:ascii="Times New Roman" w:cs="Times New Roman" w:eastAsia="Times New Roman" w:hAnsi="Times New Roman"/>
          <w:sz w:val="15"/>
          <w:szCs w:val="15"/>
          <w:u w:val="single" w:color="auto"/>
          <w:color w:val="auto"/>
        </w:rPr>
        <w:t>i.e.</w:t>
      </w:r>
      <w:r>
        <w:rPr>
          <w:rFonts w:ascii="Times New Roman" w:cs="Times New Roman" w:eastAsia="Times New Roman" w:hAnsi="Times New Roman"/>
          <w:sz w:val="15"/>
          <w:szCs w:val="15"/>
          <w:color w:val="auto"/>
        </w:rPr>
        <w:t>, transfer not for value) of Awards other than ISOs, subject to applicable securities and other laws and such terms and conditions as the Administrator may determine.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03" w:name="page504"/>
    <w:bookmarkEnd w:id="503"/>
    <w:p>
      <w:pPr>
        <w:jc w:val="both"/>
        <w:ind w:firstLine="1063"/>
        <w:spacing w:after="0" w:line="253" w:lineRule="auto"/>
        <w:tabs>
          <w:tab w:leader="none" w:pos="1786" w:val="left"/>
        </w:tabs>
        <w:numPr>
          <w:ilvl w:val="0"/>
          <w:numId w:val="2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Vesting; Exercisability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Administrator will determine the time or times at which an Award vests or becomes exercisable and the terms and conditions 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which a Share Option or SAR remains exercisable. Without limiting the foregoing, the Administrator may at any time accelerate the vesting and/or exercisability of an Award (or any portion thereof), regardless of any adverse or potentially adverse tax or other consequences resulting from such acceleration. Unless the Administrator expressly provides otherwise, however, the following rules will apply if a Participant’s Employment ceases:</w:t>
      </w:r>
    </w:p>
    <w:p>
      <w:pPr>
        <w:spacing w:after="0" w:line="153" w:lineRule="exact"/>
        <w:rPr>
          <w:rFonts w:ascii="Times New Roman" w:cs="Times New Roman" w:eastAsia="Times New Roman" w:hAnsi="Times New Roman"/>
          <w:sz w:val="15"/>
          <w:szCs w:val="15"/>
          <w:b w:val="1"/>
          <w:bCs w:val="1"/>
          <w:color w:val="auto"/>
        </w:rPr>
      </w:pPr>
    </w:p>
    <w:p>
      <w:pPr>
        <w:jc w:val="both"/>
        <w:ind w:left="540" w:firstLine="1050"/>
        <w:spacing w:after="0" w:line="257" w:lineRule="auto"/>
        <w:tabs>
          <w:tab w:leader="none" w:pos="2380" w:val="left"/>
        </w:tabs>
        <w:numPr>
          <w:ilvl w:val="1"/>
          <w:numId w:val="2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Except as provided in (B) and (C) below, immediately upon the cessation of the Participant’s Employment, each Share Option and SAR (or portion thereof) that is then held by the Participant or by the Participant’s permitted transferees, if any, will cease to be exercisable and will terminate, and each other Award that is then held by the Participant or by the Participant’s permitted transferees, if any, to the extent not then vested, will be forfeited.</w:t>
      </w:r>
    </w:p>
    <w:p>
      <w:pPr>
        <w:spacing w:after="0" w:line="149" w:lineRule="exact"/>
        <w:rPr>
          <w:rFonts w:ascii="Times New Roman" w:cs="Times New Roman" w:eastAsia="Times New Roman" w:hAnsi="Times New Roman"/>
          <w:sz w:val="15"/>
          <w:szCs w:val="15"/>
          <w:b w:val="1"/>
          <w:bCs w:val="1"/>
          <w:color w:val="auto"/>
        </w:rPr>
      </w:pPr>
    </w:p>
    <w:p>
      <w:pPr>
        <w:jc w:val="both"/>
        <w:ind w:left="540" w:firstLine="1050"/>
        <w:spacing w:after="0" w:line="252" w:lineRule="auto"/>
        <w:tabs>
          <w:tab w:leader="none" w:pos="2416" w:val="left"/>
        </w:tabs>
        <w:numPr>
          <w:ilvl w:val="1"/>
          <w:numId w:val="2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Subject to (C) and (D) below, each vested and unexercised Share Option and SAR (or portion thereof) held by the Participant or the Participant’s permitted transferees, if any, immediately prior to the cessation of the Participant’s Employment, to the extent then exercisable, will remain exercisable for the lesser of (i) a period of three months following such cessation of Employment or (ii) the period ending on the latest date on which such Share Option or SAR could have been exercised without regard to this Section 6(a)(4), and will thereupon immediately terminate.</w:t>
      </w:r>
    </w:p>
    <w:p>
      <w:pPr>
        <w:spacing w:after="0" w:line="154" w:lineRule="exact"/>
        <w:rPr>
          <w:rFonts w:ascii="Times New Roman" w:cs="Times New Roman" w:eastAsia="Times New Roman" w:hAnsi="Times New Roman"/>
          <w:sz w:val="15"/>
          <w:szCs w:val="15"/>
          <w:b w:val="1"/>
          <w:bCs w:val="1"/>
          <w:color w:val="auto"/>
        </w:rPr>
      </w:pPr>
    </w:p>
    <w:p>
      <w:pPr>
        <w:jc w:val="both"/>
        <w:ind w:left="540" w:firstLine="1050"/>
        <w:spacing w:after="0" w:line="252" w:lineRule="auto"/>
        <w:tabs>
          <w:tab w:leader="none" w:pos="2435" w:val="left"/>
        </w:tabs>
        <w:numPr>
          <w:ilvl w:val="1"/>
          <w:numId w:val="2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Subject to (D) below, each vested and unexercised Share Option and SAR (or portion thereof) held by a Participant or the Participant’s permitted transferees, if any, immediately prior to the cessation of the Participant’s Employment due to his or her death or by the Company due to his or her Disability, to the extent then exercisable, will remain exercisable for the lesser of (i) the one-year period ending on the first anniversary of such cessation of employment or (ii) the period ending on the latest date on which such Share Option or SAR could have been exercised without regard to this Section 6(a)(4), and will thereupon immediately terminate.</w:t>
      </w:r>
    </w:p>
    <w:p>
      <w:pPr>
        <w:spacing w:after="0" w:line="154" w:lineRule="exact"/>
        <w:rPr>
          <w:rFonts w:ascii="Times New Roman" w:cs="Times New Roman" w:eastAsia="Times New Roman" w:hAnsi="Times New Roman"/>
          <w:sz w:val="15"/>
          <w:szCs w:val="15"/>
          <w:b w:val="1"/>
          <w:bCs w:val="1"/>
          <w:color w:val="auto"/>
        </w:rPr>
      </w:pPr>
    </w:p>
    <w:p>
      <w:pPr>
        <w:jc w:val="both"/>
        <w:ind w:left="540" w:firstLine="1050"/>
        <w:spacing w:after="0" w:line="252" w:lineRule="auto"/>
        <w:tabs>
          <w:tab w:leader="none" w:pos="2237" w:val="left"/>
        </w:tabs>
        <w:numPr>
          <w:ilvl w:val="1"/>
          <w:numId w:val="2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All Awards (whether or not vested or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determination of the Administrator would have constituted grounds for the Participant’s Employment to be terminated for Cause (in each case, without regard to the lapsing of any required notice or cure periods in connection therewith).</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04" w:name="page505"/>
    <w:bookmarkEnd w:id="504"/>
    <w:p>
      <w:pPr>
        <w:jc w:val="both"/>
        <w:ind w:firstLine="1063"/>
        <w:spacing w:after="0" w:line="247" w:lineRule="auto"/>
        <w:tabs>
          <w:tab w:leader="none" w:pos="1676" w:val="left"/>
        </w:tabs>
        <w:numPr>
          <w:ilvl w:val="0"/>
          <w:numId w:val="27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Recovery of Compensation</w:t>
      </w:r>
      <w:r>
        <w:rPr>
          <w:rFonts w:ascii="Times New Roman" w:cs="Times New Roman" w:eastAsia="Times New Roman" w:hAnsi="Times New Roman"/>
          <w:sz w:val="15"/>
          <w:szCs w:val="15"/>
          <w:color w:val="auto"/>
        </w:rPr>
        <w:t>. The Administrator may provide in any case that any outstanding Award (whether or not vested or exercisable), the proceeds from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exercise or disposition of any Award or Share acquired under any Award and any other amounts received in respect of any Award or Share acquired under any Award will be subject to forfeiture and disgorgement to the Company, with interest and other related earnings, if the Participant to whom the Award was granted is not in compliance with any provision of the Plan or any applicable Award or any non-competition, non-solicitation, no-hire, non-disparagement, confidentiality, invention assignment, or other restrictive covenant by which he or she is bound. Each Award will be subject to any policy of the Company or any of its subsidiaries that provides for forfeiture, disgorgement, or clawback with respect to incentive compensation that includes Awards under the Plan and will be further subject to forfeiture and disgorgement to the extent required by law or applicable stock exchange listing standards, including, without limitation, Section 10D of the Exchange Act. Each Participant, by accepting or being deemed to have accepted an Award under the Plan, agrees (or will be deemed to have agreed) to the terms of this Section 6(a)(5) and any clawback, recoupment or similar policy of the Company or any of its subsidiaries and further agrees or will be deemed to have further agreed) to cooperate fully with the Administrator, and to cause any and all permitted transferees of the Participant to cooperate fully with the Administrator, to effectuate any forfeiture or disgorgement described in this Section 6(a)(5). Neither the Administrator nor the Company nor any other person, other than the Participant and his or her permitted transferees, if any, will be responsible for any adverse tax or other consequences to a Participant or his or her permitted transferees, if any, that may arise in connection with this Section 6(a)(5).</w:t>
      </w:r>
    </w:p>
    <w:p>
      <w:pPr>
        <w:spacing w:after="0" w:line="156" w:lineRule="exact"/>
        <w:rPr>
          <w:rFonts w:ascii="Times New Roman" w:cs="Times New Roman" w:eastAsia="Times New Roman" w:hAnsi="Times New Roman"/>
          <w:sz w:val="15"/>
          <w:szCs w:val="15"/>
          <w:b w:val="1"/>
          <w:bCs w:val="1"/>
          <w:color w:val="auto"/>
        </w:rPr>
      </w:pPr>
    </w:p>
    <w:p>
      <w:pPr>
        <w:jc w:val="both"/>
        <w:ind w:firstLine="1063"/>
        <w:spacing w:after="0" w:line="247" w:lineRule="auto"/>
        <w:tabs>
          <w:tab w:leader="none" w:pos="1775" w:val="left"/>
        </w:tabs>
        <w:numPr>
          <w:ilvl w:val="0"/>
          <w:numId w:val="27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Taxes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grant of an Award and the issuance, delivery, vesting and retention of Shares, cash or other property under an Award are conditioned upon the full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satisfaction by the Participant of all tax and other withholding requirements with respect to the Award. The Administrator will prescribe such rules for the withholding of taxes and other amounts with respect to any Award as it deems necessary. Without limitation to the foregoing, the Company or any parent or subsidiary of the Company will have the authority and the right to deduct or withhold (by any means set forth herein or in an Award agreement), or require a Participant to remit to the Company or a parent or subsidiary of the Company, an amount sufficient to satisfy all U.S. and non-U.S. federal, state and local income tax, social insurance, payroll tax, fringe benefits tax, payment on account or other tax-related items related to participation in the Plan and legally applicable to the Participant and required by law to be withheld (including any amount deemed by the Company, in its discretion, to be an appropriate charge to the Participant even if legally applicable to the Company or any parent or subsidiary of the Company). The Administrator, in its sole discretion, may hold back Shares from an Award or permit a Participant to tender previously-owned Shares in satisfaction of tax or other withholding requirements (but not in excess of the maximum withholding amount consistent with the Award being subject to equity accounting treatment under the Accounting Rules). Any amounts withheld pursuant to this Section 6(a)(6) will be treated as though such amounts had been made directly to the Participant. In addition, the Company may, to the extent permitted by law, deduct any such tax and other withholding amounts from any payment of any kind otherwise due to a Participant from the Company or any parent or subsidiary of the Company.</w:t>
      </w:r>
    </w:p>
    <w:p>
      <w:pPr>
        <w:spacing w:after="0" w:line="156" w:lineRule="exact"/>
        <w:rPr>
          <w:rFonts w:ascii="Times New Roman" w:cs="Times New Roman" w:eastAsia="Times New Roman" w:hAnsi="Times New Roman"/>
          <w:sz w:val="15"/>
          <w:szCs w:val="15"/>
          <w:b w:val="1"/>
          <w:bCs w:val="1"/>
          <w:color w:val="auto"/>
        </w:rPr>
      </w:pPr>
    </w:p>
    <w:p>
      <w:pPr>
        <w:jc w:val="both"/>
        <w:ind w:firstLine="1063"/>
        <w:spacing w:after="0" w:line="253" w:lineRule="auto"/>
        <w:tabs>
          <w:tab w:leader="none" w:pos="1665" w:val="left"/>
        </w:tabs>
        <w:numPr>
          <w:ilvl w:val="0"/>
          <w:numId w:val="27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Dividend Equivalents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Administrator may provide for the payment of amounts (on terms and subject to conditions established by the Administrator) in lieu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cash dividends or other cash distributions with respect to Shares subject to an Award whether or not the holder of such Award is otherwise entitled to share in the actual dividend or distribution in respect of such Award. Any entitlement to dividend equivalents or similar entitlements will be established and administered either consistent with an exemption from, or in compliance with, the applicable requirements of Section 409A.</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05" w:name="page506"/>
    <w:bookmarkEnd w:id="505"/>
    <w:p>
      <w:pPr>
        <w:jc w:val="both"/>
        <w:ind w:firstLine="1063"/>
        <w:spacing w:after="0" w:line="253" w:lineRule="auto"/>
        <w:tabs>
          <w:tab w:leader="none" w:pos="1687" w:val="left"/>
        </w:tabs>
        <w:numPr>
          <w:ilvl w:val="0"/>
          <w:numId w:val="2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Rights Limited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Nothing in the Plan or any Award will be construed as giving any person the right to be granted an Award or to continued employment or service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 the Company or any of its subsidiaries, or any rights as a shareholder except as to Shares actually issued under the Plan. The loss of existing or potential profit in any Award will not constitute an element of damages in the event of a termination of a Participant’s Employment for any reason, even if the termination is in violation of an obligation of the Company or any of its subsidiaries to the Participant.</w:t>
      </w:r>
    </w:p>
    <w:p>
      <w:pPr>
        <w:spacing w:after="0" w:line="151" w:lineRule="exact"/>
        <w:rPr>
          <w:rFonts w:ascii="Times New Roman" w:cs="Times New Roman" w:eastAsia="Times New Roman" w:hAnsi="Times New Roman"/>
          <w:sz w:val="15"/>
          <w:szCs w:val="15"/>
          <w:b w:val="1"/>
          <w:bCs w:val="1"/>
          <w:color w:val="auto"/>
        </w:rPr>
      </w:pPr>
    </w:p>
    <w:p>
      <w:pPr>
        <w:jc w:val="both"/>
        <w:ind w:firstLine="1063"/>
        <w:spacing w:after="0" w:line="253" w:lineRule="auto"/>
        <w:tabs>
          <w:tab w:leader="none" w:pos="1775" w:val="left"/>
        </w:tabs>
        <w:numPr>
          <w:ilvl w:val="0"/>
          <w:numId w:val="2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Coordination with Other Plans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and/or Awards under the Plan may be issued or granted in tandem with, or in satisfaction of or substitution for,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Awards under the Plan or awards made under other compensatory plans or programs of the Company or any of its subsidiaries. For example, but without limiting the generality of the foregoing, awards under other compensatory plans or programs of the Company or any of its subsidiaries may be settled in Shares (including, without limitation, Unrestricted Shares) under the Plan if the Administrator so determines, in which case the Shares delivered will be treated as awarded under the Plan (and will reduce the Share Pool).</w:t>
      </w:r>
    </w:p>
    <w:p>
      <w:pPr>
        <w:spacing w:after="0" w:line="151" w:lineRule="exact"/>
        <w:rPr>
          <w:rFonts w:ascii="Times New Roman" w:cs="Times New Roman" w:eastAsia="Times New Roman" w:hAnsi="Times New Roman"/>
          <w:sz w:val="15"/>
          <w:szCs w:val="15"/>
          <w:b w:val="1"/>
          <w:bCs w:val="1"/>
          <w:color w:val="auto"/>
        </w:rPr>
      </w:pPr>
    </w:p>
    <w:p>
      <w:pPr>
        <w:ind w:left="1740" w:hanging="677"/>
        <w:spacing w:after="0"/>
        <w:tabs>
          <w:tab w:leader="none" w:pos="1740" w:val="left"/>
        </w:tabs>
        <w:numPr>
          <w:ilvl w:val="0"/>
          <w:numId w:val="2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Section 409A</w:t>
      </w:r>
      <w:r>
        <w:rPr>
          <w:rFonts w:ascii="Times New Roman" w:cs="Times New Roman" w:eastAsia="Times New Roman" w:hAnsi="Times New Roman"/>
          <w:sz w:val="15"/>
          <w:szCs w:val="15"/>
          <w:b w:val="1"/>
          <w:bCs w:val="1"/>
          <w:color w:val="auto"/>
        </w:rPr>
        <w:t>.</w:t>
      </w:r>
    </w:p>
    <w:p>
      <w:pPr>
        <w:spacing w:after="0" w:line="181" w:lineRule="exact"/>
        <w:rPr>
          <w:rFonts w:ascii="Times New Roman" w:cs="Times New Roman" w:eastAsia="Times New Roman" w:hAnsi="Times New Roman"/>
          <w:sz w:val="15"/>
          <w:szCs w:val="15"/>
          <w:b w:val="1"/>
          <w:bCs w:val="1"/>
          <w:color w:val="auto"/>
        </w:rPr>
      </w:pPr>
    </w:p>
    <w:p>
      <w:pPr>
        <w:ind w:left="540" w:firstLine="1050"/>
        <w:spacing w:after="0" w:line="269" w:lineRule="auto"/>
        <w:tabs>
          <w:tab w:leader="none" w:pos="2314" w:val="left"/>
        </w:tabs>
        <w:numPr>
          <w:ilvl w:val="1"/>
          <w:numId w:val="2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Without limiting the generality of Section 11(b) hereof, each Award will contain such terms as the Administrator determines and will be construed and administered, such that the Award either qualifies for an exemption from the requirements of Section 409A or satisfies such requirements.</w:t>
      </w:r>
    </w:p>
    <w:p>
      <w:pPr>
        <w:spacing w:after="0" w:line="140" w:lineRule="exact"/>
        <w:rPr>
          <w:rFonts w:ascii="Times New Roman" w:cs="Times New Roman" w:eastAsia="Times New Roman" w:hAnsi="Times New Roman"/>
          <w:sz w:val="15"/>
          <w:szCs w:val="15"/>
          <w:b w:val="1"/>
          <w:bCs w:val="1"/>
          <w:color w:val="auto"/>
        </w:rPr>
      </w:pPr>
    </w:p>
    <w:p>
      <w:pPr>
        <w:jc w:val="both"/>
        <w:ind w:left="540" w:firstLine="1050"/>
        <w:spacing w:after="0" w:line="257" w:lineRule="auto"/>
        <w:tabs>
          <w:tab w:leader="none" w:pos="2240" w:val="left"/>
        </w:tabs>
        <w:numPr>
          <w:ilvl w:val="1"/>
          <w:numId w:val="2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Notwithstanding anything to the contrary in the Plan or any Award agreement, the Administrator may unilaterally amend, modify or terminate the Plan or any outstanding Award, including, but not limited to, changing the form of the Award, if the Administrator determines that such amendment, modification or termination is necessary or desirable to avoid the imposition of an additional tax, interest or penalty under Section 409A.</w:t>
      </w:r>
    </w:p>
    <w:p>
      <w:pPr>
        <w:spacing w:after="0" w:line="149" w:lineRule="exact"/>
        <w:rPr>
          <w:rFonts w:ascii="Times New Roman" w:cs="Times New Roman" w:eastAsia="Times New Roman" w:hAnsi="Times New Roman"/>
          <w:sz w:val="15"/>
          <w:szCs w:val="15"/>
          <w:b w:val="1"/>
          <w:bCs w:val="1"/>
          <w:color w:val="auto"/>
        </w:rPr>
      </w:pPr>
    </w:p>
    <w:p>
      <w:pPr>
        <w:jc w:val="both"/>
        <w:ind w:left="540" w:firstLine="1050"/>
        <w:spacing w:after="0" w:line="248" w:lineRule="auto"/>
        <w:tabs>
          <w:tab w:leader="none" w:pos="2314" w:val="left"/>
        </w:tabs>
        <w:numPr>
          <w:ilvl w:val="1"/>
          <w:numId w:val="2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a Participant is determined on the date of the Participant’s termination of Employment to be a “specified employee” within the meaning of that term under Section 409A(a)(2)(B) of the Code, then, with regard to any payment that is considered nonqualified deferred compensation under Section 409A, to the extent applicable, payable on account of a “separation from service”, such payment will be made or provided on the date that is the earlier of (i) the first business day following the expiration of the six-month period measured from the date of such “separation from service” and (ii) the date of the Participant’s death (the “</w:t>
      </w:r>
      <w:r>
        <w:rPr>
          <w:rFonts w:ascii="Times New Roman" w:cs="Times New Roman" w:eastAsia="Times New Roman" w:hAnsi="Times New Roman"/>
          <w:sz w:val="15"/>
          <w:szCs w:val="15"/>
          <w:b w:val="1"/>
          <w:bCs w:val="1"/>
          <w:color w:val="auto"/>
        </w:rPr>
        <w:t>Delay Period</w:t>
      </w:r>
      <w:r>
        <w:rPr>
          <w:rFonts w:ascii="Times New Roman" w:cs="Times New Roman" w:eastAsia="Times New Roman" w:hAnsi="Times New Roman"/>
          <w:sz w:val="15"/>
          <w:szCs w:val="15"/>
          <w:color w:val="auto"/>
        </w:rPr>
        <w:t>”). Upon the expiration of the Delay Period, all payments delayed pursuant to this Section 6(a)(10)(C) (whether they would have otherwise been payable in a single lump sum or in installments in the absence of such delay) will be paid, without interest, on the first business day following the expiration of the Delay Period in a lump sum and any remaining payments due under the Award will be paid in accordance with the normal payment dates specified for them in the applicable Award agreement.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06" w:name="page507"/>
    <w:bookmarkEnd w:id="506"/>
    <w:p>
      <w:pPr>
        <w:ind w:left="2240" w:hanging="650"/>
        <w:spacing w:after="0"/>
        <w:tabs>
          <w:tab w:leader="none" w:pos="2240" w:val="left"/>
        </w:tabs>
        <w:numPr>
          <w:ilvl w:val="2"/>
          <w:numId w:val="2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For purposes of Section 409A, each payment made under the Plan or any Award will be treated as a separate payment.</w:t>
      </w:r>
    </w:p>
    <w:p>
      <w:pPr>
        <w:spacing w:after="0" w:line="179" w:lineRule="exact"/>
        <w:rPr>
          <w:rFonts w:ascii="Times New Roman" w:cs="Times New Roman" w:eastAsia="Times New Roman" w:hAnsi="Times New Roman"/>
          <w:sz w:val="15"/>
          <w:szCs w:val="15"/>
          <w:b w:val="1"/>
          <w:bCs w:val="1"/>
          <w:color w:val="auto"/>
        </w:rPr>
      </w:pPr>
    </w:p>
    <w:p>
      <w:pPr>
        <w:jc w:val="both"/>
        <w:ind w:left="540" w:firstLine="1050"/>
        <w:spacing w:after="0" w:line="257" w:lineRule="auto"/>
        <w:tabs>
          <w:tab w:leader="none" w:pos="2317" w:val="left"/>
        </w:tabs>
        <w:numPr>
          <w:ilvl w:val="2"/>
          <w:numId w:val="2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With regard to any payment considered to be nonqualified deferred compensation under Section 409A, to the extent applicable, that is payable upon a change in control of the Company or other similar event, to the extent required to avoid the imposition of an additional tax, interest or penalty under Section 409A, no amount will be payable unless such change in control constitutes a “change in control event” within the meaning of Section 1.409A-3(i)(5) of the Treasury Regulations.</w:t>
      </w:r>
    </w:p>
    <w:p>
      <w:pPr>
        <w:spacing w:after="0" w:line="147" w:lineRule="exact"/>
        <w:rPr>
          <w:rFonts w:ascii="Times New Roman" w:cs="Times New Roman" w:eastAsia="Times New Roman" w:hAnsi="Times New Roman"/>
          <w:sz w:val="15"/>
          <w:szCs w:val="15"/>
          <w:b w:val="1"/>
          <w:bCs w:val="1"/>
          <w:color w:val="auto"/>
        </w:rPr>
      </w:pPr>
    </w:p>
    <w:p>
      <w:pPr>
        <w:ind w:left="1160" w:hanging="625"/>
        <w:spacing w:after="0"/>
        <w:tabs>
          <w:tab w:leader="none" w:pos="1160" w:val="left"/>
        </w:tabs>
        <w:numPr>
          <w:ilvl w:val="0"/>
          <w:numId w:val="2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Share Options and SARs</w:t>
      </w:r>
      <w:r>
        <w:rPr>
          <w:rFonts w:ascii="Times New Roman" w:cs="Times New Roman" w:eastAsia="Times New Roman" w:hAnsi="Times New Roman"/>
          <w:sz w:val="15"/>
          <w:szCs w:val="15"/>
          <w:b w:val="1"/>
          <w:bCs w:val="1"/>
          <w:color w:val="auto"/>
        </w:rPr>
        <w:t>.</w:t>
      </w:r>
    </w:p>
    <w:p>
      <w:pPr>
        <w:spacing w:after="0" w:line="179" w:lineRule="exact"/>
        <w:rPr>
          <w:rFonts w:ascii="Times New Roman" w:cs="Times New Roman" w:eastAsia="Times New Roman" w:hAnsi="Times New Roman"/>
          <w:sz w:val="15"/>
          <w:szCs w:val="15"/>
          <w:b w:val="1"/>
          <w:bCs w:val="1"/>
          <w:color w:val="auto"/>
        </w:rPr>
      </w:pPr>
    </w:p>
    <w:p>
      <w:pPr>
        <w:jc w:val="both"/>
        <w:ind w:firstLine="1063"/>
        <w:spacing w:after="0" w:line="251" w:lineRule="auto"/>
        <w:tabs>
          <w:tab w:leader="none" w:pos="1709" w:val="left"/>
        </w:tabs>
        <w:numPr>
          <w:ilvl w:val="1"/>
          <w:numId w:val="2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Time and Manner of Exercise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Unless the Administrator expressly provides otherwise, no Share Option or SAR will be deemed to have been exercised until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Administrator receives a notice of exercise in a form acceptable to the Administrator that is signed by the appropriate person and accompanied by the payment required under the Award. The Administrator may limit or restrict the exercisability of any Share Option or SAR in its discretion, including in connection with any Covered Transaction. Any attempt to exercise a Share Option or SAR by any person other than the Participant will not be given effect unless the Administrator has received such evidence as it may require that the person exercising the Award has the right to do so.</w:t>
      </w:r>
    </w:p>
    <w:p>
      <w:pPr>
        <w:spacing w:after="0" w:line="152" w:lineRule="exact"/>
        <w:rPr>
          <w:rFonts w:ascii="Times New Roman" w:cs="Times New Roman" w:eastAsia="Times New Roman" w:hAnsi="Times New Roman"/>
          <w:sz w:val="15"/>
          <w:szCs w:val="15"/>
          <w:b w:val="1"/>
          <w:bCs w:val="1"/>
          <w:color w:val="auto"/>
        </w:rPr>
      </w:pPr>
    </w:p>
    <w:p>
      <w:pPr>
        <w:jc w:val="both"/>
        <w:ind w:firstLine="1063"/>
        <w:spacing w:after="0" w:line="258" w:lineRule="auto"/>
        <w:tabs>
          <w:tab w:leader="none" w:pos="1709" w:val="left"/>
        </w:tabs>
        <w:numPr>
          <w:ilvl w:val="1"/>
          <w:numId w:val="2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Exercise Price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exercise price (or the base value from which appreciation is to be measured) per share of each Award requiring exercise must be no less than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100% (in the case of an ISO granted to a 10-percent shareholder within the meaning of Section 422(b)(6) of the Code, 110%) of the Fair Market Value of a Share, determined as of the date of grant of the Award, or such higher amount as the Administrator may determine in connection with the grant.</w:t>
      </w:r>
    </w:p>
    <w:p>
      <w:pPr>
        <w:spacing w:after="0" w:line="146" w:lineRule="exact"/>
        <w:rPr>
          <w:rFonts w:ascii="Times New Roman" w:cs="Times New Roman" w:eastAsia="Times New Roman" w:hAnsi="Times New Roman"/>
          <w:sz w:val="15"/>
          <w:szCs w:val="15"/>
          <w:b w:val="1"/>
          <w:bCs w:val="1"/>
          <w:color w:val="auto"/>
        </w:rPr>
      </w:pPr>
    </w:p>
    <w:p>
      <w:pPr>
        <w:jc w:val="both"/>
        <w:ind w:firstLine="1063"/>
        <w:spacing w:after="0" w:line="250" w:lineRule="auto"/>
        <w:tabs>
          <w:tab w:leader="none" w:pos="1698" w:val="left"/>
        </w:tabs>
        <w:numPr>
          <w:ilvl w:val="1"/>
          <w:numId w:val="2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Payment of Exercise Price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Where the exercise of an Award (or portion thereof) is to be accompanied by a payment, payment of the exercise price must be made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by cash or check acceptable to the Administrator or, if so permitted by the Administrator and if legally permissible, (i) through the delivery of previously acquired unrestricted Shares, or the withholding of unrestricted Shares otherwise issuable upon exercise, in either case, that have a Fair Market Value equal to the exercise price; (ii) through a broker-assisted cashless exercise program acceptable to the Administrator; (iii) a promissory note; (iv) by other means acceptable to the Administrator; or (v) by any combination of the foregoing permissible forms of payment. The delivery of previously acquired Shares in payment of the exercise price under clause (i) above may be accomplished either by actual delivery or by constructive delivery through attestation of ownership, subject to such rules as the Administrator may prescribe.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507" w:name="page508"/>
    <w:bookmarkEnd w:id="507"/>
    <w:p>
      <w:pPr>
        <w:ind w:firstLine="1063"/>
        <w:spacing w:after="0" w:line="272" w:lineRule="auto"/>
        <w:tabs>
          <w:tab w:leader="none" w:pos="1687" w:val="left"/>
        </w:tabs>
        <w:numPr>
          <w:ilvl w:val="1"/>
          <w:numId w:val="27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Maximum Term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maximum term of Share Options and SARs must not exceed 10 years from the date of grant (or five years from the date of grant in the case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an ISO granted to a 10-percent shareholder described in Section 6(b)(2) above).</w:t>
      </w:r>
    </w:p>
    <w:p>
      <w:pPr>
        <w:spacing w:after="0" w:line="136" w:lineRule="exact"/>
        <w:rPr>
          <w:rFonts w:ascii="Times New Roman" w:cs="Times New Roman" w:eastAsia="Times New Roman" w:hAnsi="Times New Roman"/>
          <w:sz w:val="15"/>
          <w:szCs w:val="15"/>
          <w:b w:val="1"/>
          <w:bCs w:val="1"/>
          <w:color w:val="auto"/>
        </w:rPr>
      </w:pPr>
    </w:p>
    <w:p>
      <w:pPr>
        <w:jc w:val="both"/>
        <w:ind w:firstLine="1063"/>
        <w:spacing w:after="0" w:line="250" w:lineRule="auto"/>
        <w:tabs>
          <w:tab w:leader="none" w:pos="1676" w:val="left"/>
        </w:tabs>
        <w:numPr>
          <w:ilvl w:val="1"/>
          <w:numId w:val="27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No Repricing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Except in connection with a corporate transaction involving the Company (which term includes, without limitation, any Share dividend, Share split,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extraordinary cash dividend, recapitalization, reorganization, merger, consolidation, split-up, spin-off, combination or exchange of Shares) or as otherwise contemplated by Section 7 below, the Company may not, without obtaining shareholder approval, (i) amend the terms of outstanding Share Options or SARs to reduce the exercise price or base value of such Share Options or SARs; (ii) cancel outstanding Share Options or SARs in exchange for Share Options or SARs that have an exercise price or base value that is less than the exercise price or base value of the original Share Options or SARs; or (iii) cancel outstanding Share Options or SARs that have an exercise price or base value greater than the Fair Market Value of a Share on the date of such cancellation in exchange for cash or other consideration.</w:t>
      </w:r>
    </w:p>
    <w:p>
      <w:pPr>
        <w:spacing w:after="0" w:line="152" w:lineRule="exact"/>
        <w:rPr>
          <w:rFonts w:ascii="Times New Roman" w:cs="Times New Roman" w:eastAsia="Times New Roman" w:hAnsi="Times New Roman"/>
          <w:sz w:val="15"/>
          <w:szCs w:val="15"/>
          <w:b w:val="1"/>
          <w:bCs w:val="1"/>
          <w:color w:val="auto"/>
        </w:rPr>
      </w:pPr>
    </w:p>
    <w:p>
      <w:pPr>
        <w:ind w:left="1140" w:hanging="605"/>
        <w:spacing w:after="0"/>
        <w:tabs>
          <w:tab w:leader="none" w:pos="1140" w:val="left"/>
        </w:tabs>
        <w:numPr>
          <w:ilvl w:val="0"/>
          <w:numId w:val="2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Restricted Shares</w:t>
      </w:r>
      <w:r>
        <w:rPr>
          <w:rFonts w:ascii="Times New Roman" w:cs="Times New Roman" w:eastAsia="Times New Roman" w:hAnsi="Times New Roman"/>
          <w:sz w:val="15"/>
          <w:szCs w:val="15"/>
          <w:b w:val="1"/>
          <w:bCs w:val="1"/>
          <w:color w:val="auto"/>
        </w:rPr>
        <w:t>.</w:t>
      </w:r>
    </w:p>
    <w:p>
      <w:pPr>
        <w:spacing w:after="0" w:line="179" w:lineRule="exact"/>
        <w:rPr>
          <w:rFonts w:ascii="Times New Roman" w:cs="Times New Roman" w:eastAsia="Times New Roman" w:hAnsi="Times New Roman"/>
          <w:sz w:val="15"/>
          <w:szCs w:val="15"/>
          <w:b w:val="1"/>
          <w:bCs w:val="1"/>
          <w:color w:val="auto"/>
        </w:rPr>
      </w:pPr>
    </w:p>
    <w:p>
      <w:pPr>
        <w:jc w:val="both"/>
        <w:ind w:firstLine="1063"/>
        <w:spacing w:after="0" w:line="258" w:lineRule="auto"/>
        <w:tabs>
          <w:tab w:leader="none" w:pos="1786" w:val="left"/>
        </w:tabs>
        <w:numPr>
          <w:ilvl w:val="1"/>
          <w:numId w:val="2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Awards of Restricted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 Restricted Share is a grant by the Company to a Participant of Shares that are subject to restrictions. The Administrator will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determine to whom an offer will be made, the number of Shares the Participant may purchase, the purchase price, if any, the restrictions under which the Shares will be subject and all other terms and conditions of the Restricted Shares, subject to the Plan.</w:t>
      </w:r>
    </w:p>
    <w:p>
      <w:pPr>
        <w:spacing w:after="0" w:line="146" w:lineRule="exact"/>
        <w:rPr>
          <w:rFonts w:ascii="Times New Roman" w:cs="Times New Roman" w:eastAsia="Times New Roman" w:hAnsi="Times New Roman"/>
          <w:sz w:val="15"/>
          <w:szCs w:val="15"/>
          <w:b w:val="1"/>
          <w:bCs w:val="1"/>
          <w:color w:val="auto"/>
        </w:rPr>
      </w:pPr>
    </w:p>
    <w:p>
      <w:pPr>
        <w:ind w:firstLine="1063"/>
        <w:spacing w:after="0" w:line="309" w:lineRule="auto"/>
        <w:tabs>
          <w:tab w:leader="none" w:pos="1676" w:val="left"/>
        </w:tabs>
        <w:numPr>
          <w:ilvl w:val="1"/>
          <w:numId w:val="2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Purchase Price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purchase price for an Award of Restricted Shares will be determined by the Administrator and may be less than Fair Market Value on the date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Award is granted. Payment of the purchase price must be made in accordance with the Plan, and the Award agreement and in accordance with any procedures established by the Company.</w:t>
      </w:r>
    </w:p>
    <w:p>
      <w:pPr>
        <w:spacing w:after="0" w:line="112" w:lineRule="exact"/>
        <w:rPr>
          <w:rFonts w:ascii="Times New Roman" w:cs="Times New Roman" w:eastAsia="Times New Roman" w:hAnsi="Times New Roman"/>
          <w:sz w:val="14"/>
          <w:szCs w:val="14"/>
          <w:b w:val="1"/>
          <w:bCs w:val="1"/>
          <w:color w:val="auto"/>
        </w:rPr>
      </w:pPr>
    </w:p>
    <w:p>
      <w:pPr>
        <w:ind w:firstLine="1063"/>
        <w:spacing w:after="0" w:line="272" w:lineRule="auto"/>
        <w:tabs>
          <w:tab w:leader="none" w:pos="1720" w:val="left"/>
        </w:tabs>
        <w:numPr>
          <w:ilvl w:val="1"/>
          <w:numId w:val="2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Termination of Participation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Except as may be set forth in the Participant’s Award agreement, vesting ceases on such Participant’s termination of Employment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(unless determined otherwise by the Administrator as described in Section 6(a)(4) above).</w:t>
      </w:r>
    </w:p>
    <w:p>
      <w:pPr>
        <w:spacing w:after="0" w:line="136" w:lineRule="exact"/>
        <w:rPr>
          <w:rFonts w:ascii="Times New Roman" w:cs="Times New Roman" w:eastAsia="Times New Roman" w:hAnsi="Times New Roman"/>
          <w:sz w:val="15"/>
          <w:szCs w:val="15"/>
          <w:b w:val="1"/>
          <w:bCs w:val="1"/>
          <w:color w:val="auto"/>
        </w:rPr>
      </w:pPr>
    </w:p>
    <w:p>
      <w:pPr>
        <w:ind w:left="1160" w:hanging="625"/>
        <w:spacing w:after="0"/>
        <w:tabs>
          <w:tab w:leader="none" w:pos="1160" w:val="left"/>
        </w:tabs>
        <w:numPr>
          <w:ilvl w:val="0"/>
          <w:numId w:val="2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Restricted Share Units</w:t>
      </w:r>
      <w:r>
        <w:rPr>
          <w:rFonts w:ascii="Times New Roman" w:cs="Times New Roman" w:eastAsia="Times New Roman" w:hAnsi="Times New Roman"/>
          <w:sz w:val="15"/>
          <w:szCs w:val="15"/>
          <w:b w:val="1"/>
          <w:bCs w:val="1"/>
          <w:color w:val="auto"/>
        </w:rPr>
        <w:t>.</w:t>
      </w:r>
    </w:p>
    <w:p>
      <w:pPr>
        <w:spacing w:after="0" w:line="179" w:lineRule="exact"/>
        <w:rPr>
          <w:rFonts w:ascii="Times New Roman" w:cs="Times New Roman" w:eastAsia="Times New Roman" w:hAnsi="Times New Roman"/>
          <w:sz w:val="15"/>
          <w:szCs w:val="15"/>
          <w:b w:val="1"/>
          <w:bCs w:val="1"/>
          <w:color w:val="auto"/>
        </w:rPr>
      </w:pPr>
    </w:p>
    <w:p>
      <w:pPr>
        <w:ind w:firstLine="1063"/>
        <w:spacing w:after="0" w:line="272" w:lineRule="auto"/>
        <w:tabs>
          <w:tab w:leader="none" w:pos="1709" w:val="left"/>
        </w:tabs>
        <w:numPr>
          <w:ilvl w:val="1"/>
          <w:numId w:val="2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Awards of Restricted Share Units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 Restricted Share Unit is an award to a Participant of Share Units that are subject to restrictions. All Restricted Share Units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will be made pursuant to an Award agreement.</w:t>
      </w:r>
    </w:p>
    <w:p>
      <w:pPr>
        <w:spacing w:after="0" w:line="136" w:lineRule="exact"/>
        <w:rPr>
          <w:rFonts w:ascii="Times New Roman" w:cs="Times New Roman" w:eastAsia="Times New Roman" w:hAnsi="Times New Roman"/>
          <w:sz w:val="15"/>
          <w:szCs w:val="15"/>
          <w:b w:val="1"/>
          <w:bCs w:val="1"/>
          <w:color w:val="auto"/>
        </w:rPr>
      </w:pPr>
    </w:p>
    <w:p>
      <w:pPr>
        <w:jc w:val="both"/>
        <w:ind w:firstLine="1063"/>
        <w:spacing w:after="0" w:line="253" w:lineRule="auto"/>
        <w:tabs>
          <w:tab w:leader="none" w:pos="1698" w:val="left"/>
        </w:tabs>
        <w:numPr>
          <w:ilvl w:val="1"/>
          <w:numId w:val="2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Form and Timing of Settlement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Payment of earned Restricted Share Units will be made as soon as practicable after the date(s) determined by the Administrator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set forth in the Award agreement. The Administrator, in its sole discretion, may settle earned Restricted Share Units in cash, Shares, or a combination of both. The Administrator, in its sole discretion, may also permit a Participant to defer payment under a Restricted Share Unit to a date or dates after the Restricted Share Unit is earned provided that the terms of the Restricted Share Unit and any deferral satisfy the requirements of Section 409A of the Code.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08" w:name="page509"/>
    <w:bookmarkEnd w:id="508"/>
    <w:p>
      <w:pPr>
        <w:ind w:firstLine="1063"/>
        <w:spacing w:after="0" w:line="272" w:lineRule="auto"/>
        <w:tabs>
          <w:tab w:leader="none" w:pos="1720" w:val="left"/>
        </w:tabs>
        <w:numPr>
          <w:ilvl w:val="2"/>
          <w:numId w:val="2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Termination of Participation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Except as may be set forth in the Participant’s Award agreement, vesting ceases on such Participant’s termination of Employment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(unless determined otherwise by the Administrator as described in Section 6(a)(4) above).</w:t>
      </w:r>
    </w:p>
    <w:p>
      <w:pPr>
        <w:spacing w:after="0" w:line="136" w:lineRule="exact"/>
        <w:rPr>
          <w:rFonts w:ascii="Times New Roman" w:cs="Times New Roman" w:eastAsia="Times New Roman" w:hAnsi="Times New Roman"/>
          <w:sz w:val="15"/>
          <w:szCs w:val="15"/>
          <w:b w:val="1"/>
          <w:bCs w:val="1"/>
          <w:color w:val="auto"/>
        </w:rPr>
      </w:pPr>
    </w:p>
    <w:p>
      <w:pPr>
        <w:ind w:left="560" w:hanging="552"/>
        <w:spacing w:after="0"/>
        <w:tabs>
          <w:tab w:leader="none" w:pos="560" w:val="left"/>
        </w:tabs>
        <w:numPr>
          <w:ilvl w:val="0"/>
          <w:numId w:val="2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EFFECT OF CERTAIN TRANSACTIONS</w:t>
      </w:r>
    </w:p>
    <w:p>
      <w:pPr>
        <w:spacing w:after="0" w:line="177" w:lineRule="exact"/>
        <w:rPr>
          <w:rFonts w:ascii="Times New Roman" w:cs="Times New Roman" w:eastAsia="Times New Roman" w:hAnsi="Times New Roman"/>
          <w:sz w:val="15"/>
          <w:szCs w:val="15"/>
          <w:b w:val="1"/>
          <w:bCs w:val="1"/>
          <w:color w:val="auto"/>
        </w:rPr>
      </w:pPr>
    </w:p>
    <w:p>
      <w:pPr>
        <w:ind w:left="1140" w:hanging="605"/>
        <w:spacing w:after="0"/>
        <w:tabs>
          <w:tab w:leader="none" w:pos="1140" w:val="left"/>
        </w:tabs>
        <w:numPr>
          <w:ilvl w:val="1"/>
          <w:numId w:val="2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Mergers,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u w:val="single" w:color="auto"/>
          <w:color w:val="auto"/>
        </w:rPr>
        <w:t>etc</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Except as otherwise expressly provided in an Award or other agreement or by the Administrator, the following provisions will apply in the event of a Covered</w:t>
      </w:r>
    </w:p>
    <w:p>
      <w:pPr>
        <w:spacing w:after="0" w:line="33"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5"/>
          <w:szCs w:val="15"/>
          <w:color w:val="auto"/>
        </w:rPr>
        <w:t>Transaction:</w:t>
      </w:r>
    </w:p>
    <w:p>
      <w:pPr>
        <w:spacing w:after="0" w:line="162" w:lineRule="exact"/>
        <w:rPr>
          <w:rFonts w:ascii="Times New Roman" w:cs="Times New Roman" w:eastAsia="Times New Roman" w:hAnsi="Times New Roman"/>
          <w:sz w:val="14"/>
          <w:szCs w:val="14"/>
          <w:b w:val="1"/>
          <w:bCs w:val="1"/>
          <w:color w:val="auto"/>
        </w:rPr>
      </w:pPr>
    </w:p>
    <w:p>
      <w:pPr>
        <w:jc w:val="both"/>
        <w:ind w:firstLine="1063"/>
        <w:spacing w:after="0" w:line="258" w:lineRule="auto"/>
        <w:tabs>
          <w:tab w:leader="none" w:pos="1830" w:val="left"/>
        </w:tabs>
        <w:numPr>
          <w:ilvl w:val="2"/>
          <w:numId w:val="2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Assumption or Substitution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the Covered Transaction is one in which there is an acquiring or surviving entity, the Administrator may provide for (i)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assumption or continuation of some or all outstanding Awards or any portion thereof or (ii) the grant of new awards in substitution therefor by the acquiror or survivor or an affiliate of the acquiror or survivor.</w:t>
      </w:r>
    </w:p>
    <w:p>
      <w:pPr>
        <w:spacing w:after="0" w:line="146" w:lineRule="exact"/>
        <w:rPr>
          <w:rFonts w:ascii="Times New Roman" w:cs="Times New Roman" w:eastAsia="Times New Roman" w:hAnsi="Times New Roman"/>
          <w:sz w:val="15"/>
          <w:szCs w:val="15"/>
          <w:b w:val="1"/>
          <w:bCs w:val="1"/>
          <w:color w:val="auto"/>
        </w:rPr>
      </w:pPr>
    </w:p>
    <w:p>
      <w:pPr>
        <w:jc w:val="both"/>
        <w:ind w:firstLine="1063"/>
        <w:spacing w:after="0" w:line="247" w:lineRule="auto"/>
        <w:tabs>
          <w:tab w:leader="none" w:pos="1764" w:val="left"/>
        </w:tabs>
        <w:numPr>
          <w:ilvl w:val="2"/>
          <w:numId w:val="2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Cash-Out of Awards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Subject to Section 7(a)(5) below, the Administrator may provide for payment (a “</w:t>
      </w:r>
      <w:r>
        <w:rPr>
          <w:rFonts w:ascii="Times New Roman" w:cs="Times New Roman" w:eastAsia="Times New Roman" w:hAnsi="Times New Roman"/>
          <w:sz w:val="15"/>
          <w:szCs w:val="15"/>
          <w:b w:val="1"/>
          <w:bCs w:val="1"/>
          <w:color w:val="auto"/>
        </w:rPr>
        <w:t>cash-out</w:t>
      </w:r>
      <w:r>
        <w:rPr>
          <w:rFonts w:ascii="Times New Roman" w:cs="Times New Roman" w:eastAsia="Times New Roman" w:hAnsi="Times New Roman"/>
          <w:sz w:val="15"/>
          <w:szCs w:val="15"/>
          <w:color w:val="auto"/>
        </w:rPr>
        <w:t>”), with respect to some or all Awards or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portion thereof (including only the vested portion thereof, with the unvested portion terminating as provided in subsection 7(a)(4) below), equal in the case of each applicable Award or portion thereof to the excess, if any, of (i) the fair market value of one Share multiplied by the number of Shares subject to the Award or such portion, minus (ii) the aggregate exercise or purchase price, if any, of such Award or portion thereof (or, in the case of a SAR, the aggregate base value above which appreciation is measured), in each case, on such payment and other terms and subject to such conditions (which need not be the same as the terms and conditions applicable to holders of Shares generally) as the Administrator determines, including that any amounts paid in respect of such Award in connection with the Covered Transaction be placed in escrow or otherwise made subject to such restrictions as the Administrator deems appropriate. In addition, any escrow, holdback, earn-out or similar provisions in the agreement effectuating the Covered Transaction may apply to such payment to the same extent and in the same manner as such provisions apply to the holders of Shares. For the avoidance of doubt, the Company, in its discretion, may cancel, without the payment of consideration to the Participant, any Award (vested or unvested) with an exercise or purchase price (or base value) that is equal to or greater than the fair market value of one Share. For purposes of this Section 7(a)(2), fair market value shall be determined by the Administrator in its sole discretion.</w:t>
      </w:r>
    </w:p>
    <w:p>
      <w:pPr>
        <w:spacing w:after="0" w:line="158" w:lineRule="exact"/>
        <w:rPr>
          <w:rFonts w:ascii="Times New Roman" w:cs="Times New Roman" w:eastAsia="Times New Roman" w:hAnsi="Times New Roman"/>
          <w:sz w:val="15"/>
          <w:szCs w:val="15"/>
          <w:b w:val="1"/>
          <w:bCs w:val="1"/>
          <w:color w:val="auto"/>
        </w:rPr>
      </w:pPr>
    </w:p>
    <w:p>
      <w:pPr>
        <w:jc w:val="both"/>
        <w:ind w:firstLine="1063"/>
        <w:spacing w:after="0" w:line="253" w:lineRule="auto"/>
        <w:tabs>
          <w:tab w:leader="none" w:pos="1709" w:val="left"/>
        </w:tabs>
        <w:numPr>
          <w:ilvl w:val="2"/>
          <w:numId w:val="2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Acceleration of Certain Awards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Subject to Section 7(a)(5) below, the Administrator may provide that any Award requiring exercise will become exercisable,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full or in part, and/or that the issuance of any Shares remaining issuable under any outstanding Award of Share Units (including Restricted Share Units and Performance Awards to the extent consisting of Share Units) will be accelerated, in full or in part, in each case, on a basis that gives the holder of the Award a reasonable opportunity, as determined by the Administrator, following the exercise of the Award or the issuance of the Shares, as the case may be, to participate as a shareholder in the Covered Transaction.</w:t>
      </w:r>
    </w:p>
    <w:p>
      <w:pPr>
        <w:spacing w:after="0" w:line="151" w:lineRule="exact"/>
        <w:rPr>
          <w:rFonts w:ascii="Times New Roman" w:cs="Times New Roman" w:eastAsia="Times New Roman" w:hAnsi="Times New Roman"/>
          <w:sz w:val="15"/>
          <w:szCs w:val="15"/>
          <w:b w:val="1"/>
          <w:bCs w:val="1"/>
          <w:color w:val="auto"/>
        </w:rPr>
      </w:pPr>
    </w:p>
    <w:p>
      <w:pPr>
        <w:jc w:val="both"/>
        <w:ind w:firstLine="1063"/>
        <w:spacing w:after="0" w:line="253" w:lineRule="auto"/>
        <w:tabs>
          <w:tab w:leader="none" w:pos="1742" w:val="left"/>
        </w:tabs>
        <w:numPr>
          <w:ilvl w:val="2"/>
          <w:numId w:val="2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Termination of Awards upon Consummation of Covered Transaction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Except as the Administrator may otherwise determine, each Award will automatically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terminate (and in the case of outstanding Restricted Shares, will automatically be forfeited) immediately upon the consummation of the Covered Transaction, other than (i) any Award that is assumed, continued or substituted for pursuant to Section 7(a)(1) above and (ii) any Award that by its terms, or as a result of action taken by the Administrator, continues following the Covered Transaction.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09" w:name="page510"/>
    <w:bookmarkEnd w:id="509"/>
    <w:p>
      <w:pPr>
        <w:jc w:val="both"/>
        <w:ind w:firstLine="1063"/>
        <w:spacing w:after="0" w:line="249" w:lineRule="auto"/>
        <w:tabs>
          <w:tab w:leader="none" w:pos="1720" w:val="left"/>
        </w:tabs>
        <w:numPr>
          <w:ilvl w:val="2"/>
          <w:numId w:val="2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Additional Limitations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Any Share and any cash or other property or other award delivered pursuant to Section 7(a)(1), Section 7(a)(2) or Section 7(a)(3) above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 respect to an Award may, in the discretion of the Administrator, contain such restrictions, if any, as the Administrator deems appropriate, including to reflect any performance or other vesting conditions to which the Award was subject and that did not lapse (and were not satisfied) in connection with the Covered Transaction. For purposes of the immediately preceding sentence, a cash-out under Section 7(a)(2) above or an acceleration under Section 7(a)(3) above will not, in and of itself, be treated as the lapsing (or satisfaction) of a performance or other vesting condition. In the case of a Restricted Share that does not vest and is not forfeited in connection with the Covered Transaction, the Administrator may require that any amounts delivered, exchanged or otherwise paid in respect of such Share in connection with the Covered Transaction be placed in escrow or otherwise made subject to such restrictions as the Administrator deems appropriate to carry out the intent of the Plan.</w:t>
      </w:r>
    </w:p>
    <w:p>
      <w:pPr>
        <w:spacing w:after="0" w:line="153" w:lineRule="exact"/>
        <w:rPr>
          <w:rFonts w:ascii="Times New Roman" w:cs="Times New Roman" w:eastAsia="Times New Roman" w:hAnsi="Times New Roman"/>
          <w:sz w:val="15"/>
          <w:szCs w:val="15"/>
          <w:b w:val="1"/>
          <w:bCs w:val="1"/>
          <w:color w:val="auto"/>
        </w:rPr>
      </w:pPr>
    </w:p>
    <w:p>
      <w:pPr>
        <w:ind w:firstLine="1063"/>
        <w:spacing w:after="0" w:line="272" w:lineRule="auto"/>
        <w:tabs>
          <w:tab w:leader="none" w:pos="1698" w:val="left"/>
        </w:tabs>
        <w:numPr>
          <w:ilvl w:val="2"/>
          <w:numId w:val="2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Uniform Treatment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 the avoidance of doubt, the Administrator need not treat Participants or Awards (or portions thereof) in a uniform manner, and may treat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different Participants and/or Awards differently, in connection with a Covered Transaction.</w:t>
      </w:r>
    </w:p>
    <w:p>
      <w:pPr>
        <w:spacing w:after="0" w:line="136" w:lineRule="exact"/>
        <w:rPr>
          <w:rFonts w:ascii="Times New Roman" w:cs="Times New Roman" w:eastAsia="Times New Roman" w:hAnsi="Times New Roman"/>
          <w:sz w:val="15"/>
          <w:szCs w:val="15"/>
          <w:b w:val="1"/>
          <w:bCs w:val="1"/>
          <w:color w:val="auto"/>
        </w:rPr>
      </w:pPr>
    </w:p>
    <w:p>
      <w:pPr>
        <w:ind w:left="1160" w:hanging="625"/>
        <w:spacing w:after="0"/>
        <w:tabs>
          <w:tab w:leader="none" w:pos="1160" w:val="left"/>
        </w:tabs>
        <w:numPr>
          <w:ilvl w:val="1"/>
          <w:numId w:val="28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Changes in and Distributions with Respect to Shares</w:t>
      </w:r>
      <w:r>
        <w:rPr>
          <w:rFonts w:ascii="Times New Roman" w:cs="Times New Roman" w:eastAsia="Times New Roman" w:hAnsi="Times New Roman"/>
          <w:sz w:val="15"/>
          <w:szCs w:val="15"/>
          <w:b w:val="1"/>
          <w:bCs w:val="1"/>
          <w:color w:val="auto"/>
        </w:rPr>
        <w:t>.</w:t>
      </w:r>
    </w:p>
    <w:p>
      <w:pPr>
        <w:spacing w:after="0" w:line="179" w:lineRule="exact"/>
        <w:rPr>
          <w:rFonts w:ascii="Times New Roman" w:cs="Times New Roman" w:eastAsia="Times New Roman" w:hAnsi="Times New Roman"/>
          <w:sz w:val="15"/>
          <w:szCs w:val="15"/>
          <w:b w:val="1"/>
          <w:bCs w:val="1"/>
          <w:color w:val="auto"/>
        </w:rPr>
      </w:pPr>
    </w:p>
    <w:p>
      <w:pPr>
        <w:jc w:val="both"/>
        <w:ind w:firstLine="1063"/>
        <w:spacing w:after="0" w:line="253" w:lineRule="auto"/>
        <w:tabs>
          <w:tab w:leader="none" w:pos="1764" w:val="left"/>
        </w:tabs>
        <w:numPr>
          <w:ilvl w:val="2"/>
          <w:numId w:val="28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Basic Adjustment Provisions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the event of a Share dividend, Share split or combination of Shares (including a reverse Share split), recapitalization or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change in the Company’s capital structure that constitutes an equity restructuring within the meaning of the Accounting Rules, the Administrator will make appropriate adjustments to the Share Pool, the number and kind of Shares or securities underlying Awards then outstanding or subsequently granted, any exercise or purchase prices (or base values) relating to Awards and any other provision of Awards affected by such change.</w:t>
      </w:r>
    </w:p>
    <w:p>
      <w:pPr>
        <w:spacing w:after="0" w:line="151" w:lineRule="exact"/>
        <w:rPr>
          <w:rFonts w:ascii="Times New Roman" w:cs="Times New Roman" w:eastAsia="Times New Roman" w:hAnsi="Times New Roman"/>
          <w:sz w:val="15"/>
          <w:szCs w:val="15"/>
          <w:b w:val="1"/>
          <w:bCs w:val="1"/>
          <w:color w:val="auto"/>
        </w:rPr>
      </w:pPr>
    </w:p>
    <w:p>
      <w:pPr>
        <w:jc w:val="both"/>
        <w:ind w:firstLine="1063"/>
        <w:spacing w:after="0" w:line="258" w:lineRule="auto"/>
        <w:tabs>
          <w:tab w:leader="none" w:pos="1742" w:val="left"/>
        </w:tabs>
        <w:numPr>
          <w:ilvl w:val="2"/>
          <w:numId w:val="28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Certain Other Adjustments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Administrator may also make adjustments of the type described in Section 7(b)(1) above to take into account distributions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shareholder other than those provided for in Section 7(a) and 7(b)(1) above, or any other event, if the Administrator determines that adjustments are appropriate to avoid distortion in the operation of the Plan or any Award.</w:t>
      </w:r>
    </w:p>
    <w:p>
      <w:pPr>
        <w:spacing w:after="0" w:line="146" w:lineRule="exact"/>
        <w:rPr>
          <w:rFonts w:ascii="Times New Roman" w:cs="Times New Roman" w:eastAsia="Times New Roman" w:hAnsi="Times New Roman"/>
          <w:sz w:val="15"/>
          <w:szCs w:val="15"/>
          <w:b w:val="1"/>
          <w:bCs w:val="1"/>
          <w:color w:val="auto"/>
        </w:rPr>
      </w:pPr>
    </w:p>
    <w:p>
      <w:pPr>
        <w:ind w:left="1820" w:hanging="757"/>
        <w:spacing w:after="0"/>
        <w:tabs>
          <w:tab w:leader="none" w:pos="1820" w:val="left"/>
        </w:tabs>
        <w:numPr>
          <w:ilvl w:val="2"/>
          <w:numId w:val="28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Continuing Application of Plan Terms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References in the Plan to Shares will be construed to include any shares or securities resulting from an adjustment</w:t>
      </w:r>
    </w:p>
    <w:p>
      <w:pPr>
        <w:spacing w:after="0" w:line="19" w:lineRule="exact"/>
        <w:rPr>
          <w:rFonts w:ascii="Times New Roman" w:cs="Times New Roman" w:eastAsia="Times New Roman" w:hAnsi="Times New Roman"/>
          <w:sz w:val="15"/>
          <w:szCs w:val="15"/>
          <w:b w:val="1"/>
          <w:bCs w:val="1"/>
          <w:color w:val="auto"/>
        </w:rPr>
      </w:pPr>
    </w:p>
    <w:p>
      <w:pPr>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pursuant to this Section 7.</w:t>
      </w:r>
    </w:p>
    <w:p>
      <w:pPr>
        <w:spacing w:after="0" w:line="162" w:lineRule="exact"/>
        <w:rPr>
          <w:rFonts w:ascii="Times New Roman" w:cs="Times New Roman" w:eastAsia="Times New Roman" w:hAnsi="Times New Roman"/>
          <w:sz w:val="15"/>
          <w:szCs w:val="15"/>
          <w:b w:val="1"/>
          <w:bCs w:val="1"/>
          <w:color w:val="auto"/>
        </w:rPr>
      </w:pPr>
    </w:p>
    <w:p>
      <w:pPr>
        <w:ind w:left="560" w:hanging="552"/>
        <w:spacing w:after="0"/>
        <w:tabs>
          <w:tab w:leader="none" w:pos="560" w:val="left"/>
        </w:tabs>
        <w:numPr>
          <w:ilvl w:val="0"/>
          <w:numId w:val="28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LEGAL CONDITIONS ON DELIVERY OF SHARES; CERTIFICATES; ESCROW; PLEDGE OF SHARES</w:t>
      </w:r>
    </w:p>
    <w:p>
      <w:pPr>
        <w:spacing w:after="0" w:line="179" w:lineRule="exact"/>
        <w:rPr>
          <w:rFonts w:ascii="Times New Roman" w:cs="Times New Roman" w:eastAsia="Times New Roman" w:hAnsi="Times New Roman"/>
          <w:sz w:val="15"/>
          <w:szCs w:val="15"/>
          <w:b w:val="1"/>
          <w:bCs w:val="1"/>
          <w:color w:val="auto"/>
        </w:rPr>
      </w:pPr>
    </w:p>
    <w:p>
      <w:pPr>
        <w:jc w:val="both"/>
        <w:ind w:firstLine="535"/>
        <w:spacing w:after="0" w:line="250" w:lineRule="auto"/>
        <w:tabs>
          <w:tab w:leader="none" w:pos="1302" w:val="left"/>
        </w:tabs>
        <w:numPr>
          <w:ilvl w:val="1"/>
          <w:numId w:val="28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Legal Conditions on Delivery of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will not be obligated to issue any Shares pursuant to the Plan or to remove any restriction from the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previously issued under the Plan until: (i) the Company is satisfied that all legal matters in connection with the issuance of such Shares have been addressed and resolved; (ii) if the outstanding Shares are at the time of issuance listed on any stock exchange or national market system, the Shares to be issued have been listed or authorized to be listed on such exchange or system upon official notice of issuance; and (iii) all conditions of the Award have been satisfied or waived. The Company may require, as a condition to the exercise of an Award or the issuance of Shares under an Award, such representations or agreements as counsel for the Company may consider appropriate to avoid violation of the Securities Act of 1933, as amended, or any other Applicable Laws.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10" w:name="page511"/>
    <w:bookmarkEnd w:id="510"/>
    <w:p>
      <w:pPr>
        <w:jc w:val="both"/>
        <w:ind w:firstLine="535"/>
        <w:spacing w:after="0" w:line="253" w:lineRule="auto"/>
        <w:tabs>
          <w:tab w:leader="none" w:pos="1168" w:val="left"/>
        </w:tabs>
        <w:numPr>
          <w:ilvl w:val="1"/>
          <w:numId w:val="28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Certificates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Any Shares issued under the Plan will be evidenced in such manner as the Administrator determines appropriate, including book-entry registration or delivery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written or electronic Share certificates, and otherwise in accordance with applicable law. In the event that the Administrator determines that Share certificates will be issued in connection with Shares issued under the Plan, the Administrator may require that such certificates bear an appropriate legend reflecting any restriction on transfer applicable to such Shares, and the Company may hold the certificates pending the lapse of the applicable restrictions.</w:t>
      </w:r>
    </w:p>
    <w:p>
      <w:pPr>
        <w:spacing w:after="0" w:line="151" w:lineRule="exact"/>
        <w:rPr>
          <w:rFonts w:ascii="Times New Roman" w:cs="Times New Roman" w:eastAsia="Times New Roman" w:hAnsi="Times New Roman"/>
          <w:sz w:val="15"/>
          <w:szCs w:val="15"/>
          <w:b w:val="1"/>
          <w:bCs w:val="1"/>
          <w:color w:val="auto"/>
        </w:rPr>
      </w:pPr>
    </w:p>
    <w:p>
      <w:pPr>
        <w:jc w:val="both"/>
        <w:ind w:firstLine="535"/>
        <w:spacing w:after="0" w:line="248" w:lineRule="auto"/>
        <w:tabs>
          <w:tab w:leader="none" w:pos="1129" w:val="left"/>
        </w:tabs>
        <w:numPr>
          <w:ilvl w:val="1"/>
          <w:numId w:val="28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Escrow; Pledge of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enforce any restrictions on a Participant’s Shares, the Administrator may require the Participant to deposit all written or electronic certificates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representing Shares, together with stock powers or other instruments of transfer approved by the Administrator, appropriately endorsed in blank, with the Company or an agent designated by the Company to hold in escrow until such restrictions have lapsed or terminated.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provided, however, that the Administrator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Administrator will from time to time approve. The Shares purchased with the promissory note may be released from the pledge on a pro rata basis as the promissory note is paid.</w:t>
      </w:r>
    </w:p>
    <w:p>
      <w:pPr>
        <w:spacing w:after="0" w:line="156" w:lineRule="exact"/>
        <w:rPr>
          <w:rFonts w:ascii="Times New Roman" w:cs="Times New Roman" w:eastAsia="Times New Roman" w:hAnsi="Times New Roman"/>
          <w:sz w:val="15"/>
          <w:szCs w:val="15"/>
          <w:b w:val="1"/>
          <w:bCs w:val="1"/>
          <w:color w:val="auto"/>
        </w:rPr>
      </w:pPr>
    </w:p>
    <w:p>
      <w:pPr>
        <w:ind w:left="560" w:hanging="552"/>
        <w:spacing w:after="0"/>
        <w:tabs>
          <w:tab w:leader="none" w:pos="560" w:val="left"/>
        </w:tabs>
        <w:numPr>
          <w:ilvl w:val="0"/>
          <w:numId w:val="28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AMENDMENT AND TERMINATION</w:t>
      </w:r>
    </w:p>
    <w:p>
      <w:pPr>
        <w:spacing w:after="0" w:line="181" w:lineRule="exact"/>
        <w:rPr>
          <w:sz w:val="20"/>
          <w:szCs w:val="20"/>
          <w:color w:val="auto"/>
        </w:rPr>
      </w:pPr>
    </w:p>
    <w:p>
      <w:pPr>
        <w:jc w:val="both"/>
        <w:ind w:firstLine="527"/>
        <w:spacing w:after="0" w:line="249" w:lineRule="auto"/>
        <w:rPr>
          <w:sz w:val="20"/>
          <w:szCs w:val="20"/>
          <w:color w:val="auto"/>
        </w:rPr>
      </w:pPr>
      <w:r>
        <w:rPr>
          <w:rFonts w:ascii="Times New Roman" w:cs="Times New Roman" w:eastAsia="Times New Roman" w:hAnsi="Times New Roman"/>
          <w:sz w:val="15"/>
          <w:szCs w:val="15"/>
          <w:color w:val="auto"/>
        </w:rPr>
        <w:t xml:space="preserve">The Administrator may at any time or times amend the Plan or any outstanding Award for any purpose which may at the time be permitted by Applicable Law, and may at any time terminate the Plan as to any future grants of Awards;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except as otherwise expressly provided in the Plan or the applicable Award, the Administrator may not, without the Participant’s consent, alter the terms of an Award so as to affect materially and adversely the Participant’s rights under the Award, unless the Administrator expressly reserved the right to do so in the Plan or at the time the applicable Award was granted. Any amendments to the Plan will be conditioned upon shareholder approval only to the extent, if any, such approval is required by Applicable Law, as determined by the Administrator. For the avoidance of doubt, without limiting the Administrator’s rights hereunder, no adjustment to any Award pursuant to the terms of Section 7 or Section 12 will be treated as an amendment requiring a Participant’s consent.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11" w:name="page512"/>
    <w:bookmarkEnd w:id="511"/>
    <w:p>
      <w:pPr>
        <w:ind w:left="640" w:hanging="632"/>
        <w:spacing w:after="0"/>
        <w:tabs>
          <w:tab w:leader="none" w:pos="640" w:val="left"/>
        </w:tabs>
        <w:numPr>
          <w:ilvl w:val="0"/>
          <w:numId w:val="28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OTHER COMPENSATION ARRANGEMENTS</w:t>
      </w:r>
    </w:p>
    <w:p>
      <w:pPr>
        <w:spacing w:after="0" w:line="181" w:lineRule="exact"/>
        <w:rPr>
          <w:sz w:val="20"/>
          <w:szCs w:val="20"/>
          <w:color w:val="auto"/>
        </w:rPr>
      </w:pPr>
    </w:p>
    <w:p>
      <w:pPr>
        <w:ind w:firstLine="527"/>
        <w:spacing w:after="0" w:line="269" w:lineRule="auto"/>
        <w:rPr>
          <w:sz w:val="20"/>
          <w:szCs w:val="20"/>
          <w:color w:val="auto"/>
        </w:rPr>
      </w:pPr>
      <w:r>
        <w:rPr>
          <w:rFonts w:ascii="Times New Roman" w:cs="Times New Roman" w:eastAsia="Times New Roman" w:hAnsi="Times New Roman"/>
          <w:sz w:val="15"/>
          <w:szCs w:val="15"/>
          <w:color w:val="auto"/>
        </w:rPr>
        <w:t>The existence of the Plan or the grant of any Award will not affect the right of the Company or any of its subsidiaries to grant any person bonuses or other compensation in addition to Awards under the Plan.</w:t>
      </w:r>
    </w:p>
    <w:p>
      <w:pPr>
        <w:spacing w:after="0" w:line="139" w:lineRule="exact"/>
        <w:rPr>
          <w:sz w:val="20"/>
          <w:szCs w:val="20"/>
          <w:color w:val="auto"/>
        </w:rPr>
      </w:pPr>
    </w:p>
    <w:p>
      <w:pPr>
        <w:ind w:left="620" w:hanging="612"/>
        <w:spacing w:after="0"/>
        <w:tabs>
          <w:tab w:leader="none" w:pos="620" w:val="left"/>
        </w:tabs>
        <w:numPr>
          <w:ilvl w:val="0"/>
          <w:numId w:val="2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MISCELLANEOUS</w:t>
      </w:r>
    </w:p>
    <w:p>
      <w:pPr>
        <w:spacing w:after="0" w:line="179" w:lineRule="exact"/>
        <w:rPr>
          <w:rFonts w:ascii="Times New Roman" w:cs="Times New Roman" w:eastAsia="Times New Roman" w:hAnsi="Times New Roman"/>
          <w:sz w:val="15"/>
          <w:szCs w:val="15"/>
          <w:b w:val="1"/>
          <w:bCs w:val="1"/>
          <w:color w:val="auto"/>
        </w:rPr>
      </w:pPr>
    </w:p>
    <w:p>
      <w:pPr>
        <w:jc w:val="both"/>
        <w:ind w:firstLine="535"/>
        <w:spacing w:after="0" w:line="248" w:lineRule="auto"/>
        <w:tabs>
          <w:tab w:leader="none" w:pos="1291" w:val="left"/>
        </w:tabs>
        <w:numPr>
          <w:ilvl w:val="1"/>
          <w:numId w:val="2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Waiver of Jury Trial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By accepting or being deemed to have accepted an Award under the Plan, each Participant waives (or will be deemed to have waived),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Award to binding arbitration or as limiting the ability of the Company to require any individual to agree to submit such disputes to binding arbitration as a condition of receiving an Award hereunder.</w:t>
      </w:r>
    </w:p>
    <w:p>
      <w:pPr>
        <w:spacing w:after="0" w:line="156" w:lineRule="exact"/>
        <w:rPr>
          <w:rFonts w:ascii="Times New Roman" w:cs="Times New Roman" w:eastAsia="Times New Roman" w:hAnsi="Times New Roman"/>
          <w:sz w:val="15"/>
          <w:szCs w:val="15"/>
          <w:b w:val="1"/>
          <w:bCs w:val="1"/>
          <w:color w:val="auto"/>
        </w:rPr>
      </w:pPr>
    </w:p>
    <w:p>
      <w:pPr>
        <w:jc w:val="both"/>
        <w:ind w:firstLine="535"/>
        <w:spacing w:after="0" w:line="253" w:lineRule="auto"/>
        <w:tabs>
          <w:tab w:leader="none" w:pos="1146" w:val="left"/>
        </w:tabs>
        <w:numPr>
          <w:ilvl w:val="1"/>
          <w:numId w:val="2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Limitation of Liability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Notwithstanding anything to the contrary in the Plan or any Award, neither the Company, nor any of its subsidiaries, nor the Administrator, nor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person acting on behalf of the Company, any of its subsidiaries, or the Administrator, will be liable to any Participant, to any permitted transferee, to the estate or beneficiary of any Participant or any permitted transferee, or to any other person by reason of any acceleration of income, any additional tax, or any penalty, interest or other liability asserted by reason of the failure of an Award to satisfy the requirements of Section 422 or Section 409A or by reason of Section 4999 of the Code, or otherwise asserted with respect to any Award.</w:t>
      </w:r>
    </w:p>
    <w:p>
      <w:pPr>
        <w:spacing w:after="0" w:line="151" w:lineRule="exact"/>
        <w:rPr>
          <w:rFonts w:ascii="Times New Roman" w:cs="Times New Roman" w:eastAsia="Times New Roman" w:hAnsi="Times New Roman"/>
          <w:sz w:val="15"/>
          <w:szCs w:val="15"/>
          <w:b w:val="1"/>
          <w:bCs w:val="1"/>
          <w:color w:val="auto"/>
        </w:rPr>
      </w:pPr>
    </w:p>
    <w:p>
      <w:pPr>
        <w:ind w:firstLine="535"/>
        <w:spacing w:after="0" w:line="272" w:lineRule="auto"/>
        <w:tabs>
          <w:tab w:leader="none" w:pos="1151" w:val="left"/>
        </w:tabs>
        <w:numPr>
          <w:ilvl w:val="1"/>
          <w:numId w:val="2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Unfunded Plan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Company’s obligations under the Plan are unfunded, and no Participant will have any right to specific assets of the Company in respect of any Award.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Participants will be general unsecured creditors of the Company with respect to any amounts due or payable under the Plan.</w:t>
      </w:r>
    </w:p>
    <w:p>
      <w:pPr>
        <w:spacing w:after="0" w:line="136" w:lineRule="exact"/>
        <w:rPr>
          <w:rFonts w:ascii="Times New Roman" w:cs="Times New Roman" w:eastAsia="Times New Roman" w:hAnsi="Times New Roman"/>
          <w:sz w:val="15"/>
          <w:szCs w:val="15"/>
          <w:b w:val="1"/>
          <w:bCs w:val="1"/>
          <w:color w:val="auto"/>
        </w:rPr>
      </w:pPr>
    </w:p>
    <w:p>
      <w:pPr>
        <w:ind w:left="640" w:hanging="632"/>
        <w:spacing w:after="0"/>
        <w:tabs>
          <w:tab w:leader="none" w:pos="640" w:val="left"/>
        </w:tabs>
        <w:numPr>
          <w:ilvl w:val="0"/>
          <w:numId w:val="2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RULES FOR PARTICIPANTS SUBJECT TO NON-U.S. LAWS</w:t>
      </w:r>
    </w:p>
    <w:p>
      <w:pPr>
        <w:spacing w:after="0" w:line="181" w:lineRule="exact"/>
        <w:rPr>
          <w:sz w:val="20"/>
          <w:szCs w:val="20"/>
          <w:color w:val="auto"/>
        </w:rPr>
      </w:pPr>
    </w:p>
    <w:p>
      <w:pPr>
        <w:jc w:val="both"/>
        <w:ind w:firstLine="527"/>
        <w:spacing w:after="0" w:line="252" w:lineRule="auto"/>
        <w:rPr>
          <w:sz w:val="20"/>
          <w:szCs w:val="20"/>
          <w:color w:val="auto"/>
        </w:rPr>
      </w:pPr>
      <w:r>
        <w:rPr>
          <w:rFonts w:ascii="Times New Roman" w:cs="Times New Roman" w:eastAsia="Times New Roman" w:hAnsi="Times New Roman"/>
          <w:sz w:val="15"/>
          <w:szCs w:val="15"/>
          <w:color w:val="auto"/>
        </w:rPr>
        <w:t>The Administrator may at any time and from time to time establish one or more sub-plans under the Plan (for local-law compliance purposes or other administrative reasons determined by the Administrator) by adopting supplements to the Plan containing, in each case, such limitations on the Administrator’s discretion under the Plan, and such additional terms and conditions, as the Administrator deems necessary or desirable. Each supplement so established will be deemed to be part of the Plan but will apply only to Participants within the group to which the supplement applies (as determined by the Administrator).</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12" w:name="page513"/>
    <w:bookmarkEnd w:id="512"/>
    <w:p>
      <w:pPr>
        <w:ind w:left="640" w:hanging="632"/>
        <w:spacing w:after="0"/>
        <w:tabs>
          <w:tab w:leader="none" w:pos="640" w:val="left"/>
        </w:tabs>
        <w:numPr>
          <w:ilvl w:val="0"/>
          <w:numId w:val="28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GOVERNING LAW</w:t>
      </w:r>
    </w:p>
    <w:p>
      <w:pPr>
        <w:spacing w:after="0" w:line="179" w:lineRule="exact"/>
        <w:rPr>
          <w:rFonts w:ascii="Times New Roman" w:cs="Times New Roman" w:eastAsia="Times New Roman" w:hAnsi="Times New Roman"/>
          <w:sz w:val="15"/>
          <w:szCs w:val="15"/>
          <w:b w:val="1"/>
          <w:bCs w:val="1"/>
          <w:color w:val="auto"/>
        </w:rPr>
      </w:pPr>
    </w:p>
    <w:p>
      <w:pPr>
        <w:jc w:val="both"/>
        <w:ind w:firstLine="535"/>
        <w:spacing w:after="0" w:line="258" w:lineRule="auto"/>
        <w:tabs>
          <w:tab w:leader="none" w:pos="1137" w:val="left"/>
        </w:tabs>
        <w:numPr>
          <w:ilvl w:val="1"/>
          <w:numId w:val="28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Certain Requirements of Corporate Law</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Awards will be granted and administered consistent with the requirements of Applicable Laws relating to the issuance of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the consideration to be received therefor, and with the applicable requirements of the stock exchanges or other trading systems on which Shares are listed or entered for trading, in each case as determined by the Administrator.</w:t>
      </w:r>
    </w:p>
    <w:p>
      <w:pPr>
        <w:spacing w:after="0" w:line="146" w:lineRule="exact"/>
        <w:rPr>
          <w:rFonts w:ascii="Times New Roman" w:cs="Times New Roman" w:eastAsia="Times New Roman" w:hAnsi="Times New Roman"/>
          <w:sz w:val="15"/>
          <w:szCs w:val="15"/>
          <w:b w:val="1"/>
          <w:bCs w:val="1"/>
          <w:color w:val="auto"/>
        </w:rPr>
      </w:pPr>
    </w:p>
    <w:p>
      <w:pPr>
        <w:jc w:val="both"/>
        <w:ind w:firstLine="535"/>
        <w:spacing w:after="0" w:line="253" w:lineRule="auto"/>
        <w:tabs>
          <w:tab w:leader="none" w:pos="1157" w:val="left"/>
        </w:tabs>
        <w:numPr>
          <w:ilvl w:val="1"/>
          <w:numId w:val="28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Other Matters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Except as otherwise provided by the express terms of an Award agreement, under a sub-plan described in Section 12 or as provided in Section 13(a) above,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domestic substantive laws of the State of New York govern the provisions of the Plan and of Awards under the Plan and all claims or disputes arising out of or based upon the Plan or any Award under the Plan or relating to the subject matter hereof or thereof without giving effect to any choice or conflict of laws provision or rule that would cause the application of the domestic substantive laws of any other jurisdiction.</w:t>
      </w:r>
    </w:p>
    <w:p>
      <w:pPr>
        <w:spacing w:after="0" w:line="151" w:lineRule="exact"/>
        <w:rPr>
          <w:rFonts w:ascii="Times New Roman" w:cs="Times New Roman" w:eastAsia="Times New Roman" w:hAnsi="Times New Roman"/>
          <w:sz w:val="15"/>
          <w:szCs w:val="15"/>
          <w:b w:val="1"/>
          <w:bCs w:val="1"/>
          <w:color w:val="auto"/>
        </w:rPr>
      </w:pPr>
    </w:p>
    <w:p>
      <w:pPr>
        <w:jc w:val="both"/>
        <w:ind w:firstLine="535"/>
        <w:spacing w:after="0" w:line="249" w:lineRule="auto"/>
        <w:tabs>
          <w:tab w:leader="none" w:pos="1360" w:val="left"/>
        </w:tabs>
        <w:numPr>
          <w:ilvl w:val="1"/>
          <w:numId w:val="28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Jurisdiction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By accepting (or being deemed to have accepted) an Award, each Participant agrees or will be deemed to have agreed to (i) submit irrevocably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unconditionally to the jurisdiction of the federal and state courts located within the geographic boundaries of the United States District Court for the Southern District of New York for the purpose of any suit, action or other proceeding arising out of or based upon the Plan or any Award; (ii) not commence any suit, action or other proceeding arising out of or based upon the Plan or any Award, except in the federal and state courts located within the geographic boundaries of the United States District Court for the Southern District of New York; and (iii) waive, and not assert, by way of motion as a defense or otherwise, in any such suit, action or proceeding, any claim that he or she is not subject personally to the jurisdiction of the above-named courts that his or her property is exempt or immune from attachment or execution, that the suit, action or proceeding is brought in an inconvenient forum, that the venue of the suit, action or proceeding is improper or that the Plan or any Award or the subject matter thereof may not be enforced in or by such court.</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13" w:name="page514"/>
    <w:bookmarkEnd w:id="513"/>
    <w:p>
      <w:pPr>
        <w:jc w:val="center"/>
        <w:spacing w:after="0"/>
        <w:rPr>
          <w:sz w:val="20"/>
          <w:szCs w:val="20"/>
          <w:color w:val="auto"/>
        </w:rPr>
      </w:pPr>
      <w:r>
        <w:rPr>
          <w:rFonts w:ascii="Times New Roman" w:cs="Times New Roman" w:eastAsia="Times New Roman" w:hAnsi="Times New Roman"/>
          <w:sz w:val="15"/>
          <w:szCs w:val="15"/>
          <w:b w:val="1"/>
          <w:bCs w:val="1"/>
          <w:color w:val="auto"/>
        </w:rPr>
        <w:t>EXHIBIT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Definition of Terms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terms, when used in the Plan, have the meanings and are subject to the provisions set forth below:</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“Accounting Rules”: </w:t>
      </w:r>
      <w:r>
        <w:rPr>
          <w:rFonts w:ascii="Times New Roman" w:cs="Times New Roman" w:eastAsia="Times New Roman" w:hAnsi="Times New Roman"/>
          <w:sz w:val="15"/>
          <w:szCs w:val="15"/>
          <w:color w:val="auto"/>
        </w:rPr>
        <w:t>Financial Accounting Standards Board Accounting Standards Codification Topic 718, or any successor provision.</w:t>
      </w:r>
    </w:p>
    <w:p>
      <w:pPr>
        <w:spacing w:after="0" w:line="179" w:lineRule="exact"/>
        <w:rPr>
          <w:sz w:val="20"/>
          <w:szCs w:val="20"/>
          <w:color w:val="auto"/>
        </w:rPr>
      </w:pPr>
    </w:p>
    <w:p>
      <w:pPr>
        <w:jc w:val="both"/>
        <w:ind w:firstLine="527"/>
        <w:spacing w:after="0" w:line="250" w:lineRule="auto"/>
        <w:rPr>
          <w:sz w:val="20"/>
          <w:szCs w:val="20"/>
          <w:color w:val="auto"/>
        </w:rPr>
      </w:pPr>
      <w:r>
        <w:rPr>
          <w:rFonts w:ascii="Times New Roman" w:cs="Times New Roman" w:eastAsia="Times New Roman" w:hAnsi="Times New Roman"/>
          <w:sz w:val="15"/>
          <w:szCs w:val="15"/>
          <w:b w:val="1"/>
          <w:bCs w:val="1"/>
          <w:color w:val="auto"/>
        </w:rPr>
        <w:t xml:space="preserve">“Administrator”: </w:t>
      </w:r>
      <w:r>
        <w:rPr>
          <w:rFonts w:ascii="Times New Roman" w:cs="Times New Roman" w:eastAsia="Times New Roman" w:hAnsi="Times New Roman"/>
          <w:sz w:val="15"/>
          <w:szCs w:val="15"/>
          <w:color w:val="auto"/>
        </w:rPr>
        <w:t>The Compensation Committee, except with respect to such matters that are not delegated to the Compensation Committee by the Board (whether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committee charter or otherwise). The Compensation Committee (or the Board, with respect to such matters over which it retains authority under the Plan or otherwise) may delegate (i) to one or more of its members (or one or more other members of the Board, including the full Board) such of its duties, powers and responsibilities as it may determine; (ii) to one or more officers of the Company the power to grant Awards to the extent permitted by Applicable Law; and (iii) to such Employees or other persons as it determines such ministerial tasks as it deems appropriate. For purposes of the Plan, the term “Administrator” will include the Board, the Compensation Committee, and the person or persons delegated authority under the Plan to the extent of such delegation, as applicable.</w:t>
      </w:r>
    </w:p>
    <w:p>
      <w:pPr>
        <w:spacing w:after="0" w:line="152" w:lineRule="exact"/>
        <w:rPr>
          <w:sz w:val="20"/>
          <w:szCs w:val="20"/>
          <w:color w:val="auto"/>
        </w:rPr>
      </w:pPr>
    </w:p>
    <w:p>
      <w:pPr>
        <w:jc w:val="both"/>
        <w:ind w:firstLine="527"/>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“Applicable Laws”: </w:t>
      </w:r>
      <w:r>
        <w:rPr>
          <w:rFonts w:ascii="Times New Roman" w:cs="Times New Roman" w:eastAsia="Times New Roman" w:hAnsi="Times New Roman"/>
          <w:sz w:val="15"/>
          <w:szCs w:val="15"/>
          <w:color w:val="auto"/>
        </w:rPr>
        <w:t>The legal requirements relating to the Plan and the Awards under applicable provisions of the corporate, securities, tax and other laws, rules, regulations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government orders, and the rules of any applicable stock exchange or national market system, of any jurisdiction applicable to Awards.</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“Award”: </w:t>
      </w:r>
      <w:r>
        <w:rPr>
          <w:rFonts w:ascii="Times New Roman" w:cs="Times New Roman" w:eastAsia="Times New Roman" w:hAnsi="Times New Roman"/>
          <w:sz w:val="15"/>
          <w:szCs w:val="15"/>
          <w:color w:val="auto"/>
        </w:rPr>
        <w:t>Any or a combination of the following:</w:t>
      </w:r>
    </w:p>
    <w:p>
      <w:pPr>
        <w:spacing w:after="0" w:line="181" w:lineRule="exact"/>
        <w:rPr>
          <w:sz w:val="20"/>
          <w:szCs w:val="20"/>
          <w:color w:val="auto"/>
        </w:rPr>
      </w:pPr>
    </w:p>
    <w:p>
      <w:pPr>
        <w:ind w:left="1240" w:hanging="177"/>
        <w:spacing w:after="0"/>
        <w:tabs>
          <w:tab w:leader="none" w:pos="1240"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 Options.</w:t>
      </w:r>
    </w:p>
    <w:p>
      <w:pPr>
        <w:spacing w:after="0" w:line="179" w:lineRule="exact"/>
        <w:rPr>
          <w:rFonts w:ascii="Times New Roman" w:cs="Times New Roman" w:eastAsia="Times New Roman" w:hAnsi="Times New Roman"/>
          <w:sz w:val="15"/>
          <w:szCs w:val="15"/>
          <w:color w:val="auto"/>
        </w:rPr>
      </w:pPr>
    </w:p>
    <w:p>
      <w:pPr>
        <w:ind w:left="1280" w:hanging="217"/>
        <w:spacing w:after="0"/>
        <w:tabs>
          <w:tab w:leader="none" w:pos="1280"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SARs.</w:t>
      </w:r>
    </w:p>
    <w:p>
      <w:pPr>
        <w:spacing w:after="0" w:line="179" w:lineRule="exact"/>
        <w:rPr>
          <w:rFonts w:ascii="Times New Roman" w:cs="Times New Roman" w:eastAsia="Times New Roman" w:hAnsi="Times New Roman"/>
          <w:sz w:val="15"/>
          <w:szCs w:val="15"/>
          <w:color w:val="auto"/>
        </w:rPr>
      </w:pPr>
    </w:p>
    <w:p>
      <w:pPr>
        <w:ind w:left="1320" w:hanging="257"/>
        <w:spacing w:after="0"/>
        <w:tabs>
          <w:tab w:leader="none" w:pos="1320"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Restricted Shares.</w:t>
      </w:r>
    </w:p>
    <w:p>
      <w:pPr>
        <w:spacing w:after="0" w:line="179" w:lineRule="exact"/>
        <w:rPr>
          <w:rFonts w:ascii="Times New Roman" w:cs="Times New Roman" w:eastAsia="Times New Roman" w:hAnsi="Times New Roman"/>
          <w:sz w:val="15"/>
          <w:szCs w:val="15"/>
          <w:color w:val="auto"/>
        </w:rPr>
      </w:pPr>
    </w:p>
    <w:p>
      <w:pPr>
        <w:ind w:left="1320" w:hanging="257"/>
        <w:spacing w:after="0"/>
        <w:tabs>
          <w:tab w:leader="none" w:pos="1320"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Unrestricted Shares.</w:t>
      </w:r>
    </w:p>
    <w:p>
      <w:pPr>
        <w:spacing w:after="0" w:line="179" w:lineRule="exact"/>
        <w:rPr>
          <w:rFonts w:ascii="Times New Roman" w:cs="Times New Roman" w:eastAsia="Times New Roman" w:hAnsi="Times New Roman"/>
          <w:sz w:val="15"/>
          <w:szCs w:val="15"/>
          <w:color w:val="auto"/>
        </w:rPr>
      </w:pPr>
    </w:p>
    <w:p>
      <w:pPr>
        <w:ind w:left="1300" w:hanging="237"/>
        <w:spacing w:after="0"/>
        <w:tabs>
          <w:tab w:leader="none" w:pos="1300"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Restricted Share Units.</w:t>
      </w:r>
    </w:p>
    <w:p>
      <w:pPr>
        <w:spacing w:after="0" w:line="179" w:lineRule="exact"/>
        <w:rPr>
          <w:rFonts w:ascii="Times New Roman" w:cs="Times New Roman" w:eastAsia="Times New Roman" w:hAnsi="Times New Roman"/>
          <w:sz w:val="15"/>
          <w:szCs w:val="15"/>
          <w:color w:val="auto"/>
        </w:rPr>
      </w:pPr>
    </w:p>
    <w:p>
      <w:pPr>
        <w:ind w:left="1340" w:hanging="277"/>
        <w:spacing w:after="0"/>
        <w:tabs>
          <w:tab w:leader="none" w:pos="1340"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Awards (other than Awards described in (i) through (vii) above) that are convertible into or otherwise based on Shares.</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“Board”: </w:t>
      </w:r>
      <w:r>
        <w:rPr>
          <w:rFonts w:ascii="Times New Roman" w:cs="Times New Roman" w:eastAsia="Times New Roman" w:hAnsi="Times New Roman"/>
          <w:sz w:val="15"/>
          <w:szCs w:val="15"/>
          <w:color w:val="auto"/>
        </w:rPr>
        <w:t>The Board of Directors of the Company.</w:t>
      </w:r>
    </w:p>
    <w:p>
      <w:pPr>
        <w:spacing w:after="0" w:line="179" w:lineRule="exact"/>
        <w:rPr>
          <w:sz w:val="20"/>
          <w:szCs w:val="20"/>
          <w:color w:val="auto"/>
        </w:rPr>
      </w:pPr>
    </w:p>
    <w:p>
      <w:pPr>
        <w:jc w:val="both"/>
        <w:ind w:firstLine="527"/>
        <w:spacing w:after="0" w:line="248" w:lineRule="auto"/>
        <w:rPr>
          <w:sz w:val="20"/>
          <w:szCs w:val="20"/>
          <w:color w:val="auto"/>
        </w:rPr>
      </w:pPr>
      <w:r>
        <w:rPr>
          <w:rFonts w:ascii="Times New Roman" w:cs="Times New Roman" w:eastAsia="Times New Roman" w:hAnsi="Times New Roman"/>
          <w:sz w:val="15"/>
          <w:szCs w:val="15"/>
          <w:b w:val="1"/>
          <w:bCs w:val="1"/>
          <w:color w:val="auto"/>
        </w:rPr>
        <w:t xml:space="preserve">“Cause”: </w:t>
      </w:r>
      <w:r>
        <w:rPr>
          <w:rFonts w:ascii="Times New Roman" w:cs="Times New Roman" w:eastAsia="Times New Roman" w:hAnsi="Times New Roman"/>
          <w:sz w:val="15"/>
          <w:szCs w:val="15"/>
          <w:color w:val="auto"/>
        </w:rPr>
        <w:t>In the case of any Participant who is party to an employment, severance-benefit or other individual agreement that contains a definition of “Cause,” the definition set forth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such agreement applies with respect to such Participant for purposes of the Plan for so long as such agreement is in effect. In every other case, “Cause” means, as determined by the Administrator, (i) a failure of the Participant to perform the Participant’s duties and responsibilities to the Company or any of its subsidiaries or negligence in the performance of such duties and responsibilities; (ii) the commission by the Participant of, or plea of nolo contendre to, a crime involving moral turpitude or any felony; (iii) the commission by the Participant of theft, fraud, embezzlement, breach of trust or any material act of dishonesty involving the Company or any of its subsidiaries; (iv) a violation by the Participant of the code of conduct of the Company or any of its subsidiaries or of any material policy of the Company or any of its subsidiaries or of any statutory or common law duty of loyalty to the Company or any of its subsidiaries; (v) a material breach of any of the terms of the Plan or any Award made under the Plan, or of the terms of any other agreement between the Company or any of its subsidiaries and the Participant; or (vi) other conduct by the Participant that could be expected to be harmful to the business, interests or reputation of the Company.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14" w:name="page515"/>
    <w:bookmarkEnd w:id="514"/>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“Code”: </w:t>
      </w:r>
      <w:r>
        <w:rPr>
          <w:rFonts w:ascii="Times New Roman" w:cs="Times New Roman" w:eastAsia="Times New Roman" w:hAnsi="Times New Roman"/>
          <w:sz w:val="15"/>
          <w:szCs w:val="15"/>
          <w:color w:val="auto"/>
        </w:rPr>
        <w:t>The U.S. Internal Revenue Code of 1986, as from time to time amended and in effect, or any successor statute as from time to time in effect.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“Common Stock”: </w:t>
      </w:r>
      <w:r>
        <w:rPr>
          <w:rFonts w:ascii="Times New Roman" w:cs="Times New Roman" w:eastAsia="Times New Roman" w:hAnsi="Times New Roman"/>
          <w:sz w:val="15"/>
          <w:szCs w:val="15"/>
          <w:color w:val="auto"/>
        </w:rPr>
        <w:t>The common stock of the Company, par value $0.0001 per share.</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“Compensation Committee”: </w:t>
      </w:r>
      <w:r>
        <w:rPr>
          <w:rFonts w:ascii="Times New Roman" w:cs="Times New Roman" w:eastAsia="Times New Roman" w:hAnsi="Times New Roman"/>
          <w:sz w:val="15"/>
          <w:szCs w:val="15"/>
          <w:color w:val="auto"/>
        </w:rPr>
        <w:t>The Compensation Committee of the Board.</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“Company”: </w:t>
      </w:r>
      <w:r>
        <w:rPr>
          <w:rFonts w:ascii="Times New Roman" w:cs="Times New Roman" w:eastAsia="Times New Roman" w:hAnsi="Times New Roman"/>
          <w:sz w:val="15"/>
          <w:szCs w:val="15"/>
          <w:color w:val="auto"/>
        </w:rPr>
        <w:t>Zenas BioPharma, Inc., a Delaware corporation.</w:t>
      </w:r>
    </w:p>
    <w:p>
      <w:pPr>
        <w:spacing w:after="0" w:line="179" w:lineRule="exact"/>
        <w:rPr>
          <w:sz w:val="20"/>
          <w:szCs w:val="20"/>
          <w:color w:val="auto"/>
        </w:rPr>
      </w:pPr>
    </w:p>
    <w:p>
      <w:pPr>
        <w:jc w:val="both"/>
        <w:ind w:firstLine="527"/>
        <w:spacing w:after="0" w:line="249" w:lineRule="auto"/>
        <w:rPr>
          <w:sz w:val="20"/>
          <w:szCs w:val="20"/>
          <w:color w:val="auto"/>
        </w:rPr>
      </w:pPr>
      <w:r>
        <w:rPr>
          <w:rFonts w:ascii="Times New Roman" w:cs="Times New Roman" w:eastAsia="Times New Roman" w:hAnsi="Times New Roman"/>
          <w:sz w:val="15"/>
          <w:szCs w:val="15"/>
          <w:b w:val="1"/>
          <w:bCs w:val="1"/>
          <w:color w:val="auto"/>
        </w:rPr>
        <w:t xml:space="preserve">“Covered Transaction”: </w:t>
      </w:r>
      <w:r>
        <w:rPr>
          <w:rFonts w:ascii="Times New Roman" w:cs="Times New Roman" w:eastAsia="Times New Roman" w:hAnsi="Times New Roman"/>
          <w:sz w:val="15"/>
          <w:szCs w:val="15"/>
          <w:color w:val="auto"/>
        </w:rPr>
        <w:t>Any of (i) a consolidation, merger or similar transaction or series of related transactions, including a sale or other disposition of Shares, in which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is not the surviving corporation or which results in the acquisition of all or substantially all of the Company’s then-outstanding Shares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will be deemed to have occurred upon consummation of the tender offer. Notwithstanding the foregoing, the following transactions shall not constitute a Covered Transaction: (A) if its purpose is to change the jurisdiction of the Company’s incorporation, (B) if its purpose is to create a holding company that will be owned in substantially the same proportions by the persons who hold the Company’s securities immediately before such transaction, or (C) if its purpose is to obtain funding for the Company in an equity financing that is approved by the Board.</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“Date of Adoption”: </w:t>
      </w:r>
      <w:r>
        <w:rPr>
          <w:rFonts w:ascii="Times New Roman" w:cs="Times New Roman" w:eastAsia="Times New Roman" w:hAnsi="Times New Roman"/>
          <w:sz w:val="15"/>
          <w:szCs w:val="15"/>
          <w:color w:val="auto"/>
        </w:rPr>
        <w:t>The earlier of the date the Plan was approved by the Company’s shareholders or adopted by the Board.</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“Director”: </w:t>
      </w:r>
      <w:r>
        <w:rPr>
          <w:rFonts w:ascii="Times New Roman" w:cs="Times New Roman" w:eastAsia="Times New Roman" w:hAnsi="Times New Roman"/>
          <w:sz w:val="15"/>
          <w:szCs w:val="15"/>
          <w:color w:val="auto"/>
        </w:rPr>
        <w:t>A member of the Board who is not an Employee.</w:t>
      </w:r>
    </w:p>
    <w:p>
      <w:pPr>
        <w:spacing w:after="0" w:line="179" w:lineRule="exact"/>
        <w:rPr>
          <w:sz w:val="20"/>
          <w:szCs w:val="20"/>
          <w:color w:val="auto"/>
        </w:rPr>
      </w:pPr>
    </w:p>
    <w:p>
      <w:pPr>
        <w:jc w:val="both"/>
        <w:ind w:firstLine="527"/>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“Disability”: </w:t>
      </w:r>
      <w:r>
        <w:rPr>
          <w:rFonts w:ascii="Times New Roman" w:cs="Times New Roman" w:eastAsia="Times New Roman" w:hAnsi="Times New Roman"/>
          <w:sz w:val="15"/>
          <w:szCs w:val="15"/>
          <w:color w:val="auto"/>
        </w:rPr>
        <w:t>In the case of any Participant who is party to an employment, severance-benefit or other individual agreement that contains a definition of “Disability” (or a corollary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 the definition set forth in such agreement applies with respect to such Participant for purposes of the Plan for so long as such agreement is in effect. In every other case, “Disability” means, as determined by the Administrator, absence from work due to a disability for a period in excess of ninety (90) days in any twelve (12)-month period that would entitle the Participant to receive benefits under the Company’s long-term disability program as in effect from time to time (if the Participant were a participant in such program) or, in the case of any ISO, a “Disability” means a “permanent and total disability”, within the meaning of Section 22(e)(3) of the Code.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15" w:name="page516"/>
    <w:bookmarkEnd w:id="515"/>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“Employee”: </w:t>
      </w:r>
      <w:r>
        <w:rPr>
          <w:rFonts w:ascii="Times New Roman" w:cs="Times New Roman" w:eastAsia="Times New Roman" w:hAnsi="Times New Roman"/>
          <w:sz w:val="15"/>
          <w:szCs w:val="15"/>
          <w:color w:val="auto"/>
        </w:rPr>
        <w:t>Any person who is employed by the Company or any of its subsidiaries.</w:t>
      </w:r>
    </w:p>
    <w:p>
      <w:pPr>
        <w:spacing w:after="0" w:line="179" w:lineRule="exact"/>
        <w:rPr>
          <w:sz w:val="20"/>
          <w:szCs w:val="20"/>
          <w:color w:val="auto"/>
        </w:rPr>
      </w:pPr>
    </w:p>
    <w:p>
      <w:pPr>
        <w:jc w:val="both"/>
        <w:ind w:firstLine="527"/>
        <w:spacing w:after="0" w:line="247" w:lineRule="auto"/>
        <w:rPr>
          <w:sz w:val="20"/>
          <w:szCs w:val="20"/>
          <w:color w:val="auto"/>
        </w:rPr>
      </w:pPr>
      <w:r>
        <w:rPr>
          <w:rFonts w:ascii="Times New Roman" w:cs="Times New Roman" w:eastAsia="Times New Roman" w:hAnsi="Times New Roman"/>
          <w:sz w:val="15"/>
          <w:szCs w:val="15"/>
          <w:b w:val="1"/>
          <w:bCs w:val="1"/>
          <w:color w:val="auto"/>
        </w:rPr>
        <w:t xml:space="preserve">“Employment”: </w:t>
      </w:r>
      <w:r>
        <w:rPr>
          <w:rFonts w:ascii="Times New Roman" w:cs="Times New Roman" w:eastAsia="Times New Roman" w:hAnsi="Times New Roman"/>
          <w:sz w:val="15"/>
          <w:szCs w:val="15"/>
          <w:color w:val="auto"/>
        </w:rPr>
        <w:t>A Participant’s employment or other service relationship with the Company or any of its subsidiaries. Employment will be deemed to continue, unless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Administrator otherwise determines, so long as the Participant is employed by, or otherwise is providing services in a capacity described in Section 5 to, the Company or any of its subsidiaries. If a Participant’s employment or other service relationship is with any subsidiary of the Company and that entity ceases to be a subsidiary of the Company, the Participant’s Employment will be deemed to have terminated when the entity ceases to be a subsidiary of the Company unless the Participant transfers Employment to the Company or one of its remaining subsidiaries. Notwithstanding the foregoing,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after giving effect to the presumptions contained therein)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“Exchange Act”: </w:t>
      </w:r>
      <w:r>
        <w:rPr>
          <w:rFonts w:ascii="Times New Roman" w:cs="Times New Roman" w:eastAsia="Times New Roman" w:hAnsi="Times New Roman"/>
          <w:sz w:val="15"/>
          <w:szCs w:val="15"/>
          <w:color w:val="auto"/>
        </w:rPr>
        <w:t>The Securities Exchange Act of 1934, as amended.</w:t>
      </w:r>
    </w:p>
    <w:p>
      <w:pPr>
        <w:spacing w:after="0" w:line="179" w:lineRule="exact"/>
        <w:rPr>
          <w:sz w:val="20"/>
          <w:szCs w:val="20"/>
          <w:color w:val="auto"/>
        </w:rPr>
      </w:pPr>
    </w:p>
    <w:p>
      <w:pPr>
        <w:jc w:val="both"/>
        <w:ind w:firstLine="527"/>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“Fair Market Value”: </w:t>
      </w:r>
      <w:r>
        <w:rPr>
          <w:rFonts w:ascii="Times New Roman" w:cs="Times New Roman" w:eastAsia="Times New Roman" w:hAnsi="Times New Roman"/>
          <w:sz w:val="15"/>
          <w:szCs w:val="15"/>
          <w:color w:val="auto"/>
        </w:rPr>
        <w:t>As of a particular date, (i) the closing price for a Share, as applicable, reported on the NASDAQ Capital Market (or any other national securities exchange 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which the Share, as applicable, is then listed) for that date or, if no closing price is reported for that date, the closing price on the immediately preceding date on which a closing price was reported or (ii) in the event that no Share, as applicable, is traded on a national securities exchange, the fair market value of a Share determined by the Administrator consistent with the rules of Section 422 and Section 409A, to the extent applicable.</w:t>
      </w:r>
    </w:p>
    <w:p>
      <w:pPr>
        <w:spacing w:after="0" w:line="152" w:lineRule="exact"/>
        <w:rPr>
          <w:sz w:val="20"/>
          <w:szCs w:val="20"/>
          <w:color w:val="auto"/>
        </w:rPr>
      </w:pPr>
    </w:p>
    <w:p>
      <w:pPr>
        <w:jc w:val="both"/>
        <w:ind w:firstLine="527"/>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“ISO”: </w:t>
      </w:r>
      <w:r>
        <w:rPr>
          <w:rFonts w:ascii="Times New Roman" w:cs="Times New Roman" w:eastAsia="Times New Roman" w:hAnsi="Times New Roman"/>
          <w:sz w:val="15"/>
          <w:szCs w:val="15"/>
          <w:color w:val="auto"/>
        </w:rPr>
        <w:t>A Share Option intended to be an “incentive stock option” within the meaning of Section 422. Each Share Option granted pursuant to the Plan will be treated as providing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its terms that it is to be an NSO unless, as of the date of grant, it is expressly designated as an ISO.</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“NSO”: </w:t>
      </w:r>
      <w:r>
        <w:rPr>
          <w:rFonts w:ascii="Times New Roman" w:cs="Times New Roman" w:eastAsia="Times New Roman" w:hAnsi="Times New Roman"/>
          <w:sz w:val="15"/>
          <w:szCs w:val="15"/>
          <w:color w:val="auto"/>
        </w:rPr>
        <w:t>A Share Option that is not intended to be an “incentive stock option” within the meaning of Section 422.</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“Participant”: </w:t>
      </w:r>
      <w:r>
        <w:rPr>
          <w:rFonts w:ascii="Times New Roman" w:cs="Times New Roman" w:eastAsia="Times New Roman" w:hAnsi="Times New Roman"/>
          <w:sz w:val="15"/>
          <w:szCs w:val="15"/>
          <w:color w:val="auto"/>
        </w:rPr>
        <w:t>A person who is granted an Award under the Plan.</w:t>
      </w:r>
    </w:p>
    <w:p>
      <w:pPr>
        <w:spacing w:after="0" w:line="179" w:lineRule="exact"/>
        <w:rPr>
          <w:sz w:val="20"/>
          <w:szCs w:val="20"/>
          <w:color w:val="auto"/>
        </w:rPr>
      </w:pPr>
    </w:p>
    <w:p>
      <w:pPr>
        <w:jc w:val="both"/>
        <w:ind w:firstLine="527"/>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“Performance Criteria”: </w:t>
      </w:r>
      <w:r>
        <w:rPr>
          <w:rFonts w:ascii="Times New Roman" w:cs="Times New Roman" w:eastAsia="Times New Roman" w:hAnsi="Times New Roman"/>
          <w:sz w:val="15"/>
          <w:szCs w:val="15"/>
          <w:color w:val="auto"/>
        </w:rPr>
        <w:t>Specified criteria, other than the mere continuation of Employment or the mere passage of time, the satisfaction of which is a condition for the grant,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exercisability, vesting or full enjoyment of an Award. A Performance Criterion and any targets with respect thereto need not be based upon an increase, a positive or improved result or avoidance of loss and may be applied to a Participant individually, or to a business unit or division of the Company or to the Company as a whole. The Administrator may provide that one or more of the Performance Criteria applicable to such Award will be adjusted in a manner to reflect events (for example, but without limitation, acquisitions or dispositions) occurring during the performance period that affect the applicable Performance Criterion or Criteria.</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16" w:name="page517"/>
    <w:bookmarkEnd w:id="516"/>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“Plan”: </w:t>
      </w:r>
      <w:r>
        <w:rPr>
          <w:rFonts w:ascii="Times New Roman" w:cs="Times New Roman" w:eastAsia="Times New Roman" w:hAnsi="Times New Roman"/>
          <w:sz w:val="15"/>
          <w:szCs w:val="15"/>
          <w:color w:val="auto"/>
        </w:rPr>
        <w:t>This Zenas BioPharma, Inc. 2020 Equity Incentive Plan, as from time to time amended and in effect.</w:t>
      </w:r>
    </w:p>
    <w:p>
      <w:pPr>
        <w:spacing w:after="0" w:line="179" w:lineRule="exact"/>
        <w:rPr>
          <w:sz w:val="20"/>
          <w:szCs w:val="20"/>
          <w:color w:val="auto"/>
        </w:rPr>
      </w:pPr>
    </w:p>
    <w:p>
      <w:pPr>
        <w:ind w:firstLine="527"/>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“Restricted Share”: </w:t>
      </w:r>
      <w:r>
        <w:rPr>
          <w:rFonts w:ascii="Times New Roman" w:cs="Times New Roman" w:eastAsia="Times New Roman" w:hAnsi="Times New Roman"/>
          <w:sz w:val="15"/>
          <w:szCs w:val="15"/>
          <w:color w:val="auto"/>
        </w:rPr>
        <w:t>A Share subject to restrictions requiring that it be forfeited, redelivered or offered for sale to the Company if specified performance or other vesting conditions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are not satisfied.</w:t>
      </w:r>
    </w:p>
    <w:p>
      <w:pPr>
        <w:spacing w:after="0" w:line="136" w:lineRule="exact"/>
        <w:rPr>
          <w:sz w:val="20"/>
          <w:szCs w:val="20"/>
          <w:color w:val="auto"/>
        </w:rPr>
      </w:pPr>
    </w:p>
    <w:p>
      <w:pPr>
        <w:ind w:firstLine="527"/>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“Restricted Share Unit”: </w:t>
      </w:r>
      <w:r>
        <w:rPr>
          <w:rFonts w:ascii="Times New Roman" w:cs="Times New Roman" w:eastAsia="Times New Roman" w:hAnsi="Times New Roman"/>
          <w:sz w:val="15"/>
          <w:szCs w:val="15"/>
          <w:color w:val="auto"/>
        </w:rPr>
        <w:t>A Share Unit that is, or as to which the issuance of Shares or delivery of cash in lieu of Shares is, subject to the satisfaction of specified performance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other vesting conditions.</w:t>
      </w:r>
    </w:p>
    <w:p>
      <w:pPr>
        <w:spacing w:after="0" w:line="136" w:lineRule="exact"/>
        <w:rPr>
          <w:sz w:val="20"/>
          <w:szCs w:val="20"/>
          <w:color w:val="auto"/>
        </w:rPr>
      </w:pPr>
    </w:p>
    <w:p>
      <w:pPr>
        <w:ind w:right="20" w:firstLine="527"/>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“SAR”: </w:t>
      </w:r>
      <w:r>
        <w:rPr>
          <w:rFonts w:ascii="Times New Roman" w:cs="Times New Roman" w:eastAsia="Times New Roman" w:hAnsi="Times New Roman"/>
          <w:sz w:val="15"/>
          <w:szCs w:val="15"/>
          <w:color w:val="auto"/>
        </w:rPr>
        <w:t>A right entitling the holder upon exercise to receive an amount (payable in cash or in Shares of equivalent value) equal to the excess of the Fair Market Value of the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subject to the right over the base value from which appreciation under the SAR is to be measured.</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“Section 409A”: </w:t>
      </w:r>
      <w:r>
        <w:rPr>
          <w:rFonts w:ascii="Times New Roman" w:cs="Times New Roman" w:eastAsia="Times New Roman" w:hAnsi="Times New Roman"/>
          <w:sz w:val="15"/>
          <w:szCs w:val="15"/>
          <w:color w:val="auto"/>
        </w:rPr>
        <w:t>Section 409A of the Code and the regulations thereunder.</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“Section 422”: </w:t>
      </w:r>
      <w:r>
        <w:rPr>
          <w:rFonts w:ascii="Times New Roman" w:cs="Times New Roman" w:eastAsia="Times New Roman" w:hAnsi="Times New Roman"/>
          <w:sz w:val="15"/>
          <w:szCs w:val="15"/>
          <w:color w:val="auto"/>
        </w:rPr>
        <w:t>Section 422 of the Code and the regulations thereunder.</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“Share”: </w:t>
      </w:r>
      <w:r>
        <w:rPr>
          <w:rFonts w:ascii="Times New Roman" w:cs="Times New Roman" w:eastAsia="Times New Roman" w:hAnsi="Times New Roman"/>
          <w:sz w:val="15"/>
          <w:szCs w:val="15"/>
          <w:color w:val="auto"/>
        </w:rPr>
        <w:t>A share of Common Stock.</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“Share Option”: </w:t>
      </w:r>
      <w:r>
        <w:rPr>
          <w:rFonts w:ascii="Times New Roman" w:cs="Times New Roman" w:eastAsia="Times New Roman" w:hAnsi="Times New Roman"/>
          <w:sz w:val="15"/>
          <w:szCs w:val="15"/>
          <w:color w:val="auto"/>
        </w:rPr>
        <w:t>An option entitling the holder to acquire Shares upon payment of the exercise price.</w:t>
      </w:r>
    </w:p>
    <w:p>
      <w:pPr>
        <w:spacing w:after="0" w:line="179" w:lineRule="exact"/>
        <w:rPr>
          <w:sz w:val="20"/>
          <w:szCs w:val="20"/>
          <w:color w:val="auto"/>
        </w:rPr>
      </w:pPr>
    </w:p>
    <w:p>
      <w:pPr>
        <w:ind w:firstLine="527"/>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“Share Unit”: </w:t>
      </w:r>
      <w:r>
        <w:rPr>
          <w:rFonts w:ascii="Times New Roman" w:cs="Times New Roman" w:eastAsia="Times New Roman" w:hAnsi="Times New Roman"/>
          <w:sz w:val="15"/>
          <w:szCs w:val="15"/>
          <w:color w:val="auto"/>
        </w:rPr>
        <w:t>A bookkeeping entry representing an amount equivalent to the value of a Share, payable in cash, property or Shares. Share Units represent an unfunded and unsecured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obligation of the Company, except as otherwise provided for by the Administrator.</w:t>
      </w:r>
    </w:p>
    <w:p>
      <w:pPr>
        <w:spacing w:after="0" w:line="136" w:lineRule="exact"/>
        <w:rPr>
          <w:sz w:val="20"/>
          <w:szCs w:val="20"/>
          <w:color w:val="auto"/>
        </w:rPr>
      </w:pPr>
    </w:p>
    <w:p>
      <w:pPr>
        <w:ind w:firstLine="527"/>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“Substitute Award”: </w:t>
      </w:r>
      <w:r>
        <w:rPr>
          <w:rFonts w:ascii="Times New Roman" w:cs="Times New Roman" w:eastAsia="Times New Roman" w:hAnsi="Times New Roman"/>
          <w:sz w:val="15"/>
          <w:szCs w:val="15"/>
          <w:color w:val="auto"/>
        </w:rPr>
        <w:t>An award issued under the Plan in substitution for one or more equity awards of an acquired company that are converted, replaced or adjusted in connection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 the acquisition.</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“Unrestricted Share”: </w:t>
      </w:r>
      <w:r>
        <w:rPr>
          <w:rFonts w:ascii="Times New Roman" w:cs="Times New Roman" w:eastAsia="Times New Roman" w:hAnsi="Times New Roman"/>
          <w:sz w:val="15"/>
          <w:szCs w:val="15"/>
          <w:color w:val="auto"/>
        </w:rPr>
        <w:t>A Share not subject to any restrictions under the terms of the Award.</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17" w:name="page518"/>
    <w:bookmarkEnd w:id="517"/>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AMENDMENT TO THE</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2020 EQUITY INCENTIVE PLAN</w:t>
      </w:r>
    </w:p>
    <w:p>
      <w:pPr>
        <w:spacing w:after="0" w:line="16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WHEREAS, </w:t>
      </w:r>
      <w:r>
        <w:rPr>
          <w:rFonts w:ascii="Times New Roman" w:cs="Times New Roman" w:eastAsia="Times New Roman" w:hAnsi="Times New Roman"/>
          <w:sz w:val="15"/>
          <w:szCs w:val="15"/>
          <w:color w:val="auto"/>
        </w:rPr>
        <w:t>pursuant to Section 9 of the 2020 Equity Incentive Plan (as may be amended from time to time, the “</w:t>
      </w:r>
      <w:r>
        <w:rPr>
          <w:rFonts w:ascii="Times New Roman" w:cs="Times New Roman" w:eastAsia="Times New Roman" w:hAnsi="Times New Roman"/>
          <w:sz w:val="15"/>
          <w:szCs w:val="15"/>
          <w:b w:val="1"/>
          <w:bCs w:val="1"/>
          <w:color w:val="auto"/>
        </w:rPr>
        <w:t>Plan</w:t>
      </w:r>
      <w:r>
        <w:rPr>
          <w:rFonts w:ascii="Times New Roman" w:cs="Times New Roman" w:eastAsia="Times New Roman" w:hAnsi="Times New Roman"/>
          <w:sz w:val="15"/>
          <w:szCs w:val="15"/>
          <w:color w:val="auto"/>
        </w:rPr>
        <w:t>”) of Zenas BioPharma, Inc.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the Company’s Board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Directors (the “</w:t>
      </w:r>
      <w:r>
        <w:rPr>
          <w:rFonts w:ascii="Times New Roman" w:cs="Times New Roman" w:eastAsia="Times New Roman" w:hAnsi="Times New Roman"/>
          <w:sz w:val="15"/>
          <w:szCs w:val="15"/>
          <w:b w:val="1"/>
          <w:bCs w:val="1"/>
          <w:color w:val="auto"/>
        </w:rPr>
        <w:t>Board</w:t>
      </w:r>
      <w:r>
        <w:rPr>
          <w:rFonts w:ascii="Times New Roman" w:cs="Times New Roman" w:eastAsia="Times New Roman" w:hAnsi="Times New Roman"/>
          <w:sz w:val="15"/>
          <w:szCs w:val="15"/>
          <w:color w:val="auto"/>
        </w:rPr>
        <w:t>”) and stockholders (the “</w:t>
      </w:r>
      <w:r>
        <w:rPr>
          <w:rFonts w:ascii="Times New Roman" w:cs="Times New Roman" w:eastAsia="Times New Roman" w:hAnsi="Times New Roman"/>
          <w:sz w:val="15"/>
          <w:szCs w:val="15"/>
          <w:b w:val="1"/>
          <w:bCs w:val="1"/>
          <w:color w:val="auto"/>
        </w:rPr>
        <w:t>Stockholders</w:t>
      </w:r>
      <w:r>
        <w:rPr>
          <w:rFonts w:ascii="Times New Roman" w:cs="Times New Roman" w:eastAsia="Times New Roman" w:hAnsi="Times New Roman"/>
          <w:sz w:val="15"/>
          <w:szCs w:val="15"/>
          <w:color w:val="auto"/>
        </w:rPr>
        <w:t>”) are authorized to amend the Plan from time to time; and</w:t>
      </w:r>
    </w:p>
    <w:p>
      <w:pPr>
        <w:spacing w:after="0" w:line="13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WHEREAS, </w:t>
      </w:r>
      <w:r>
        <w:rPr>
          <w:rFonts w:ascii="Times New Roman" w:cs="Times New Roman" w:eastAsia="Times New Roman" w:hAnsi="Times New Roman"/>
          <w:sz w:val="15"/>
          <w:szCs w:val="15"/>
          <w:color w:val="auto"/>
        </w:rPr>
        <w:t>the Board and Stockholders find it desirable and in the best interests of the Company to amend the first sentence of Section 4(a) of the Plan to increase such maximum number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available for grant under the Plan.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NOW, THEREFORE, </w:t>
      </w:r>
      <w:r>
        <w:rPr>
          <w:rFonts w:ascii="Times New Roman" w:cs="Times New Roman" w:eastAsia="Times New Roman" w:hAnsi="Times New Roman"/>
          <w:sz w:val="15"/>
          <w:szCs w:val="15"/>
          <w:color w:val="auto"/>
        </w:rPr>
        <w:t>the Plan is hereby amended as follows: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first sentence of Section 4(a) of the Plan is hereby deleted and replaced in its entirety with the following:</w:t>
      </w:r>
    </w:p>
    <w:p>
      <w:pPr>
        <w:spacing w:after="0" w:line="177" w:lineRule="exact"/>
        <w:rPr>
          <w:sz w:val="20"/>
          <w:szCs w:val="20"/>
          <w:color w:val="auto"/>
        </w:rPr>
      </w:pPr>
    </w:p>
    <w:p>
      <w:pPr>
        <w:ind w:left="1060"/>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Number of Shares</w:t>
      </w:r>
      <w:r>
        <w:rPr>
          <w:rFonts w:ascii="Times New Roman" w:cs="Times New Roman" w:eastAsia="Times New Roman" w:hAnsi="Times New Roman"/>
          <w:sz w:val="15"/>
          <w:szCs w:val="15"/>
          <w:color w:val="auto"/>
        </w:rPr>
        <w:t>. Subject to adjustment as provided in Section 7(b) below, the number of Shares that may be issued in satisfaction of Awards under the Plan is 38,414,424 Shares (the ‘</w:t>
      </w:r>
      <w:r>
        <w:rPr>
          <w:rFonts w:ascii="Times New Roman" w:cs="Times New Roman" w:eastAsia="Times New Roman" w:hAnsi="Times New Roman"/>
          <w:sz w:val="15"/>
          <w:szCs w:val="15"/>
          <w:b w:val="1"/>
          <w:bCs w:val="1"/>
          <w:color w:val="auto"/>
        </w:rPr>
        <w:t>Share Pool</w:t>
      </w:r>
      <w:r>
        <w:rPr>
          <w:rFonts w:ascii="Times New Roman" w:cs="Times New Roman" w:eastAsia="Times New Roman" w:hAnsi="Times New Roman"/>
          <w:sz w:val="15"/>
          <w:szCs w:val="15"/>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Approved by the Board: May 3, 2024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Approved by the Stockholders: May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57720" cy="698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312" w:right="319" w:bottom="1440" w:gutter="0" w:footer="0" w:header="0"/>
        </w:sectPr>
      </w:pPr>
    </w:p>
    <w:bookmarkStart w:id="518" w:name="page519"/>
    <w:bookmarkEnd w:id="518"/>
    <w:p>
      <w:pPr>
        <w:jc w:val="right"/>
        <w:spacing w:after="0"/>
        <w:rPr>
          <w:sz w:val="20"/>
          <w:szCs w:val="20"/>
          <w:color w:val="auto"/>
        </w:rPr>
      </w:pPr>
      <w:r>
        <w:rPr>
          <w:rFonts w:ascii="Times New Roman" w:cs="Times New Roman" w:eastAsia="Times New Roman" w:hAnsi="Times New Roman"/>
          <w:sz w:val="15"/>
          <w:szCs w:val="15"/>
          <w:b w:val="1"/>
          <w:bCs w:val="1"/>
          <w:color w:val="auto"/>
        </w:rPr>
        <w:t>Exhibit 10.9</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AMENDMENT TO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 2020 EQUITY INCENTIVE PLAN</w:t>
      </w:r>
    </w:p>
    <w:p>
      <w:pPr>
        <w:spacing w:after="0" w:line="164" w:lineRule="exact"/>
        <w:rPr>
          <w:sz w:val="20"/>
          <w:szCs w:val="20"/>
          <w:color w:val="auto"/>
        </w:rPr>
      </w:pPr>
    </w:p>
    <w:p>
      <w:pPr>
        <w:jc w:val="both"/>
        <w:ind w:firstLine="527"/>
        <w:spacing w:after="0" w:line="257" w:lineRule="auto"/>
        <w:rPr>
          <w:sz w:val="20"/>
          <w:szCs w:val="20"/>
          <w:color w:val="auto"/>
        </w:rPr>
      </w:pPr>
      <w:r>
        <w:rPr>
          <w:rFonts w:ascii="Times New Roman" w:cs="Times New Roman" w:eastAsia="Times New Roman" w:hAnsi="Times New Roman"/>
          <w:sz w:val="15"/>
          <w:szCs w:val="15"/>
          <w:color w:val="auto"/>
        </w:rPr>
        <w:t>This AMENDMENT (the “</w:t>
      </w:r>
      <w:r>
        <w:rPr>
          <w:rFonts w:ascii="Times New Roman" w:cs="Times New Roman" w:eastAsia="Times New Roman" w:hAnsi="Times New Roman"/>
          <w:sz w:val="15"/>
          <w:szCs w:val="15"/>
          <w:u w:val="single" w:color="auto"/>
          <w:color w:val="auto"/>
        </w:rPr>
        <w:t>Amendment</w:t>
      </w:r>
      <w:r>
        <w:rPr>
          <w:rFonts w:ascii="Times New Roman" w:cs="Times New Roman" w:eastAsia="Times New Roman" w:hAnsi="Times New Roman"/>
          <w:sz w:val="15"/>
          <w:szCs w:val="15"/>
          <w:color w:val="auto"/>
        </w:rPr>
        <w:t>”), which amends the Zenas Biopharma, Inc. 2020 Equity Incentive Plan (the “</w:t>
      </w:r>
      <w:r>
        <w:rPr>
          <w:rFonts w:ascii="Times New Roman" w:cs="Times New Roman" w:eastAsia="Times New Roman" w:hAnsi="Times New Roman"/>
          <w:sz w:val="15"/>
          <w:szCs w:val="15"/>
          <w:u w:val="single" w:color="auto"/>
          <w:color w:val="auto"/>
        </w:rPr>
        <w:t>Plan</w:t>
      </w:r>
      <w:r>
        <w:rPr>
          <w:rFonts w:ascii="Times New Roman" w:cs="Times New Roman" w:eastAsia="Times New Roman" w:hAnsi="Times New Roman"/>
          <w:sz w:val="15"/>
          <w:szCs w:val="15"/>
          <w:color w:val="auto"/>
        </w:rPr>
        <w:t>”), was approved by the board of directors (the “</w:t>
      </w:r>
      <w:r>
        <w:rPr>
          <w:rFonts w:ascii="Times New Roman" w:cs="Times New Roman" w:eastAsia="Times New Roman" w:hAnsi="Times New Roman"/>
          <w:sz w:val="15"/>
          <w:szCs w:val="15"/>
          <w:u w:val="single" w:color="auto"/>
          <w:color w:val="auto"/>
        </w:rPr>
        <w:t>Board</w:t>
      </w:r>
      <w:r>
        <w:rPr>
          <w:rFonts w:ascii="Times New Roman" w:cs="Times New Roman" w:eastAsia="Times New Roman" w:hAnsi="Times New Roman"/>
          <w:sz w:val="15"/>
          <w:szCs w:val="15"/>
          <w:color w:val="auto"/>
        </w:rPr>
        <w:t>”) of Zenas BioPharma, Inc., a Delaware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on October 26, 2023. Unless otherwise defined herein, any capitalized term that is used and not defined in this Amendment shall have the same meaning ascribed to such term in the Plan.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WHEREAS, Section 9 of the Plan provides that, subject to certain restrictions, the Board, as the Administrator, may amend the Plan at any time; and</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WHEREAS, the Board has approved this Amendment to the Plan to increase by 1,450,000 the number of Shares that may be issued in satisfaction of Awards under the Plan and to increase by the same amount the maximum number of Shares that may be delivered in satisfaction of ISOs under the Plan.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NOW, THEREFORE, effective as of October 26, 2023, the first two sentences of Section 4(a) of the Plan is hereby deleted and replaced by the following:</w:t>
      </w:r>
    </w:p>
    <w:p>
      <w:pPr>
        <w:spacing w:after="0" w:line="177" w:lineRule="exact"/>
        <w:rPr>
          <w:sz w:val="20"/>
          <w:szCs w:val="20"/>
          <w:color w:val="auto"/>
        </w:rPr>
      </w:pPr>
    </w:p>
    <w:p>
      <w:pPr>
        <w:jc w:val="both"/>
        <w:ind w:left="540"/>
        <w:spacing w:after="0" w:line="258" w:lineRule="auto"/>
        <w:rPr>
          <w:sz w:val="20"/>
          <w:szCs w:val="20"/>
          <w:color w:val="auto"/>
        </w:rPr>
      </w:pPr>
      <w:r>
        <w:rPr>
          <w:rFonts w:ascii="Times New Roman" w:cs="Times New Roman" w:eastAsia="Times New Roman" w:hAnsi="Times New Roman"/>
          <w:sz w:val="15"/>
          <w:szCs w:val="15"/>
          <w:color w:val="auto"/>
        </w:rPr>
        <w:t>Subject to adjustment as provided in Section 7(b) below, the number of Shares that may be issued in satisfaction of Awards under the Plan is 22,232,224 Shares (the “</w:t>
      </w:r>
      <w:r>
        <w:rPr>
          <w:rFonts w:ascii="Times New Roman" w:cs="Times New Roman" w:eastAsia="Times New Roman" w:hAnsi="Times New Roman"/>
          <w:sz w:val="15"/>
          <w:szCs w:val="15"/>
          <w:b w:val="1"/>
          <w:bCs w:val="1"/>
          <w:color w:val="auto"/>
        </w:rPr>
        <w:t>Share Pool</w:t>
      </w:r>
      <w:r>
        <w:rPr>
          <w:rFonts w:ascii="Times New Roman" w:cs="Times New Roman" w:eastAsia="Times New Roman" w:hAnsi="Times New Roman"/>
          <w:sz w:val="15"/>
          <w:szCs w:val="15"/>
          <w:color w:val="auto"/>
        </w:rPr>
        <w:t>”). Up to 22,232,224 of the Shares from the Share Pool may be issued in satisfaction of ISOs, but nothing in this Section 4(a) will be construed as requiring that any, or any fixed number of, ISOs be granted under the Plan.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Except as otherwise provided above, the Plan shall remain in full force and effect.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WITNESS WHEREOF, a duly authorized officer of the Company has executed this Amendment as set forth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ZENAS BIOPHARMA,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/s/ Joseph Farmer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11430</wp:posOffset>
            </wp:positionV>
            <wp:extent cx="3425190" cy="698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342519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Name: Joseph Farmer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President and Chief Operating Officer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December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57720" cy="698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19" w:name="page520"/>
    <w:bookmarkEnd w:id="519"/>
    <w:p>
      <w:pPr>
        <w:jc w:val="right"/>
        <w:spacing w:after="0"/>
        <w:rPr>
          <w:sz w:val="20"/>
          <w:szCs w:val="20"/>
          <w:color w:val="auto"/>
        </w:rPr>
      </w:pPr>
      <w:r>
        <w:rPr>
          <w:rFonts w:ascii="Times New Roman" w:cs="Times New Roman" w:eastAsia="Times New Roman" w:hAnsi="Times New Roman"/>
          <w:sz w:val="15"/>
          <w:szCs w:val="15"/>
          <w:b w:val="1"/>
          <w:bCs w:val="1"/>
          <w:color w:val="auto"/>
        </w:rPr>
        <w:t>Exhibit 10.10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w:t>
      </w:r>
      <w:r>
        <w:rPr>
          <w:rFonts w:ascii="Times New Roman" w:cs="Times New Roman" w:eastAsia="Times New Roman" w:hAnsi="Times New Roman"/>
          <w:sz w:val="9"/>
          <w:szCs w:val="9"/>
          <w:b w:val="1"/>
          <w:bCs w:val="1"/>
          <w:color w:val="auto"/>
        </w:rPr>
        <w:t>enas</w:t>
      </w:r>
      <w:r>
        <w:rPr>
          <w:rFonts w:ascii="Times New Roman" w:cs="Times New Roman" w:eastAsia="Times New Roman" w:hAnsi="Times New Roman"/>
          <w:sz w:val="15"/>
          <w:szCs w:val="15"/>
          <w:b w:val="1"/>
          <w:bCs w:val="1"/>
          <w:color w:val="auto"/>
        </w:rPr>
        <w:t xml:space="preserve"> B</w:t>
      </w:r>
      <w:r>
        <w:rPr>
          <w:rFonts w:ascii="Times New Roman" w:cs="Times New Roman" w:eastAsia="Times New Roman" w:hAnsi="Times New Roman"/>
          <w:sz w:val="9"/>
          <w:szCs w:val="9"/>
          <w:b w:val="1"/>
          <w:bCs w:val="1"/>
          <w:color w:val="auto"/>
        </w:rPr>
        <w:t>io</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9"/>
          <w:szCs w:val="9"/>
          <w:b w:val="1"/>
          <w:bCs w:val="1"/>
          <w:color w:val="auto"/>
        </w:rPr>
        <w:t>harma</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5"/>
          <w:szCs w:val="15"/>
          <w:b w:val="1"/>
          <w:bCs w:val="1"/>
          <w:color w:val="auto"/>
        </w:rPr>
        <w: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2020 E</w:t>
      </w:r>
      <w:r>
        <w:rPr>
          <w:rFonts w:ascii="Times New Roman" w:cs="Times New Roman" w:eastAsia="Times New Roman" w:hAnsi="Times New Roman"/>
          <w:sz w:val="9"/>
          <w:szCs w:val="9"/>
          <w:b w:val="1"/>
          <w:bCs w:val="1"/>
          <w:color w:val="auto"/>
        </w:rPr>
        <w:t>quity</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9"/>
          <w:szCs w:val="9"/>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9"/>
          <w:szCs w:val="9"/>
          <w:b w:val="1"/>
          <w:bCs w:val="1"/>
          <w:color w:val="auto"/>
        </w:rPr>
        <w:t>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R</w:t>
      </w:r>
      <w:r>
        <w:rPr>
          <w:rFonts w:ascii="Times New Roman" w:cs="Times New Roman" w:eastAsia="Times New Roman" w:hAnsi="Times New Roman"/>
          <w:sz w:val="9"/>
          <w:szCs w:val="9"/>
          <w:b w:val="1"/>
          <w:bCs w:val="1"/>
          <w:u w:val="single" w:color="auto"/>
          <w:color w:val="auto"/>
        </w:rPr>
        <w:t>estricted</w:t>
      </w:r>
      <w:r>
        <w:rPr>
          <w:rFonts w:ascii="Times New Roman" w:cs="Times New Roman" w:eastAsia="Times New Roman" w:hAnsi="Times New Roman"/>
          <w:sz w:val="15"/>
          <w:szCs w:val="15"/>
          <w:b w:val="1"/>
          <w:bCs w:val="1"/>
          <w:u w:val="single" w:color="auto"/>
          <w:color w:val="auto"/>
        </w:rPr>
        <w:t xml:space="preserve"> S</w:t>
      </w:r>
      <w:r>
        <w:rPr>
          <w:rFonts w:ascii="Times New Roman" w:cs="Times New Roman" w:eastAsia="Times New Roman" w:hAnsi="Times New Roman"/>
          <w:sz w:val="9"/>
          <w:szCs w:val="9"/>
          <w:b w:val="1"/>
          <w:bCs w:val="1"/>
          <w:u w:val="single" w:color="auto"/>
          <w:color w:val="auto"/>
        </w:rPr>
        <w:t>hare</w:t>
      </w:r>
      <w:r>
        <w:rPr>
          <w:rFonts w:ascii="Times New Roman" w:cs="Times New Roman" w:eastAsia="Times New Roman" w:hAnsi="Times New Roman"/>
          <w:sz w:val="15"/>
          <w:szCs w:val="15"/>
          <w:b w:val="1"/>
          <w:bCs w:val="1"/>
          <w:u w:val="single" w:color="auto"/>
          <w:color w:val="auto"/>
        </w:rPr>
        <w:t xml:space="preserve"> A</w:t>
      </w:r>
      <w:r>
        <w:rPr>
          <w:rFonts w:ascii="Times New Roman" w:cs="Times New Roman" w:eastAsia="Times New Roman" w:hAnsi="Times New Roman"/>
          <w:sz w:val="9"/>
          <w:szCs w:val="9"/>
          <w:b w:val="1"/>
          <w:bCs w:val="1"/>
          <w:u w:val="single" w:color="auto"/>
          <w:color w:val="auto"/>
        </w:rPr>
        <w:t>greement</w:t>
      </w:r>
    </w:p>
    <w:p>
      <w:pPr>
        <w:spacing w:after="0" w:line="1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57720" cy="60007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57720" cy="60007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5"/>
          <w:szCs w:val="15"/>
          <w:b w:val="1"/>
          <w:bCs w:val="1"/>
          <w:color w:val="auto"/>
        </w:rPr>
        <w:t>Number of Restricted Shares:</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Date of Grant:</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Purchase Price per Share:</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Vesting Commencement Date:</w:t>
      </w:r>
    </w:p>
    <w:p>
      <w:pPr>
        <w:spacing w:after="0" w:line="184" w:lineRule="exact"/>
        <w:rPr>
          <w:sz w:val="20"/>
          <w:szCs w:val="20"/>
          <w:color w:val="auto"/>
        </w:rPr>
      </w:pPr>
    </w:p>
    <w:p>
      <w:pPr>
        <w:jc w:val="both"/>
        <w:ind w:firstLine="527"/>
        <w:spacing w:after="0" w:line="258" w:lineRule="auto"/>
        <w:rPr>
          <w:sz w:val="20"/>
          <w:szCs w:val="20"/>
          <w:color w:val="auto"/>
        </w:rPr>
      </w:pPr>
      <w:r>
        <w:rPr>
          <w:rFonts w:ascii="Times New Roman" w:cs="Times New Roman" w:eastAsia="Times New Roman" w:hAnsi="Times New Roman"/>
          <w:sz w:val="15"/>
          <w:szCs w:val="15"/>
          <w:color w:val="auto"/>
        </w:rPr>
        <w:t>This agreement (this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evidences Restricted Shares granted by Zenas BioPharma, Inc.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to the individual named above (the “</w:t>
      </w:r>
      <w:r>
        <w:rPr>
          <w:rFonts w:ascii="Times New Roman" w:cs="Times New Roman" w:eastAsia="Times New Roman" w:hAnsi="Times New Roman"/>
          <w:sz w:val="15"/>
          <w:szCs w:val="15"/>
          <w:b w:val="1"/>
          <w:bCs w:val="1"/>
          <w:color w:val="auto"/>
        </w:rPr>
        <w:t>Participant</w:t>
      </w:r>
      <w:r>
        <w:rPr>
          <w:rFonts w:ascii="Times New Roman" w:cs="Times New Roman" w:eastAsia="Times New Roman" w:hAnsi="Times New Roman"/>
          <w:sz w:val="15"/>
          <w:szCs w:val="15"/>
          <w:color w:val="auto"/>
        </w:rPr>
        <w:t>”), pursuant to and subject to the terms of the Zenas BioPharma, Inc. 2020 Equity Incentive Plan (as from time to time amended and in effect, the “</w:t>
      </w:r>
      <w:r>
        <w:rPr>
          <w:rFonts w:ascii="Times New Roman" w:cs="Times New Roman" w:eastAsia="Times New Roman" w:hAnsi="Times New Roman"/>
          <w:sz w:val="15"/>
          <w:szCs w:val="15"/>
          <w:b w:val="1"/>
          <w:bCs w:val="1"/>
          <w:color w:val="auto"/>
        </w:rPr>
        <w:t>Plan</w:t>
      </w:r>
      <w:r>
        <w:rPr>
          <w:rFonts w:ascii="Times New Roman" w:cs="Times New Roman" w:eastAsia="Times New Roman" w:hAnsi="Times New Roman"/>
          <w:sz w:val="15"/>
          <w:szCs w:val="15"/>
          <w:color w:val="auto"/>
        </w:rPr>
        <w:t>”). Except as otherwise defined herein, all capitalized terms used herein have the same meaning as in the Plan.</w:t>
      </w:r>
    </w:p>
    <w:p>
      <w:pPr>
        <w:spacing w:after="0" w:line="147" w:lineRule="exact"/>
        <w:rPr>
          <w:sz w:val="20"/>
          <w:szCs w:val="20"/>
          <w:color w:val="auto"/>
        </w:rPr>
      </w:pPr>
    </w:p>
    <w:p>
      <w:pPr>
        <w:ind w:firstLine="535"/>
        <w:spacing w:after="0" w:line="272" w:lineRule="auto"/>
        <w:tabs>
          <w:tab w:leader="none" w:pos="1076"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Grant of Restricted Shares</w:t>
      </w:r>
      <w:r>
        <w:rPr>
          <w:rFonts w:ascii="Times New Roman" w:cs="Times New Roman" w:eastAsia="Times New Roman" w:hAnsi="Times New Roman"/>
          <w:sz w:val="15"/>
          <w:szCs w:val="15"/>
          <w:color w:val="auto"/>
        </w:rPr>
        <w:t>. The Company grants to the Participant on the date set forth above (the “</w:t>
      </w:r>
      <w:r>
        <w:rPr>
          <w:rFonts w:ascii="Times New Roman" w:cs="Times New Roman" w:eastAsia="Times New Roman" w:hAnsi="Times New Roman"/>
          <w:sz w:val="15"/>
          <w:szCs w:val="15"/>
          <w:b w:val="1"/>
          <w:bCs w:val="1"/>
          <w:color w:val="auto"/>
        </w:rPr>
        <w:t>Date of Grant</w:t>
      </w:r>
      <w:r>
        <w:rPr>
          <w:rFonts w:ascii="Times New Roman" w:cs="Times New Roman" w:eastAsia="Times New Roman" w:hAnsi="Times New Roman"/>
          <w:sz w:val="15"/>
          <w:szCs w:val="15"/>
          <w:color w:val="auto"/>
        </w:rPr>
        <w:t>”) the number of Restricted Shares, pursuant to and subject to the terms set forth in this Agreement and in the Plan, subject to adjustment pursuant to Section 7 of the Plan in respect of transactions occurring after the date hereof.</w:t>
      </w:r>
    </w:p>
    <w:p>
      <w:pPr>
        <w:spacing w:after="0" w:line="138" w:lineRule="exact"/>
        <w:rPr>
          <w:rFonts w:ascii="Times New Roman" w:cs="Times New Roman" w:eastAsia="Times New Roman" w:hAnsi="Times New Roman"/>
          <w:sz w:val="15"/>
          <w:szCs w:val="15"/>
          <w:color w:val="auto"/>
        </w:rPr>
      </w:pPr>
    </w:p>
    <w:p>
      <w:pPr>
        <w:ind w:left="1080" w:hanging="545"/>
        <w:spacing w:after="0"/>
        <w:tabs>
          <w:tab w:leader="none" w:pos="1080"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Repurchase Right</w:t>
      </w: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jc w:val="both"/>
        <w:ind w:firstLine="1063"/>
        <w:spacing w:after="0" w:line="248" w:lineRule="auto"/>
        <w:tabs>
          <w:tab w:leader="none" w:pos="1722" w:val="left"/>
        </w:tabs>
        <w:numPr>
          <w:ilvl w:val="1"/>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Repurchase Right</w:t>
      </w:r>
      <w:r>
        <w:rPr>
          <w:rFonts w:ascii="Times New Roman" w:cs="Times New Roman" w:eastAsia="Times New Roman" w:hAnsi="Times New Roman"/>
          <w:sz w:val="15"/>
          <w:szCs w:val="15"/>
          <w:color w:val="auto"/>
        </w:rPr>
        <w:t>. In the event that the Participant’s relationship with the Company terminates upon the voluntary or involuntary termination of the Participant’s Continuous Status (as defined below), whether by the Participant or the Company (an “</w:t>
      </w:r>
      <w:r>
        <w:rPr>
          <w:rFonts w:ascii="Times New Roman" w:cs="Times New Roman" w:eastAsia="Times New Roman" w:hAnsi="Times New Roman"/>
          <w:sz w:val="15"/>
          <w:szCs w:val="15"/>
          <w:b w:val="1"/>
          <w:bCs w:val="1"/>
          <w:color w:val="auto"/>
        </w:rPr>
        <w:t>Event of Default</w:t>
      </w:r>
      <w:r>
        <w:rPr>
          <w:rFonts w:ascii="Times New Roman" w:cs="Times New Roman" w:eastAsia="Times New Roman" w:hAnsi="Times New Roman"/>
          <w:sz w:val="15"/>
          <w:szCs w:val="15"/>
          <w:color w:val="auto"/>
        </w:rPr>
        <w:t>”), then the Company shall have the right to repurchase from the Participant all of the Restricted Shares that have not been released from the Repurchase Right as provided below, at a price that is equal to Purchase Price per Share (the “</w:t>
      </w:r>
      <w:r>
        <w:rPr>
          <w:rFonts w:ascii="Times New Roman" w:cs="Times New Roman" w:eastAsia="Times New Roman" w:hAnsi="Times New Roman"/>
          <w:sz w:val="15"/>
          <w:szCs w:val="15"/>
          <w:b w:val="1"/>
          <w:bCs w:val="1"/>
          <w:color w:val="auto"/>
        </w:rPr>
        <w:t>Repurchase Price</w:t>
      </w:r>
      <w:r>
        <w:rPr>
          <w:rFonts w:ascii="Times New Roman" w:cs="Times New Roman" w:eastAsia="Times New Roman" w:hAnsi="Times New Roman"/>
          <w:sz w:val="15"/>
          <w:szCs w:val="15"/>
          <w:color w:val="auto"/>
        </w:rPr>
        <w:t xml:space="preserve">”), up to but not exceeding the number of Restricted Shares that have not vested in accordance with the provisions of </w:t>
      </w:r>
      <w:r>
        <w:rPr>
          <w:rFonts w:ascii="Times New Roman" w:cs="Times New Roman" w:eastAsia="Times New Roman" w:hAnsi="Times New Roman"/>
          <w:sz w:val="15"/>
          <w:szCs w:val="15"/>
          <w:u w:val="single" w:color="auto"/>
          <w:color w:val="auto"/>
        </w:rPr>
        <w:t>Section 2(b)</w:t>
      </w:r>
      <w:r>
        <w:rPr>
          <w:rFonts w:ascii="Times New Roman" w:cs="Times New Roman" w:eastAsia="Times New Roman" w:hAnsi="Times New Roman"/>
          <w:sz w:val="15"/>
          <w:szCs w:val="15"/>
          <w:color w:val="auto"/>
        </w:rPr>
        <w:t xml:space="preserve"> below as of such termination date (the “</w:t>
      </w:r>
      <w:r>
        <w:rPr>
          <w:rFonts w:ascii="Times New Roman" w:cs="Times New Roman" w:eastAsia="Times New Roman" w:hAnsi="Times New Roman"/>
          <w:sz w:val="15"/>
          <w:szCs w:val="15"/>
          <w:b w:val="1"/>
          <w:bCs w:val="1"/>
          <w:color w:val="auto"/>
        </w:rPr>
        <w:t>Repurchase Right</w:t>
      </w:r>
      <w:r>
        <w:rPr>
          <w:rFonts w:ascii="Times New Roman" w:cs="Times New Roman" w:eastAsia="Times New Roman" w:hAnsi="Times New Roman"/>
          <w:sz w:val="15"/>
          <w:szCs w:val="15"/>
          <w:color w:val="auto"/>
        </w:rPr>
        <w:t>”). The Participant hereby acknowledges that the Company has no obligation, either now or in the future, to repurchase any Restricted Shares at any time. For the purpose of this Agreement, “</w:t>
      </w:r>
      <w:r>
        <w:rPr>
          <w:rFonts w:ascii="Times New Roman" w:cs="Times New Roman" w:eastAsia="Times New Roman" w:hAnsi="Times New Roman"/>
          <w:sz w:val="15"/>
          <w:szCs w:val="15"/>
          <w:b w:val="1"/>
          <w:bCs w:val="1"/>
          <w:color w:val="auto"/>
        </w:rPr>
        <w:t>Continuous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Status</w:t>
      </w:r>
      <w:r>
        <w:rPr>
          <w:rFonts w:ascii="Times New Roman" w:cs="Times New Roman" w:eastAsia="Times New Roman" w:hAnsi="Times New Roman"/>
          <w:sz w:val="15"/>
          <w:szCs w:val="15"/>
          <w:color w:val="auto"/>
        </w:rPr>
        <w:t>” shall mean that the Participant is a director or actively employed with or engaged as an independent contractor, consultant or advisor to the Company and that such employment with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service to the Company has not terminated.</w:t>
      </w:r>
    </w:p>
    <w:p>
      <w:pPr>
        <w:spacing w:after="0" w:line="158" w:lineRule="exact"/>
        <w:rPr>
          <w:rFonts w:ascii="Times New Roman" w:cs="Times New Roman" w:eastAsia="Times New Roman" w:hAnsi="Times New Roman"/>
          <w:sz w:val="15"/>
          <w:szCs w:val="15"/>
          <w:color w:val="auto"/>
        </w:rPr>
      </w:pPr>
    </w:p>
    <w:p>
      <w:pPr>
        <w:jc w:val="both"/>
        <w:ind w:firstLine="1063"/>
        <w:spacing w:after="0" w:line="225" w:lineRule="auto"/>
        <w:tabs>
          <w:tab w:leader="none" w:pos="1731" w:val="left"/>
        </w:tabs>
        <w:numPr>
          <w:ilvl w:val="1"/>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 Terms</w:t>
      </w:r>
      <w:r>
        <w:rPr>
          <w:rFonts w:ascii="Times New Roman" w:cs="Times New Roman" w:eastAsia="Times New Roman" w:hAnsi="Times New Roman"/>
          <w:sz w:val="14"/>
          <w:szCs w:val="14"/>
          <w:color w:val="auto"/>
        </w:rPr>
        <w:t>. One hundred percent (100%) of the Restricted Shares shall initially be unvested and subject to the Repurchase Right, with the understanding that one-fourth (1/4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of the Restricted Shares shall vest on the Vesting Commencement Date and be released from the Repurchase Right on the first anniversary of the Vesting Commencement</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5"/>
          <w:szCs w:val="15"/>
          <w:color w:val="auto"/>
        </w:rPr>
        <w:t>Date and one-forty eighths (1/48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shall vest on each month anniversary thereafter, with the Restricted Shares vested in full on the fourth anniversary of the Vesting Commencement Date; provided that the Participant’s Continuous Status is not terminated in the manner described under </w:t>
      </w:r>
      <w:r>
        <w:rPr>
          <w:rFonts w:ascii="Times New Roman" w:cs="Times New Roman" w:eastAsia="Times New Roman" w:hAnsi="Times New Roman"/>
          <w:sz w:val="15"/>
          <w:szCs w:val="15"/>
          <w:u w:val="single" w:color="auto"/>
          <w:color w:val="auto"/>
        </w:rPr>
        <w:t>Section 2(a)</w:t>
      </w:r>
      <w:r>
        <w:rPr>
          <w:rFonts w:ascii="Times New Roman" w:cs="Times New Roman" w:eastAsia="Times New Roman" w:hAnsi="Times New Roman"/>
          <w:sz w:val="15"/>
          <w:szCs w:val="15"/>
          <w:color w:val="auto"/>
        </w:rPr>
        <w:t xml:space="preserve"> as of or prior to the date of such periodic vesting and release.</w:t>
      </w:r>
    </w:p>
    <w:p>
      <w:pPr>
        <w:spacing w:after="0" w:line="161" w:lineRule="exact"/>
        <w:rPr>
          <w:sz w:val="20"/>
          <w:szCs w:val="20"/>
          <w:color w:val="auto"/>
        </w:rPr>
      </w:pPr>
    </w:p>
    <w:p>
      <w:pPr>
        <w:jc w:val="both"/>
        <w:ind w:firstLine="1063"/>
        <w:spacing w:after="0" w:line="247" w:lineRule="auto"/>
        <w:tabs>
          <w:tab w:leader="none" w:pos="1843" w:val="left"/>
        </w:tabs>
        <w:numPr>
          <w:ilvl w:val="0"/>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Exercise of the Repurchase Right</w:t>
      </w:r>
      <w:r>
        <w:rPr>
          <w:rFonts w:ascii="Times New Roman" w:cs="Times New Roman" w:eastAsia="Times New Roman" w:hAnsi="Times New Roman"/>
          <w:sz w:val="15"/>
          <w:szCs w:val="15"/>
          <w:color w:val="auto"/>
        </w:rPr>
        <w:t>. The Repurchase Right with respect to the Restricted Shares to be repurchased by the Company may be exercised by the Company upon delivery of a written notice to the Participant within ninety (90) days after the occurrence of an Event of Default (the “</w:t>
      </w:r>
      <w:r>
        <w:rPr>
          <w:rFonts w:ascii="Times New Roman" w:cs="Times New Roman" w:eastAsia="Times New Roman" w:hAnsi="Times New Roman"/>
          <w:sz w:val="15"/>
          <w:szCs w:val="15"/>
          <w:b w:val="1"/>
          <w:bCs w:val="1"/>
          <w:color w:val="auto"/>
        </w:rPr>
        <w:t>Repurchase Period</w:t>
      </w:r>
      <w:r>
        <w:rPr>
          <w:rFonts w:ascii="Times New Roman" w:cs="Times New Roman" w:eastAsia="Times New Roman" w:hAnsi="Times New Roman"/>
          <w:sz w:val="15"/>
          <w:szCs w:val="15"/>
          <w:color w:val="auto"/>
        </w:rPr>
        <w:t>”). The notice shall indicate the number of Restricted Shares to be repurchased and the date on which the repurchase is to be effected, such date to be not later than the last day of the Repurchase Period. On the date on which the repurchase is to be effected, the Company or its permitted assigns shall pay to the Participant in a form provided in this Section 2(c), the Repurchase Price for such Restricted Shares plus any additional funds for any Additional Securities (as defined below) in respect thereof (the “</w:t>
      </w:r>
      <w:r>
        <w:rPr>
          <w:rFonts w:ascii="Times New Roman" w:cs="Times New Roman" w:eastAsia="Times New Roman" w:hAnsi="Times New Roman"/>
          <w:sz w:val="15"/>
          <w:szCs w:val="15"/>
          <w:b w:val="1"/>
          <w:bCs w:val="1"/>
          <w:color w:val="auto"/>
        </w:rPr>
        <w:t>Repurchase Payment</w:t>
      </w:r>
      <w:r>
        <w:rPr>
          <w:rFonts w:ascii="Times New Roman" w:cs="Times New Roman" w:eastAsia="Times New Roman" w:hAnsi="Times New Roman"/>
          <w:sz w:val="15"/>
          <w:szCs w:val="15"/>
          <w:color w:val="auto"/>
        </w:rPr>
        <w:t>”). The Repurchase Payment may be made in the form of cash, cancellation of debt, promissory note, a combination of the aforementioned or any other method of payment that the Administrator determines in its sole discretion. Upon delivery of the Repurchase Payment to the Participant as provided in the preceding sentence, the Company or its permitted assigns shall become the legal and beneficial owner of the Restricted Shares (including any Additional Securities in respect thereof) being repurchased and all rights and interest thereon or related thereto, and the Company shall have the right to transfer to its own name or its permitted assigns the number of Restricted Shares (including any Additional Securities in respect thereof) so repurchased, without further action by the Participant or any other party. If neither the Company nor its permitted assigns makes the Repurchase Payment as described above, the Repurchase Right of the Company shall be deemed as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57720" cy="698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0" w:name="page521"/>
    <w:bookmarkEnd w:id="520"/>
    <w:p>
      <w:pPr>
        <w:ind w:firstLine="1063"/>
        <w:spacing w:after="0" w:line="269" w:lineRule="auto"/>
        <w:tabs>
          <w:tab w:leader="none" w:pos="1797" w:val="left"/>
        </w:tabs>
        <w:numPr>
          <w:ilvl w:val="1"/>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Assignment of the Repurchase Right</w:t>
      </w:r>
      <w:r>
        <w:rPr>
          <w:rFonts w:ascii="Times New Roman" w:cs="Times New Roman" w:eastAsia="Times New Roman" w:hAnsi="Times New Roman"/>
          <w:sz w:val="15"/>
          <w:szCs w:val="15"/>
          <w:color w:val="auto"/>
        </w:rPr>
        <w:t>. The Administrator may freely assign the Company’s Repurchase Right, in whole or in part. Any person who accepts an assignment of the Repurchase Right from the Company shall assume all of the Company’s rights and obligations under this Section 2.</w:t>
      </w:r>
    </w:p>
    <w:p>
      <w:pPr>
        <w:spacing w:after="0" w:line="140" w:lineRule="exact"/>
        <w:rPr>
          <w:rFonts w:ascii="Times New Roman" w:cs="Times New Roman" w:eastAsia="Times New Roman" w:hAnsi="Times New Roman"/>
          <w:sz w:val="15"/>
          <w:szCs w:val="15"/>
          <w:color w:val="auto"/>
        </w:rPr>
      </w:pPr>
    </w:p>
    <w:p>
      <w:pPr>
        <w:jc w:val="both"/>
        <w:ind w:firstLine="1063"/>
        <w:spacing w:after="0" w:line="252" w:lineRule="auto"/>
        <w:tabs>
          <w:tab w:leader="none" w:pos="1667" w:val="left"/>
        </w:tabs>
        <w:numPr>
          <w:ilvl w:val="1"/>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 of the Repurchase Right</w:t>
      </w:r>
      <w:r>
        <w:rPr>
          <w:rFonts w:ascii="Times New Roman" w:cs="Times New Roman" w:eastAsia="Times New Roman" w:hAnsi="Times New Roman"/>
          <w:sz w:val="15"/>
          <w:szCs w:val="15"/>
          <w:color w:val="auto"/>
        </w:rPr>
        <w:t xml:space="preserve">. Notwithstanding anything herein to the contrary, and subject to </w:t>
      </w:r>
      <w:r>
        <w:rPr>
          <w:rFonts w:ascii="Times New Roman" w:cs="Times New Roman" w:eastAsia="Times New Roman" w:hAnsi="Times New Roman"/>
          <w:sz w:val="15"/>
          <w:szCs w:val="15"/>
          <w:u w:val="single" w:color="auto"/>
          <w:color w:val="auto"/>
        </w:rPr>
        <w:t>Section 2(a)</w:t>
      </w:r>
      <w:r>
        <w:rPr>
          <w:rFonts w:ascii="Times New Roman" w:cs="Times New Roman" w:eastAsia="Times New Roman" w:hAnsi="Times New Roman"/>
          <w:sz w:val="15"/>
          <w:szCs w:val="15"/>
          <w:color w:val="auto"/>
        </w:rPr>
        <w:t xml:space="preserve"> hereof, the Repurchase Right shall terminate and no Shares shall constitute Restricted Shares for any purpose hereunder upon the earlier to occur of: (i) the exercise in full of the Repurchase Right, (ii) immediately prior to the consummation of an initial public offering of the securities of the Company, or (iii) a Covered Transaction. Promptly after the expiration of the Repurchase Right, the Company shall cause the number of vested Shares to which the Participant is entitled under this Agreement to be certificated in accordance with Section 8 of the Plan.</w:t>
      </w:r>
    </w:p>
    <w:p>
      <w:pPr>
        <w:spacing w:after="0" w:line="154" w:lineRule="exact"/>
        <w:rPr>
          <w:rFonts w:ascii="Times New Roman" w:cs="Times New Roman" w:eastAsia="Times New Roman" w:hAnsi="Times New Roman"/>
          <w:sz w:val="15"/>
          <w:szCs w:val="15"/>
          <w:color w:val="auto"/>
        </w:rPr>
      </w:pPr>
    </w:p>
    <w:p>
      <w:pPr>
        <w:ind w:left="1080" w:hanging="545"/>
        <w:spacing w:after="0"/>
        <w:tabs>
          <w:tab w:leader="none" w:pos="1080" w:val="left"/>
        </w:tabs>
        <w:numPr>
          <w:ilvl w:val="0"/>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Transfer Restrictions</w:t>
      </w: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jc w:val="both"/>
        <w:ind w:firstLine="1063"/>
        <w:spacing w:after="0" w:line="276" w:lineRule="auto"/>
        <w:tabs>
          <w:tab w:leader="none" w:pos="1744" w:val="left"/>
        </w:tabs>
        <w:numPr>
          <w:ilvl w:val="1"/>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Participant shall not sell, assign, hypothecate, pledge, donate, mortgage, encumber or otherwise dispose of any interest in the Restricted Shares that has not been vested and released from the Repurchase Right to or in favor of any person or entity through one or a series of transactions prior to the termination of the Repurchase Right with respect thereto hereunder without written consent from the board of directors of the Company. For purposes of this </w:t>
      </w:r>
      <w:r>
        <w:rPr>
          <w:rFonts w:ascii="Times New Roman" w:cs="Times New Roman" w:eastAsia="Times New Roman" w:hAnsi="Times New Roman"/>
          <w:sz w:val="14"/>
          <w:szCs w:val="14"/>
          <w:u w:val="single" w:color="auto"/>
          <w:color w:val="auto"/>
        </w:rPr>
        <w:t>Section 3(a)</w:t>
      </w:r>
      <w:r>
        <w:rPr>
          <w:rFonts w:ascii="Times New Roman" w:cs="Times New Roman" w:eastAsia="Times New Roman" w:hAnsi="Times New Roman"/>
          <w:sz w:val="14"/>
          <w:szCs w:val="14"/>
          <w:color w:val="auto"/>
        </w:rPr>
        <w:t>, the restrictions on transfer shall include any transfers of Restricted Shares effected through a holding company such as the transfer or issuance of equity interests in a holding company that holds, directly or indirectly, interests in the Restricted Shares.</w:t>
      </w:r>
    </w:p>
    <w:p>
      <w:pPr>
        <w:spacing w:after="0" w:line="138" w:lineRule="exact"/>
        <w:rPr>
          <w:rFonts w:ascii="Times New Roman" w:cs="Times New Roman" w:eastAsia="Times New Roman" w:hAnsi="Times New Roman"/>
          <w:sz w:val="14"/>
          <w:szCs w:val="14"/>
          <w:color w:val="auto"/>
        </w:rPr>
      </w:pPr>
    </w:p>
    <w:p>
      <w:pPr>
        <w:jc w:val="both"/>
        <w:ind w:firstLine="1063"/>
        <w:spacing w:after="0" w:line="250" w:lineRule="auto"/>
        <w:tabs>
          <w:tab w:leader="none" w:pos="1764" w:val="left"/>
        </w:tabs>
        <w:numPr>
          <w:ilvl w:val="1"/>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Upon the vesting of the Restricted Shares as set forth in </w:t>
      </w:r>
      <w:r>
        <w:rPr>
          <w:rFonts w:ascii="Times New Roman" w:cs="Times New Roman" w:eastAsia="Times New Roman" w:hAnsi="Times New Roman"/>
          <w:sz w:val="15"/>
          <w:szCs w:val="15"/>
          <w:u w:val="single" w:color="auto"/>
          <w:color w:val="auto"/>
        </w:rPr>
        <w:t>Section 2(b)</w:t>
      </w:r>
      <w:r>
        <w:rPr>
          <w:rFonts w:ascii="Times New Roman" w:cs="Times New Roman" w:eastAsia="Times New Roman" w:hAnsi="Times New Roman"/>
          <w:sz w:val="15"/>
          <w:szCs w:val="15"/>
          <w:color w:val="auto"/>
        </w:rPr>
        <w:t xml:space="preserve">, the transfer restrictions set forth in </w:t>
      </w:r>
      <w:r>
        <w:rPr>
          <w:rFonts w:ascii="Times New Roman" w:cs="Times New Roman" w:eastAsia="Times New Roman" w:hAnsi="Times New Roman"/>
          <w:sz w:val="15"/>
          <w:szCs w:val="15"/>
          <w:u w:val="single" w:color="auto"/>
          <w:color w:val="auto"/>
        </w:rPr>
        <w:t>Section 3(a)</w:t>
      </w:r>
      <w:r>
        <w:rPr>
          <w:rFonts w:ascii="Times New Roman" w:cs="Times New Roman" w:eastAsia="Times New Roman" w:hAnsi="Times New Roman"/>
          <w:sz w:val="15"/>
          <w:szCs w:val="15"/>
          <w:color w:val="auto"/>
        </w:rPr>
        <w:t xml:space="preserve"> shall lapse with respect to the Restricted Shares that have been vested and released from the Repurchase Right, and thereafter such Restricted Shares may be sold, transferred or otherwise disposed of in accordance with any shareholders agreements then in effect by and among the Company, the Participant and any other parties thereto (the “</w:t>
      </w:r>
      <w:r>
        <w:rPr>
          <w:rFonts w:ascii="Times New Roman" w:cs="Times New Roman" w:eastAsia="Times New Roman" w:hAnsi="Times New Roman"/>
          <w:sz w:val="15"/>
          <w:szCs w:val="15"/>
          <w:b w:val="1"/>
          <w:bCs w:val="1"/>
          <w:color w:val="auto"/>
        </w:rPr>
        <w:t>Shareholders Agreement</w:t>
      </w:r>
      <w:r>
        <w:rPr>
          <w:rFonts w:ascii="Times New Roman" w:cs="Times New Roman" w:eastAsia="Times New Roman" w:hAnsi="Times New Roman"/>
          <w:sz w:val="15"/>
          <w:szCs w:val="15"/>
          <w:color w:val="auto"/>
        </w:rPr>
        <w:t xml:space="preserve">”). As a condition to vesting, the Participant must enter into the Shareholders Agreement provided by the Company prior to the first vesting date. Any attempt to transfer such Restricted Shares in violation of this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shall be null and void and shall be disregarded by the Company.</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21" w:name="page522"/>
    <w:bookmarkEnd w:id="521"/>
    <w:p>
      <w:pPr>
        <w:ind w:left="1080" w:hanging="545"/>
        <w:spacing w:after="0"/>
        <w:tabs>
          <w:tab w:leader="none" w:pos="1080" w:val="left"/>
        </w:tabs>
        <w:numPr>
          <w:ilvl w:val="0"/>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Escrow of Restricted Shares</w:t>
      </w: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jc w:val="both"/>
        <w:ind w:firstLine="1063"/>
        <w:spacing w:after="0" w:line="247" w:lineRule="auto"/>
        <w:tabs>
          <w:tab w:leader="none" w:pos="1667" w:val="left"/>
        </w:tabs>
        <w:numPr>
          <w:ilvl w:val="1"/>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purposes of facilitating the enforcement of the provisions of this Agreement, the Participant shall, immediately upon execution of this Agreement, deliver (i) an Assignment Separate From Certificate in the form attached hereto as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(ii) an instrument of transfer in the form attached hereto as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each executed (with date and number of Restricted Shares blank) by the Participant with respect to such Restricted Shares, to the Company to hold in escrow for so long as such Restricted Shares continue to remain subject to the Repurchase Right. To the extent that the Administrator has determined that Share certificates will be issued in connection with Shares issued under the Plan, the Participant shall also deliver the certificate(s) for the Restricted Shares to the Company or other designee of the Company (the “</w:t>
      </w:r>
      <w:r>
        <w:rPr>
          <w:rFonts w:ascii="Times New Roman" w:cs="Times New Roman" w:eastAsia="Times New Roman" w:hAnsi="Times New Roman"/>
          <w:sz w:val="15"/>
          <w:szCs w:val="15"/>
          <w:b w:val="1"/>
          <w:bCs w:val="1"/>
          <w:color w:val="auto"/>
        </w:rPr>
        <w:t>Escrow Holder</w:t>
      </w:r>
      <w:r>
        <w:rPr>
          <w:rFonts w:ascii="Times New Roman" w:cs="Times New Roman" w:eastAsia="Times New Roman" w:hAnsi="Times New Roman"/>
          <w:sz w:val="15"/>
          <w:szCs w:val="15"/>
          <w:color w:val="auto"/>
        </w:rPr>
        <w:t>”) to hold in escrow for so long as such Restricted Shares continue to remain subject to the Repurchase Right. The Participant and the Company agree that the Company and any other Escrow Holder will not be liable to any party to this Agreement (or to any other party) for any actions or omissions unless such Escrow Holder is negligent or intentionally fraudulent in carrying out the duties of the Escrow Holder under this Agreement. The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w:t>
      </w:r>
    </w:p>
    <w:p>
      <w:pPr>
        <w:spacing w:after="0" w:line="158" w:lineRule="exact"/>
        <w:rPr>
          <w:rFonts w:ascii="Times New Roman" w:cs="Times New Roman" w:eastAsia="Times New Roman" w:hAnsi="Times New Roman"/>
          <w:sz w:val="15"/>
          <w:szCs w:val="15"/>
          <w:color w:val="auto"/>
        </w:rPr>
      </w:pPr>
    </w:p>
    <w:p>
      <w:pPr>
        <w:jc w:val="both"/>
        <w:ind w:firstLine="1063"/>
        <w:spacing w:after="0" w:line="249" w:lineRule="auto"/>
        <w:tabs>
          <w:tab w:leader="none" w:pos="1808" w:val="left"/>
        </w:tabs>
        <w:numPr>
          <w:ilvl w:val="1"/>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certificates, forms and other documents delivered by the Participant to the Company to be held in escrow pursuant to this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shall be collectively referred to hereinafter as the “</w:t>
      </w:r>
      <w:r>
        <w:rPr>
          <w:rFonts w:ascii="Times New Roman" w:cs="Times New Roman" w:eastAsia="Times New Roman" w:hAnsi="Times New Roman"/>
          <w:sz w:val="15"/>
          <w:szCs w:val="15"/>
          <w:b w:val="1"/>
          <w:bCs w:val="1"/>
          <w:color w:val="auto"/>
        </w:rPr>
        <w:t>Deposit</w:t>
      </w:r>
      <w:r>
        <w:rPr>
          <w:rFonts w:ascii="Times New Roman" w:cs="Times New Roman" w:eastAsia="Times New Roman" w:hAnsi="Times New Roman"/>
          <w:sz w:val="15"/>
          <w:szCs w:val="15"/>
          <w:color w:val="auto"/>
        </w:rPr>
        <w:t>”. Upon the termination of the Repurchase Right, the Company will, without further order or instruction, transmit to the Participant the certificate(s) evidencing such Restricted Shares. Notwithstanding the foregoing, the Participant shall, during all times in which the Participant duly holds the Restricted Shares, exercise all rights and privileges of a holder of Common Stock with respect to the Restricted Shares. The Participant shall be deemed to be the holder for purposes of receiving any dividends and/or distributions that may be paid with respect to such Restricted Shares and for the purpose of exercising any voting rights relating to such Restricted Shares in accordance with the Shareholders Agreement and certificate of incorporation and bylaws of the Company, even if some or all of such Restricted Shares have not yet vested and been released from the Repurchase Rights.</w:t>
      </w:r>
    </w:p>
    <w:p>
      <w:pPr>
        <w:spacing w:after="0" w:line="156" w:lineRule="exact"/>
        <w:rPr>
          <w:rFonts w:ascii="Times New Roman" w:cs="Times New Roman" w:eastAsia="Times New Roman" w:hAnsi="Times New Roman"/>
          <w:sz w:val="15"/>
          <w:szCs w:val="15"/>
          <w:color w:val="auto"/>
        </w:rPr>
      </w:pPr>
    </w:p>
    <w:p>
      <w:pPr>
        <w:ind w:left="1660" w:hanging="597"/>
        <w:spacing w:after="0"/>
        <w:tabs>
          <w:tab w:leader="none" w:pos="1660" w:val="left"/>
        </w:tabs>
        <w:numPr>
          <w:ilvl w:val="1"/>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termination of the Company’s Repurchase Right, the Company shall, within three (3) business days, release the Deposit to the Participant.</w:t>
      </w:r>
    </w:p>
    <w:p>
      <w:pPr>
        <w:spacing w:after="0" w:line="177" w:lineRule="exact"/>
        <w:rPr>
          <w:rFonts w:ascii="Times New Roman" w:cs="Times New Roman" w:eastAsia="Times New Roman" w:hAnsi="Times New Roman"/>
          <w:sz w:val="15"/>
          <w:szCs w:val="15"/>
          <w:color w:val="auto"/>
        </w:rPr>
      </w:pPr>
    </w:p>
    <w:p>
      <w:pPr>
        <w:jc w:val="both"/>
        <w:ind w:firstLine="535"/>
        <w:spacing w:after="0" w:line="266" w:lineRule="auto"/>
        <w:tabs>
          <w:tab w:leader="none" w:pos="1109"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Additional Securities</w:t>
      </w:r>
      <w:r>
        <w:rPr>
          <w:rFonts w:ascii="Times New Roman" w:cs="Times New Roman" w:eastAsia="Times New Roman" w:hAnsi="Times New Roman"/>
          <w:sz w:val="14"/>
          <w:szCs w:val="14"/>
          <w:color w:val="auto"/>
        </w:rPr>
        <w:t>. Any securities or cash received by the Participant as the result of ownership of the Restricted Shares (the “</w:t>
      </w:r>
      <w:r>
        <w:rPr>
          <w:rFonts w:ascii="Times New Roman" w:cs="Times New Roman" w:eastAsia="Times New Roman" w:hAnsi="Times New Roman"/>
          <w:sz w:val="14"/>
          <w:szCs w:val="14"/>
          <w:b w:val="1"/>
          <w:bCs w:val="1"/>
          <w:color w:val="auto"/>
        </w:rPr>
        <w:t>Additional Securities</w:t>
      </w:r>
      <w:r>
        <w:rPr>
          <w:rFonts w:ascii="Times New Roman" w:cs="Times New Roman" w:eastAsia="Times New Roman" w:hAnsi="Times New Roman"/>
          <w:sz w:val="14"/>
          <w:szCs w:val="14"/>
          <w:color w:val="auto"/>
        </w:rPr>
        <w:t xml:space="preserve">”), including, but not by way of limitation, warrants, options and securities received as a share dividend or share division or combination, or as a result of a recapitalization or reorganization or other similar change in the Company’s capital structure, shall be retained in escrow in the same manner as set forth above (to the extent that such Additional Securities are received as a result of ownership of the Restricted Shares) and subject to the same conditions and restrictions as the underlying Restricted Shares as provided in this Agreement, including, without limitation, the Repurchase Right applicable thereto. The Participant shall be entitled to direct the Company to exercise any warrant or option received as Additional Securities upon supplying the funds necessary to do so, if applicable, in which event the securities so purchased shall constitute Additional Securities, which shall be subject to the transfer restrictions under </w:t>
      </w:r>
      <w:r>
        <w:rPr>
          <w:rFonts w:ascii="Times New Roman" w:cs="Times New Roman" w:eastAsia="Times New Roman" w:hAnsi="Times New Roman"/>
          <w:sz w:val="14"/>
          <w:szCs w:val="14"/>
          <w:u w:val="single" w:color="auto"/>
          <w:color w:val="auto"/>
        </w:rPr>
        <w:t>Sections 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w:t>
      </w:r>
      <w:r>
        <w:rPr>
          <w:rFonts w:ascii="Times New Roman" w:cs="Times New Roman" w:eastAsia="Times New Roman" w:hAnsi="Times New Roman"/>
          <w:sz w:val="14"/>
          <w:szCs w:val="14"/>
          <w:color w:val="auto"/>
        </w:rPr>
        <w:t xml:space="preserve"> above to the extent the underlying Restricted Shares are subject to such transfer restrictions. If any Additional Securities received by the Participant consist of a convertible security, the Participant may exercise any conversion right, and any securities so acquired shall constitute Additional Securities. Appropriate adjustments to reflect the distribution of Additional Securities shall be made to the price per share to be paid upon the exercise of the Repurchase Right in order to reflect the effect of any such transaction upon the Company’s capital structure. In the event of any change in certificates evidencing the Restricted Shares or the Additional Securities by reason of any recapitalization, reorganization or other transaction that results in the creation of Additional Securities, the Company shall effect the exchange of the Restricted Shares or the Additional Securities in exchange for the certificates of the replacement securities.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22" w:name="page523"/>
    <w:bookmarkEnd w:id="522"/>
    <w:p>
      <w:pPr>
        <w:ind w:left="1080" w:hanging="545"/>
        <w:spacing w:after="0"/>
        <w:tabs>
          <w:tab w:leader="none" w:pos="1080" w:val="left"/>
        </w:tabs>
        <w:numPr>
          <w:ilvl w:val="0"/>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Other Restrictions on Transfer.</w:t>
      </w:r>
    </w:p>
    <w:p>
      <w:pPr>
        <w:spacing w:after="0" w:line="179" w:lineRule="exact"/>
        <w:rPr>
          <w:rFonts w:ascii="Times New Roman" w:cs="Times New Roman" w:eastAsia="Times New Roman" w:hAnsi="Times New Roman"/>
          <w:sz w:val="15"/>
          <w:szCs w:val="15"/>
          <w:color w:val="auto"/>
        </w:rPr>
      </w:pPr>
    </w:p>
    <w:p>
      <w:pPr>
        <w:ind w:left="1700" w:hanging="637"/>
        <w:spacing w:after="0"/>
        <w:tabs>
          <w:tab w:leader="none" w:pos="1700" w:val="left"/>
        </w:tabs>
        <w:numPr>
          <w:ilvl w:val="1"/>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Participant Representations</w:t>
      </w:r>
      <w:r>
        <w:rPr>
          <w:rFonts w:ascii="Times New Roman" w:cs="Times New Roman" w:eastAsia="Times New Roman" w:hAnsi="Times New Roman"/>
          <w:sz w:val="14"/>
          <w:szCs w:val="14"/>
          <w:color w:val="auto"/>
        </w:rPr>
        <w:t>. In connection with the issuance and acquisition of Shares under this Agreement, the Participant hereby represents and warrants to the</w:t>
      </w:r>
    </w:p>
    <w:p>
      <w:pPr>
        <w:spacing w:after="0" w:line="2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Company as follows:</w:t>
      </w:r>
    </w:p>
    <w:p>
      <w:pPr>
        <w:spacing w:after="0" w:line="164" w:lineRule="exact"/>
        <w:rPr>
          <w:rFonts w:ascii="Times New Roman" w:cs="Times New Roman" w:eastAsia="Times New Roman" w:hAnsi="Times New Roman"/>
          <w:sz w:val="14"/>
          <w:szCs w:val="14"/>
          <w:color w:val="auto"/>
        </w:rPr>
      </w:pPr>
    </w:p>
    <w:p>
      <w:pPr>
        <w:ind w:firstLine="1590"/>
        <w:spacing w:after="0" w:line="269" w:lineRule="auto"/>
        <w:tabs>
          <w:tab w:leader="none" w:pos="2357" w:val="left"/>
        </w:tabs>
        <w:numPr>
          <w:ilvl w:val="2"/>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Participant is acquiring and will hold the Restricted Shares for investment for his or her account only and not with a view to, or for resale in connection with, any “distribution” thereof within the meaning of the Securities Act of 1933 (the “</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w:t>
      </w:r>
    </w:p>
    <w:p>
      <w:pPr>
        <w:spacing w:after="0" w:line="140" w:lineRule="exact"/>
        <w:rPr>
          <w:rFonts w:ascii="Times New Roman" w:cs="Times New Roman" w:eastAsia="Times New Roman" w:hAnsi="Times New Roman"/>
          <w:sz w:val="15"/>
          <w:szCs w:val="15"/>
          <w:color w:val="auto"/>
        </w:rPr>
      </w:pPr>
    </w:p>
    <w:p>
      <w:pPr>
        <w:jc w:val="both"/>
        <w:ind w:firstLine="1590"/>
        <w:spacing w:after="0" w:line="252" w:lineRule="auto"/>
        <w:tabs>
          <w:tab w:leader="none" w:pos="2244" w:val="left"/>
        </w:tabs>
        <w:numPr>
          <w:ilvl w:val="2"/>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Participant understands that the Restricted Shares have not been registered under the Securities Act by reason of a specific exemption therefrom and that the Restricted Shares must be held indefinitely, unless they are subsequently registered under the Securities Act or the Participant obtains an opinion of counsel, in form and substance satisfactory to the Company and its counsel, that such registration is not required. The Participant further acknowledges and understands that the Company is under no obligation to register the Restricted Shares.</w:t>
      </w:r>
    </w:p>
    <w:p>
      <w:pPr>
        <w:spacing w:after="0" w:line="154" w:lineRule="exact"/>
        <w:rPr>
          <w:rFonts w:ascii="Times New Roman" w:cs="Times New Roman" w:eastAsia="Times New Roman" w:hAnsi="Times New Roman"/>
          <w:sz w:val="15"/>
          <w:szCs w:val="15"/>
          <w:color w:val="auto"/>
        </w:rPr>
      </w:pPr>
    </w:p>
    <w:p>
      <w:pPr>
        <w:jc w:val="both"/>
        <w:ind w:firstLine="1590"/>
        <w:spacing w:after="0" w:line="250" w:lineRule="auto"/>
        <w:tabs>
          <w:tab w:leader="none" w:pos="2274" w:val="left"/>
        </w:tabs>
        <w:numPr>
          <w:ilvl w:val="2"/>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Participant is aware of the adoption of Rule 144 by the Securities and Exchange Commission under the Securities Act, which permits limited public resales of securities acquired in a non-public offering, subject to the satisfaction of certain conditions, including (without limitation) the availability of certain current public information about the issuer, the resale occurring only after the holding period required by Rule 144 has been satisfied, the sale occurring through an unsolicited “broker’s transaction,” and the amount of securities being sold during any three-month period not exceeding specified limitations. The Participant acknowledges and understands that the conditions for resale set forth in Rule 144 have not been satisfied and that the Company has no plans to satisfy these conditions in the foreseeable future.</w:t>
      </w:r>
    </w:p>
    <w:p>
      <w:pPr>
        <w:spacing w:after="0" w:line="156" w:lineRule="exact"/>
        <w:rPr>
          <w:rFonts w:ascii="Times New Roman" w:cs="Times New Roman" w:eastAsia="Times New Roman" w:hAnsi="Times New Roman"/>
          <w:sz w:val="15"/>
          <w:szCs w:val="15"/>
          <w:color w:val="auto"/>
        </w:rPr>
      </w:pPr>
    </w:p>
    <w:p>
      <w:pPr>
        <w:jc w:val="both"/>
        <w:ind w:firstLine="1590"/>
        <w:spacing w:after="0" w:line="249" w:lineRule="auto"/>
        <w:tabs>
          <w:tab w:leader="none" w:pos="2485" w:val="left"/>
        </w:tabs>
        <w:numPr>
          <w:ilvl w:val="2"/>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Participant will not sell, transfer or otherwise dispose of the Restricted Shares in violation of the Securities Act, the Exchange Act, or the rules promulgated thereunder, including Rule 144 under the Securities Act. The Participant agrees that he or she will not dispose of the Restricted Shares unless and until he or she has complied with all requirements of this Agreement applicable to the disposition of Restricted Shares and he or she has provided the Company with written assurances, in substance and form satisfactory to the Company, that (A) the proposed disposition does not require registration of the Restricted Shares under the Securities Act or all appropriate action necessary for compliance with the registration requirements of the Securities Act or with any exemption from registration available under the Securities Act (including Rule 144) has been taken and (B) the proposed disposition will not result in the contravention of any transfer restrictions applicable to the Restricted Shares under the securities laws or regulations of any state.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23" w:name="page524"/>
    <w:bookmarkEnd w:id="523"/>
    <w:p>
      <w:pPr>
        <w:jc w:val="both"/>
        <w:ind w:firstLine="1590"/>
        <w:spacing w:after="0" w:line="257" w:lineRule="auto"/>
        <w:tabs>
          <w:tab w:leader="none" w:pos="2247" w:val="left"/>
        </w:tabs>
        <w:numPr>
          <w:ilvl w:val="1"/>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Participant has been furnished with, and has had access to, such information as he or she considers necessary or appropriate for deciding whether to invest in the Restricted Shares, and the Participant has had an opportunity to ask questions and receive answers from the Company regarding the terms and conditions of the issuance of the Restricted Shares.</w:t>
      </w:r>
    </w:p>
    <w:p>
      <w:pPr>
        <w:spacing w:after="0" w:line="149" w:lineRule="exact"/>
        <w:rPr>
          <w:rFonts w:ascii="Times New Roman" w:cs="Times New Roman" w:eastAsia="Times New Roman" w:hAnsi="Times New Roman"/>
          <w:sz w:val="15"/>
          <w:szCs w:val="15"/>
          <w:color w:val="auto"/>
        </w:rPr>
      </w:pPr>
    </w:p>
    <w:p>
      <w:pPr>
        <w:jc w:val="both"/>
        <w:ind w:firstLine="1590"/>
        <w:spacing w:after="0" w:line="257" w:lineRule="auto"/>
        <w:tabs>
          <w:tab w:leader="none" w:pos="2365" w:val="left"/>
        </w:tabs>
        <w:numPr>
          <w:ilvl w:val="1"/>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Participant is aware that his or her investment in the Company is a speculative investment that has limited liquidity and is subject to the risk of complete loss. The Participant is able, without impairing his or her financial condition, to hold the Restricted Shares for an indefinite period and to suffer a complete loss of his or her investment in the Restricted Shares.</w:t>
      </w:r>
    </w:p>
    <w:p>
      <w:pPr>
        <w:spacing w:after="0" w:line="149" w:lineRule="exact"/>
        <w:rPr>
          <w:rFonts w:ascii="Times New Roman" w:cs="Times New Roman" w:eastAsia="Times New Roman" w:hAnsi="Times New Roman"/>
          <w:sz w:val="15"/>
          <w:szCs w:val="15"/>
          <w:color w:val="auto"/>
        </w:rPr>
      </w:pPr>
    </w:p>
    <w:p>
      <w:pPr>
        <w:ind w:left="2460" w:hanging="870"/>
        <w:spacing w:after="0"/>
        <w:tabs>
          <w:tab w:leader="none" w:pos="2460" w:val="left"/>
        </w:tabs>
        <w:numPr>
          <w:ilvl w:val="1"/>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Participant acknowledges that the Restricted Shares and may remain subject to the Company’s Repurchase Right, all in accordance with this</w:t>
      </w:r>
    </w:p>
    <w:p>
      <w:pPr>
        <w:spacing w:after="0" w:line="17"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Agreement.</w:t>
      </w:r>
    </w:p>
    <w:p>
      <w:pPr>
        <w:spacing w:after="0" w:line="164" w:lineRule="exact"/>
        <w:rPr>
          <w:rFonts w:ascii="Times New Roman" w:cs="Times New Roman" w:eastAsia="Times New Roman" w:hAnsi="Times New Roman"/>
          <w:sz w:val="15"/>
          <w:szCs w:val="15"/>
          <w:color w:val="auto"/>
        </w:rPr>
      </w:pPr>
    </w:p>
    <w:p>
      <w:pPr>
        <w:ind w:left="2320" w:hanging="730"/>
        <w:spacing w:after="0"/>
        <w:tabs>
          <w:tab w:leader="none" w:pos="2320" w:val="left"/>
        </w:tabs>
        <w:numPr>
          <w:ilvl w:val="1"/>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Participant acknowledges that the Participant is acquiring the Restricted Shares subject to all other terms of the Plan and this Agreement.</w:t>
      </w:r>
    </w:p>
    <w:p>
      <w:pPr>
        <w:spacing w:after="0" w:line="179" w:lineRule="exact"/>
        <w:rPr>
          <w:rFonts w:ascii="Times New Roman" w:cs="Times New Roman" w:eastAsia="Times New Roman" w:hAnsi="Times New Roman"/>
          <w:sz w:val="15"/>
          <w:szCs w:val="15"/>
          <w:color w:val="auto"/>
        </w:rPr>
      </w:pPr>
    </w:p>
    <w:p>
      <w:pPr>
        <w:ind w:firstLine="1590"/>
        <w:spacing w:after="0" w:line="269" w:lineRule="auto"/>
        <w:tabs>
          <w:tab w:leader="none" w:pos="2321" w:val="left"/>
        </w:tabs>
        <w:numPr>
          <w:ilvl w:val="1"/>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Participant hereby agrees that the Restricted Shares may be required to be bound by a voting agreement, a stockholders agreement and/or another agreement as the Administrator determines in its discretion.</w:t>
      </w:r>
    </w:p>
    <w:p>
      <w:pPr>
        <w:spacing w:after="0" w:line="140" w:lineRule="exact"/>
        <w:rPr>
          <w:rFonts w:ascii="Times New Roman" w:cs="Times New Roman" w:eastAsia="Times New Roman" w:hAnsi="Times New Roman"/>
          <w:sz w:val="15"/>
          <w:szCs w:val="15"/>
          <w:color w:val="auto"/>
        </w:rPr>
      </w:pPr>
    </w:p>
    <w:p>
      <w:pPr>
        <w:ind w:left="2200" w:hanging="610"/>
        <w:spacing w:after="0"/>
        <w:tabs>
          <w:tab w:leader="none" w:pos="2200" w:val="left"/>
        </w:tabs>
        <w:numPr>
          <w:ilvl w:val="1"/>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Participant agrees to complete the Spousal Consent attached hereto as </w:t>
      </w:r>
      <w:r>
        <w:rPr>
          <w:rFonts w:ascii="Times New Roman" w:cs="Times New Roman" w:eastAsia="Times New Roman" w:hAnsi="Times New Roman"/>
          <w:sz w:val="15"/>
          <w:szCs w:val="15"/>
          <w:u w:val="single" w:color="auto"/>
          <w:color w:val="auto"/>
        </w:rPr>
        <w:t>Exhibit D</w:t>
      </w:r>
      <w:r>
        <w:rPr>
          <w:rFonts w:ascii="Times New Roman" w:cs="Times New Roman" w:eastAsia="Times New Roman" w:hAnsi="Times New Roman"/>
          <w:sz w:val="15"/>
          <w:szCs w:val="15"/>
          <w:color w:val="auto"/>
        </w:rPr>
        <w:t xml:space="preserve"> to the extent required by the Company to enforce this Agreement.</w:t>
      </w:r>
    </w:p>
    <w:p>
      <w:pPr>
        <w:spacing w:after="0" w:line="179" w:lineRule="exact"/>
        <w:rPr>
          <w:rFonts w:ascii="Times New Roman" w:cs="Times New Roman" w:eastAsia="Times New Roman" w:hAnsi="Times New Roman"/>
          <w:sz w:val="15"/>
          <w:szCs w:val="15"/>
          <w:color w:val="auto"/>
        </w:rPr>
      </w:pPr>
    </w:p>
    <w:p>
      <w:pPr>
        <w:jc w:val="both"/>
        <w:ind w:firstLine="1063"/>
        <w:spacing w:after="0" w:line="252" w:lineRule="auto"/>
        <w:tabs>
          <w:tab w:leader="none" w:pos="1808" w:val="left"/>
        </w:tabs>
        <w:numPr>
          <w:ilvl w:val="0"/>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Securities Law Restrictions</w:t>
      </w:r>
      <w:r>
        <w:rPr>
          <w:rFonts w:ascii="Times New Roman" w:cs="Times New Roman" w:eastAsia="Times New Roman" w:hAnsi="Times New Roman"/>
          <w:sz w:val="15"/>
          <w:szCs w:val="15"/>
          <w:color w:val="auto"/>
        </w:rPr>
        <w:t>. Regardless of whether the offering and sale of Shares under the Plan have been registered under the Securities Act or have been registered or qualified under the securities laws of any state, the Company at its discretion may impose restrictions upon the sale, pledge or other transfer of the Restricted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154" w:lineRule="exact"/>
        <w:rPr>
          <w:rFonts w:ascii="Times New Roman" w:cs="Times New Roman" w:eastAsia="Times New Roman" w:hAnsi="Times New Roman"/>
          <w:sz w:val="15"/>
          <w:szCs w:val="15"/>
          <w:color w:val="auto"/>
        </w:rPr>
      </w:pPr>
    </w:p>
    <w:p>
      <w:pPr>
        <w:jc w:val="both"/>
        <w:ind w:firstLine="1063"/>
        <w:spacing w:after="0" w:line="265" w:lineRule="auto"/>
        <w:tabs>
          <w:tab w:leader="none" w:pos="1689"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Market Stand-Off</w:t>
      </w:r>
      <w:r>
        <w:rPr>
          <w:rFonts w:ascii="Times New Roman" w:cs="Times New Roman" w:eastAsia="Times New Roman" w:hAnsi="Times New Roman"/>
          <w:sz w:val="14"/>
          <w:szCs w:val="14"/>
          <w:color w:val="auto"/>
        </w:rPr>
        <w:t>. In connection with any underwritten public offering by the Company of its equity securities pursuant to an effective registration statement filed under the Securities Act, including the Company’s initial public offering, the Participant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Restricted Shares without the prior written consent of the Company or its managing underwriter. Such restriction (the “</w:t>
      </w:r>
      <w:r>
        <w:rPr>
          <w:rFonts w:ascii="Times New Roman" w:cs="Times New Roman" w:eastAsia="Times New Roman" w:hAnsi="Times New Roman"/>
          <w:sz w:val="14"/>
          <w:szCs w:val="14"/>
          <w:b w:val="1"/>
          <w:bCs w:val="1"/>
          <w:color w:val="auto"/>
        </w:rPr>
        <w:t>Market Stand-Off</w:t>
      </w:r>
      <w:r>
        <w:rPr>
          <w:rFonts w:ascii="Times New Roman" w:cs="Times New Roman" w:eastAsia="Times New Roman" w:hAnsi="Times New Roman"/>
          <w:sz w:val="14"/>
          <w:szCs w:val="14"/>
          <w:color w:val="auto"/>
        </w:rPr>
        <w:t>”)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the applicable Financial Industry Regulatory Authority (FINRA) rules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Restricted Shares until the end of the applicable stand-off period. The Company’s underwriters shall be beneficiaries of the agreement set forth in this Section 6(c). This Section 6(c) shall not apply to Shares registered in the public offering under the Securities Act.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524" w:name="page525"/>
    <w:bookmarkEnd w:id="524"/>
    <w:p>
      <w:pPr>
        <w:ind w:firstLine="535"/>
        <w:spacing w:after="0" w:line="269" w:lineRule="auto"/>
        <w:tabs>
          <w:tab w:leader="none" w:pos="1197"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Stop-Transfer Notices</w:t>
      </w:r>
      <w:r>
        <w:rPr>
          <w:rFonts w:ascii="Times New Roman" w:cs="Times New Roman" w:eastAsia="Times New Roman" w:hAnsi="Times New Roman"/>
          <w:sz w:val="15"/>
          <w:szCs w:val="15"/>
          <w:color w:val="auto"/>
        </w:rPr>
        <w:t>. In order to ensure compliance with the terms of this Agreement, the Company may issue appropriate “stop transfer” instructions to its registered agent, and, if the Company transfers its own securities, it may make appropriate notations to the same effect in its own records.</w:t>
      </w:r>
    </w:p>
    <w:p>
      <w:pPr>
        <w:spacing w:after="0" w:line="140" w:lineRule="exact"/>
        <w:rPr>
          <w:rFonts w:ascii="Times New Roman" w:cs="Times New Roman" w:eastAsia="Times New Roman" w:hAnsi="Times New Roman"/>
          <w:sz w:val="15"/>
          <w:szCs w:val="15"/>
          <w:color w:val="auto"/>
        </w:rPr>
      </w:pPr>
    </w:p>
    <w:p>
      <w:pPr>
        <w:jc w:val="both"/>
        <w:ind w:firstLine="535"/>
        <w:spacing w:after="0" w:line="257" w:lineRule="auto"/>
        <w:tabs>
          <w:tab w:leader="none" w:pos="1131"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Refusal to Transfer</w:t>
      </w:r>
      <w:r>
        <w:rPr>
          <w:rFonts w:ascii="Times New Roman" w:cs="Times New Roman" w:eastAsia="Times New Roman" w:hAnsi="Times New Roman"/>
          <w:sz w:val="15"/>
          <w:szCs w:val="15"/>
          <w:color w:val="auto"/>
        </w:rPr>
        <w:t>. The Company shall not be required (i) to transfer on its books any Restricted Shares that have been sold or otherwise transferred in violation of any of the provisions of this Agreement or (ii) to treat as owner of such Restricted Shares, or to accord the right to vote or pay dividends to, any purchaser or other transferee to whom Restricted Shares were transferred in violation of any of the provisions of this Agreement.</w:t>
      </w:r>
    </w:p>
    <w:p>
      <w:pPr>
        <w:spacing w:after="0" w:line="149" w:lineRule="exact"/>
        <w:rPr>
          <w:rFonts w:ascii="Times New Roman" w:cs="Times New Roman" w:eastAsia="Times New Roman" w:hAnsi="Times New Roman"/>
          <w:sz w:val="15"/>
          <w:szCs w:val="15"/>
          <w:color w:val="auto"/>
        </w:rPr>
      </w:pPr>
    </w:p>
    <w:p>
      <w:pPr>
        <w:jc w:val="both"/>
        <w:ind w:firstLine="535"/>
        <w:spacing w:after="0" w:line="257" w:lineRule="auto"/>
        <w:tabs>
          <w:tab w:leader="none" w:pos="1197"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Successors and Assigns</w:t>
      </w:r>
      <w:r>
        <w:rPr>
          <w:rFonts w:ascii="Times New Roman" w:cs="Times New Roman" w:eastAsia="Times New Roman" w:hAnsi="Times New Roman"/>
          <w:sz w:val="15"/>
          <w:szCs w:val="15"/>
          <w:color w:val="auto"/>
        </w:rPr>
        <w:t>. Except as otherwise expressly provided to the contrary, the provisions of this Agreement shall inure to the benefit of, and be binding upon, the Company and its successors and assigns and be binding upon the Participant and the Participant’s legal representatives, heirs, legatees, distributees, assigns and transferees by operation of law, whether or not any such person has become a party to this Agreement or has agreed in writing to join herein and to be bound by the terms, conditions and restrictions hereof.</w:t>
      </w:r>
    </w:p>
    <w:p>
      <w:pPr>
        <w:spacing w:after="0" w:line="149" w:lineRule="exact"/>
        <w:rPr>
          <w:rFonts w:ascii="Times New Roman" w:cs="Times New Roman" w:eastAsia="Times New Roman" w:hAnsi="Times New Roman"/>
          <w:sz w:val="15"/>
          <w:szCs w:val="15"/>
          <w:color w:val="auto"/>
        </w:rPr>
      </w:pPr>
    </w:p>
    <w:p>
      <w:pPr>
        <w:jc w:val="both"/>
        <w:ind w:firstLine="535"/>
        <w:spacing w:after="0" w:line="273" w:lineRule="auto"/>
        <w:tabs>
          <w:tab w:leader="none" w:pos="1380"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 Election</w:t>
      </w:r>
      <w:r>
        <w:rPr>
          <w:rFonts w:ascii="Times New Roman" w:cs="Times New Roman" w:eastAsia="Times New Roman" w:hAnsi="Times New Roman"/>
          <w:sz w:val="14"/>
          <w:szCs w:val="14"/>
          <w:color w:val="auto"/>
        </w:rPr>
        <w:t xml:space="preserve">. The acquisition of the Restricted Shares may result in adverse tax consequences that may be avoided or mitigated by filing an election under Code Section 83(b). Such election may be filed only within 30 days after the date of purchase. The form for making the Code Section 83(b) election is attached to this Agreement as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The</w:t>
      </w:r>
    </w:p>
    <w:p>
      <w:pPr>
        <w:jc w:val="both"/>
        <w:spacing w:after="0" w:line="24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b w:val="1"/>
          <w:bCs w:val="1"/>
          <w:color w:val="auto"/>
        </w:rPr>
        <w:t>Participant should consult with his or her tax advisor to determine the tax consequences of acquiring the Restricted Shares and the advantages and disadvantages of filing the Code Section 83(b) election. The Participant acknowledges that it is his or her sole responsibility, and not the Company’s, to file a timely election under Code Section 83(b), even if the Participant requests the Company or its representatives to make this filing on his or her behalf.</w:t>
      </w:r>
    </w:p>
    <w:p>
      <w:pPr>
        <w:spacing w:after="0" w:line="158" w:lineRule="exact"/>
        <w:rPr>
          <w:rFonts w:ascii="Times New Roman" w:cs="Times New Roman" w:eastAsia="Times New Roman" w:hAnsi="Times New Roman"/>
          <w:sz w:val="14"/>
          <w:szCs w:val="14"/>
          <w:color w:val="auto"/>
        </w:rPr>
      </w:pPr>
    </w:p>
    <w:p>
      <w:pPr>
        <w:ind w:firstLine="535"/>
        <w:spacing w:after="0" w:line="269" w:lineRule="auto"/>
        <w:tabs>
          <w:tab w:leader="none" w:pos="1265"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Restrictive Legends</w:t>
      </w:r>
      <w:r>
        <w:rPr>
          <w:rFonts w:ascii="Times New Roman" w:cs="Times New Roman" w:eastAsia="Times New Roman" w:hAnsi="Times New Roman"/>
          <w:sz w:val="15"/>
          <w:szCs w:val="15"/>
          <w:color w:val="auto"/>
        </w:rPr>
        <w:t>. The Participant understands and agrees that the Company shall cause the legends set forth below or legends substantially equivalent thereto, to be placed upon any certificate(s) in respect of the Restricted Shares together with any other legends that may be required by the Company or by applicable securities laws: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25" w:name="page526"/>
    <w:bookmarkEnd w:id="525"/>
    <w:p>
      <w:pPr>
        <w:jc w:val="both"/>
        <w:ind w:left="1060"/>
        <w:spacing w:after="0" w:line="252" w:lineRule="auto"/>
        <w:rPr>
          <w:sz w:val="20"/>
          <w:szCs w:val="20"/>
          <w:color w:val="auto"/>
        </w:rPr>
      </w:pPr>
      <w:r>
        <w:rPr>
          <w:rFonts w:ascii="Times New Roman" w:cs="Times New Roman" w:eastAsia="Times New Roman" w:hAnsi="Times New Roman"/>
          <w:sz w:val="15"/>
          <w:szCs w:val="15"/>
          <w:color w:val="auto"/>
        </w:rPr>
        <w:t>“THE SHARES REPRESENTED BY THIS CERTIFICATE ARE SUBJECT TO CERTAIN RESTRICTIONS ON TRANSFER AND A REPURCHASE RIGHT HELD BY THE COMPANY OR ITS PERMITTED ASSIGNEE(S) AS SET FORTH IN THE RESTRICTED SHARE AGREEMENT, A COPY OF WHICH MAY BE OBTAINED AT THE PRINCIPAL OFFICE OF THE COMPANY. SUCH TRANSFER RESTRICTIONS AND REPURCHASE RIGHT ARE BINDING ON TRANSFEREES OF THESE SHARES.”</w:t>
      </w:r>
    </w:p>
    <w:p>
      <w:pPr>
        <w:spacing w:after="0" w:line="154" w:lineRule="exact"/>
        <w:rPr>
          <w:sz w:val="20"/>
          <w:szCs w:val="20"/>
          <w:color w:val="auto"/>
        </w:rPr>
      </w:pPr>
    </w:p>
    <w:p>
      <w:pPr>
        <w:jc w:val="both"/>
        <w:ind w:firstLine="535"/>
        <w:spacing w:after="0" w:line="257" w:lineRule="auto"/>
        <w:tabs>
          <w:tab w:leader="none" w:pos="1183" w:val="left"/>
        </w:tabs>
        <w:numPr>
          <w:ilvl w:val="0"/>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Provisions of the Plan</w:t>
      </w:r>
      <w:r>
        <w:rPr>
          <w:rFonts w:ascii="Times New Roman" w:cs="Times New Roman" w:eastAsia="Times New Roman" w:hAnsi="Times New Roman"/>
          <w:sz w:val="15"/>
          <w:szCs w:val="15"/>
          <w:color w:val="auto"/>
        </w:rPr>
        <w:t>. This Agreement is subject in its entirety to the provisions of the Plan, which are incorporated herein by reference. A copy of the Plan as in effect on the Date of Grant has been made available to the Participant. By accepting, or being deemed to have accepted, the Restricted Shares, the Participant agrees to be bound by the terms of the Plan and this Agreement. In the event of any conflict between the terms of this Agreement and the Plan, the terms of the Plan will control.</w:t>
      </w:r>
    </w:p>
    <w:p>
      <w:pPr>
        <w:spacing w:after="0" w:line="149" w:lineRule="exact"/>
        <w:rPr>
          <w:rFonts w:ascii="Times New Roman" w:cs="Times New Roman" w:eastAsia="Times New Roman" w:hAnsi="Times New Roman"/>
          <w:sz w:val="15"/>
          <w:szCs w:val="15"/>
          <w:color w:val="auto"/>
        </w:rPr>
      </w:pPr>
    </w:p>
    <w:p>
      <w:pPr>
        <w:jc w:val="both"/>
        <w:ind w:firstLine="535"/>
        <w:spacing w:after="0" w:line="257" w:lineRule="auto"/>
        <w:tabs>
          <w:tab w:leader="none" w:pos="1304" w:val="left"/>
        </w:tabs>
        <w:numPr>
          <w:ilvl w:val="0"/>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Guarantee of Continued Service</w:t>
      </w:r>
      <w:r>
        <w:rPr>
          <w:rFonts w:ascii="Times New Roman" w:cs="Times New Roman" w:eastAsia="Times New Roman" w:hAnsi="Times New Roman"/>
          <w:sz w:val="15"/>
          <w:szCs w:val="15"/>
          <w:color w:val="auto"/>
        </w:rPr>
        <w:t>. The Participant acknowledges and agrees that nothing in this Agreement constitutes an express or implied promise of continued employment or other engagement with the Company or its subsidiaries for any period of time or shall interfere in any way with the right of the Company or its subsidiaries to terminate the Participant’s relationship as an employee or other service provider at any time, with or without Cause.</w:t>
      </w:r>
    </w:p>
    <w:p>
      <w:pPr>
        <w:spacing w:after="0" w:line="149" w:lineRule="exact"/>
        <w:rPr>
          <w:rFonts w:ascii="Times New Roman" w:cs="Times New Roman" w:eastAsia="Times New Roman" w:hAnsi="Times New Roman"/>
          <w:sz w:val="15"/>
          <w:szCs w:val="15"/>
          <w:color w:val="auto"/>
        </w:rPr>
      </w:pPr>
    </w:p>
    <w:p>
      <w:pPr>
        <w:jc w:val="both"/>
        <w:ind w:firstLine="535"/>
        <w:spacing w:after="0" w:line="250" w:lineRule="auto"/>
        <w:tabs>
          <w:tab w:leader="none" w:pos="1194" w:val="left"/>
        </w:tabs>
        <w:numPr>
          <w:ilvl w:val="0"/>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Acknowledgements</w:t>
      </w:r>
      <w:r>
        <w:rPr>
          <w:rFonts w:ascii="Times New Roman" w:cs="Times New Roman" w:eastAsia="Times New Roman" w:hAnsi="Times New Roman"/>
          <w:sz w:val="15"/>
          <w:szCs w:val="15"/>
          <w:color w:val="auto"/>
        </w:rPr>
        <w:t>. The Participant acknowledges and agrees that (i) this Agreement may be executed in two or more counterparts, each of which will be an original and all of which together will constitute one and the same instrument, (ii) this Agreement may be executed and exchanged using facsimile, portable document format (PDF) or electronic signature (including without limitation electronically via the Company’s intranet or the Internet site of a third party or via email or any other means of electronic delivery specified by the Company), which, in each case, will constitute an original signature for all purposes hereunder and (iii) such signature by the Company will be binding against the Company and will create a legally binding agreement when this Agreement is countersigned by the Participant.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[Signature page follows.]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26" w:name="page527"/>
    <w:bookmarkEnd w:id="526"/>
    <w:p>
      <w:pPr>
        <w:ind w:left="540"/>
        <w:spacing w:after="0"/>
        <w:rPr>
          <w:sz w:val="20"/>
          <w:szCs w:val="20"/>
          <w:color w:val="auto"/>
        </w:rPr>
      </w:pPr>
      <w:r>
        <w:rPr>
          <w:rFonts w:ascii="Times New Roman" w:cs="Times New Roman" w:eastAsia="Times New Roman" w:hAnsi="Times New Roman"/>
          <w:sz w:val="14"/>
          <w:szCs w:val="14"/>
          <w:color w:val="auto"/>
        </w:rPr>
        <w:t>IN WITNESS WHEREOF, the parties hereto have executed or caused their respective duly authorized representatives to execute this Agreement as of the date and year first above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written.</w:t>
      </w:r>
    </w:p>
    <w:p>
      <w:pPr>
        <w:spacing w:after="0" w:line="16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Zenas BioPharma, Inc.</w:t>
      </w:r>
    </w:p>
    <w:p>
      <w:pPr>
        <w:spacing w:after="0" w:line="179"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11430</wp:posOffset>
            </wp:positionV>
            <wp:extent cx="3216275" cy="698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8890</wp:posOffset>
            </wp:positionV>
            <wp:extent cx="3216275" cy="698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8890</wp:posOffset>
            </wp:positionV>
            <wp:extent cx="3216275" cy="698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Agreed and Accepted: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11430</wp:posOffset>
            </wp:positionV>
            <wp:extent cx="3362960" cy="698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[Participant’s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57720" cy="698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020"/>
          </w:cols>
          <w:pgMar w:left="300" w:top="762" w:right="579" w:bottom="1440" w:gutter="0" w:footer="0" w:header="0"/>
        </w:sectPr>
      </w:pPr>
    </w:p>
    <w:bookmarkStart w:id="527" w:name="page528"/>
    <w:bookmarkEnd w:id="527"/>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EXHIBIT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ASSIGNMENT SEPARATE FROM CERTIFICATE</w:t>
      </w:r>
    </w:p>
    <w:p>
      <w:pPr>
        <w:spacing w:after="0" w:line="179" w:lineRule="exact"/>
        <w:rPr>
          <w:sz w:val="20"/>
          <w:szCs w:val="20"/>
          <w:color w:val="auto"/>
        </w:rPr>
      </w:pPr>
    </w:p>
    <w:p>
      <w:pPr>
        <w:ind w:firstLine="1055"/>
        <w:spacing w:after="0" w:line="274" w:lineRule="auto"/>
        <w:rPr>
          <w:sz w:val="20"/>
          <w:szCs w:val="20"/>
          <w:color w:val="auto"/>
        </w:rPr>
      </w:pPr>
      <w:r>
        <w:rPr>
          <w:rFonts w:ascii="Times New Roman" w:cs="Times New Roman" w:eastAsia="Times New Roman" w:hAnsi="Times New Roman"/>
          <w:sz w:val="14"/>
          <w:szCs w:val="14"/>
          <w:color w:val="auto"/>
        </w:rPr>
        <w:t>FOR VALUE RECEIVED, and pursuant to that certain Restricted Share Agreement between the undersigned (“</w:t>
      </w:r>
      <w:r>
        <w:rPr>
          <w:rFonts w:ascii="Times New Roman" w:cs="Times New Roman" w:eastAsia="Times New Roman" w:hAnsi="Times New Roman"/>
          <w:sz w:val="14"/>
          <w:szCs w:val="14"/>
          <w:b w:val="1"/>
          <w:bCs w:val="1"/>
          <w:color w:val="auto"/>
        </w:rPr>
        <w:t>Participant</w:t>
      </w:r>
      <w:r>
        <w:rPr>
          <w:rFonts w:ascii="Times New Roman" w:cs="Times New Roman" w:eastAsia="Times New Roman" w:hAnsi="Times New Roman"/>
          <w:sz w:val="14"/>
          <w:szCs w:val="14"/>
          <w:color w:val="auto"/>
        </w:rPr>
        <w:t>”) and Zenas BioPharma, Inc.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dated ________________ (the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Participant hereby sells, assigns and transfers unto the Company ________________________ Restricted Shares of the Company standing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Participant’s name on the Company’s books herewith and does hereby irrevocably constitute and appoint __________________________ as attorney-in-fact, with full power of substitution,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transfer said stock on the books of said corporation.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11430</wp:posOffset>
            </wp:positionV>
            <wp:extent cx="3153410" cy="698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3153410" cy="6985"/>
                    </a:xfrm>
                    <a:prstGeom prst="rect">
                      <a:avLst/>
                    </a:prstGeom>
                    <a:noFill/>
                  </pic:spPr>
                </pic:pic>
              </a:graphicData>
            </a:graphic>
          </wp:anchor>
        </w:drawing>
      </w:r>
    </w:p>
    <w:p>
      <w:pPr>
        <w:spacing w:after="0" w:line="34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5"/>
          <w:szCs w:val="15"/>
          <w:color w:val="auto"/>
        </w:rPr>
        <w:t>[Participant’s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3660775</wp:posOffset>
            </wp:positionH>
            <wp:positionV relativeFrom="paragraph">
              <wp:posOffset>-106680</wp:posOffset>
            </wp:positionV>
            <wp:extent cx="3502025" cy="698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3502025" cy="6985"/>
                    </a:xfrm>
                    <a:prstGeom prst="rect">
                      <a:avLst/>
                    </a:prstGeom>
                    <a:noFill/>
                  </pic:spPr>
                </pic:pic>
              </a:graphicData>
            </a:graphic>
          </wp:anchor>
        </w:drawing>
      </w:r>
    </w:p>
    <w:p>
      <w:pPr>
        <w:spacing w:after="0" w:line="34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5"/>
          <w:szCs w:val="15"/>
          <w:color w:val="auto"/>
        </w:rPr>
        <w:t>[Participant’s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3660775</wp:posOffset>
            </wp:positionH>
            <wp:positionV relativeFrom="paragraph">
              <wp:posOffset>-106680</wp:posOffset>
            </wp:positionV>
            <wp:extent cx="3502025" cy="698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3502025" cy="6985"/>
                    </a:xfrm>
                    <a:prstGeom prst="rect">
                      <a:avLst/>
                    </a:prstGeom>
                    <a:noFill/>
                  </pic:spPr>
                </pic:pic>
              </a:graphicData>
            </a:graphic>
          </wp:anchor>
        </w:drawing>
      </w:r>
    </w:p>
    <w:p>
      <w:pPr>
        <w:spacing w:after="0" w:line="34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5"/>
          <w:szCs w:val="15"/>
          <w:color w:val="auto"/>
        </w:rPr>
        <w:t>[Spouse’s Signature,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3660775</wp:posOffset>
            </wp:positionH>
            <wp:positionV relativeFrom="paragraph">
              <wp:posOffset>-106680</wp:posOffset>
            </wp:positionV>
            <wp:extent cx="3502025" cy="698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3502025" cy="6985"/>
                    </a:xfrm>
                    <a:prstGeom prst="rect">
                      <a:avLst/>
                    </a:prstGeom>
                    <a:noFill/>
                  </pic:spPr>
                </pic:pic>
              </a:graphicData>
            </a:graphic>
          </wp:anchor>
        </w:drawing>
      </w:r>
    </w:p>
    <w:p>
      <w:pPr>
        <w:spacing w:after="0" w:line="34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5"/>
          <w:szCs w:val="15"/>
          <w:color w:val="auto"/>
        </w:rPr>
        <w:t>[Print Name of Spouse,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3660775</wp:posOffset>
            </wp:positionH>
            <wp:positionV relativeFrom="paragraph">
              <wp:posOffset>-106680</wp:posOffset>
            </wp:positionV>
            <wp:extent cx="3502025" cy="698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350202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57720" cy="698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28" w:name="page529"/>
    <w:bookmarkEnd w:id="528"/>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EXHIBIT B</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INSTRUMENT OF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263525</wp:posOffset>
            </wp:positionV>
            <wp:extent cx="1786255" cy="698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7862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Zenas BioPharma,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151130</wp:posOffset>
            </wp:positionV>
            <wp:extent cx="1786255" cy="698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7862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for value received, the receipt and sufficiency of which is hereby acknowledged, hereby sell, assign and transfer to Zenas BioPharma, Inc. (hereinafter called “the said Transferee”)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 (____) Common Stock of Zenas BioPharma, Inc. standing in my name in the Register of Zenas BioPharma, Inc. (hereinafter called “the said Shares”) to hold unto the said</w:t>
      </w:r>
    </w:p>
    <w:p>
      <w:pPr>
        <w:spacing w:after="0" w:line="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Transferee, its Executors, Administrators or Assigns, subject to the several conditions upon which I hold the same at the time of execution hereof. And we the said Transferee do hereby agree to take the said Shares subject to the same conditions.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Witness to the signatures(s) of</w:t>
            </w:r>
          </w:p>
        </w:tc>
        <w:tc>
          <w:tcPr>
            <w:tcW w:w="2240" w:type="dxa"/>
            <w:vAlign w:val="bottom"/>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5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3640" w:type="dxa"/>
            <w:vAlign w:val="bottom"/>
          </w:tcPr>
          <w:p>
            <w:pPr>
              <w:spacing w:after="0"/>
              <w:rPr>
                <w:sz w:val="24"/>
                <w:szCs w:val="24"/>
                <w:color w:val="auto"/>
              </w:rPr>
            </w:pPr>
          </w:p>
        </w:tc>
        <w:tc>
          <w:tcPr>
            <w:tcW w:w="2240" w:type="dxa"/>
            <w:vAlign w:val="bottom"/>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240" w:type="dxa"/>
            <w:vAlign w:val="bottom"/>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5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240" w:type="dxa"/>
            <w:vAlign w:val="bottom"/>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5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Name</w:t>
            </w:r>
          </w:p>
        </w:tc>
        <w:tc>
          <w:tcPr>
            <w:tcW w:w="2240" w:type="dxa"/>
            <w:vAlign w:val="bottom"/>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5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Address</w:t>
            </w:r>
          </w:p>
        </w:tc>
        <w:tc>
          <w:tcPr>
            <w:tcW w:w="2240" w:type="dxa"/>
            <w:vAlign w:val="bottom"/>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5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240" w:type="dxa"/>
            <w:vAlign w:val="bottom"/>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5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2240" w:type="dxa"/>
            <w:vAlign w:val="bottom"/>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5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5400" w:type="dxa"/>
            <w:vAlign w:val="bottom"/>
          </w:tcPr>
          <w:p>
            <w:pPr>
              <w:ind w:left="20"/>
              <w:spacing w:after="0" w:line="152"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Transferor</w:t>
            </w:r>
          </w:p>
        </w:tc>
        <w:tc>
          <w:tcPr>
            <w:tcW w:w="0" w:type="dxa"/>
            <w:vAlign w:val="bottom"/>
          </w:tcPr>
          <w:p>
            <w:pPr>
              <w:spacing w:after="0"/>
              <w:rPr>
                <w:sz w:val="1"/>
                <w:szCs w:val="1"/>
                <w:color w:val="auto"/>
              </w:rPr>
            </w:pPr>
          </w:p>
        </w:tc>
      </w:tr>
      <w:tr>
        <w:trPr>
          <w:trHeight w:val="337"/>
        </w:trPr>
        <w:tc>
          <w:tcPr>
            <w:tcW w:w="36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Witness to the signatures(s) of</w:t>
            </w:r>
          </w:p>
        </w:tc>
        <w:tc>
          <w:tcPr>
            <w:tcW w:w="2240" w:type="dxa"/>
            <w:vAlign w:val="bottom"/>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 and on behalf of</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2240" w:type="dxa"/>
            <w:vAlign w:val="bottom"/>
            <w:vMerge w:val="restart"/>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Zenas BioPharma, Inc.</w:t>
            </w: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5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240" w:type="dxa"/>
            <w:vAlign w:val="bottom"/>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5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Name</w:t>
            </w:r>
          </w:p>
        </w:tc>
        <w:tc>
          <w:tcPr>
            <w:tcW w:w="2240" w:type="dxa"/>
            <w:vAlign w:val="bottom"/>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5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Address</w:t>
            </w:r>
          </w:p>
        </w:tc>
        <w:tc>
          <w:tcPr>
            <w:tcW w:w="2240" w:type="dxa"/>
            <w:vAlign w:val="bottom"/>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5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240" w:type="dxa"/>
            <w:vAlign w:val="bottom"/>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5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240" w:type="dxa"/>
            <w:vAlign w:val="bottom"/>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5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2240" w:type="dxa"/>
            <w:vAlign w:val="bottom"/>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5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5400" w:type="dxa"/>
            <w:vAlign w:val="bottom"/>
          </w:tcPr>
          <w:p>
            <w:pPr>
              <w:ind w:left="20"/>
              <w:spacing w:after="0" w:line="152" w:lineRule="exact"/>
              <w:rPr>
                <w:sz w:val="20"/>
                <w:szCs w:val="20"/>
                <w:color w:val="auto"/>
              </w:rPr>
            </w:pPr>
            <w:r>
              <w:rPr>
                <w:rFonts w:ascii="Times New Roman" w:cs="Times New Roman" w:eastAsia="Times New Roman" w:hAnsi="Times New Roman"/>
                <w:sz w:val="15"/>
                <w:szCs w:val="15"/>
                <w:color w:val="auto"/>
              </w:rPr>
              <w:t>Authorized Signatory</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Transferee</w:t>
            </w:r>
          </w:p>
        </w:tc>
        <w:tc>
          <w:tcPr>
            <w:tcW w:w="0" w:type="dxa"/>
            <w:vAlign w:val="bottom"/>
          </w:tcPr>
          <w:p>
            <w:pPr>
              <w:spacing w:after="0"/>
              <w:rPr>
                <w:sz w:val="1"/>
                <w:szCs w:val="1"/>
                <w:color w:val="auto"/>
              </w:rPr>
            </w:pPr>
          </w:p>
        </w:tc>
      </w:tr>
      <w:tr>
        <w:trPr>
          <w:trHeight w:val="549"/>
        </w:trPr>
        <w:tc>
          <w:tcPr>
            <w:tcW w:w="36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60" w:right="319" w:bottom="1440" w:gutter="0" w:footer="0" w:header="0"/>
        </w:sectPr>
      </w:pPr>
    </w:p>
    <w:bookmarkStart w:id="529" w:name="page530"/>
    <w:bookmarkEnd w:id="529"/>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EXHIBIT 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9"/>
          <w:szCs w:val="9"/>
          <w:b w:val="1"/>
          <w:bCs w:val="1"/>
          <w:color w:val="auto"/>
        </w:rPr>
        <w:t>ection</w:t>
      </w:r>
      <w:r>
        <w:rPr>
          <w:rFonts w:ascii="Times New Roman" w:cs="Times New Roman" w:eastAsia="Times New Roman" w:hAnsi="Times New Roman"/>
          <w:sz w:val="15"/>
          <w:szCs w:val="15"/>
          <w:b w:val="1"/>
          <w:bCs w:val="1"/>
          <w:color w:val="auto"/>
        </w:rPr>
        <w:t xml:space="preserve"> 83(b) E</w:t>
      </w:r>
      <w:r>
        <w:rPr>
          <w:rFonts w:ascii="Times New Roman" w:cs="Times New Roman" w:eastAsia="Times New Roman" w:hAnsi="Times New Roman"/>
          <w:sz w:val="9"/>
          <w:szCs w:val="9"/>
          <w:b w:val="1"/>
          <w:bCs w:val="1"/>
          <w:color w:val="auto"/>
        </w:rPr>
        <w:t>lection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statement is made under Section 83(b) of the Internal Revenue Code of 1986, as amended, pursuant to Treasury Regulations Section 1.83-2.</w:t>
      </w:r>
    </w:p>
    <w:p>
      <w:pPr>
        <w:spacing w:after="0" w:line="179" w:lineRule="exact"/>
        <w:rPr>
          <w:sz w:val="20"/>
          <w:szCs w:val="20"/>
          <w:color w:val="auto"/>
        </w:rPr>
      </w:pPr>
    </w:p>
    <w:p>
      <w:pPr>
        <w:ind w:left="1140" w:right="7540" w:hanging="605"/>
        <w:spacing w:after="0" w:line="496" w:lineRule="auto"/>
        <w:tabs>
          <w:tab w:leader="none" w:pos="1137" w:val="left"/>
        </w:tabs>
        <w:numPr>
          <w:ilvl w:val="1"/>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taxpayer who performed the services is: Name:</w:t>
      </w:r>
    </w:p>
    <w:p>
      <w:pPr>
        <w:spacing w:after="0" w:line="1" w:lineRule="exact"/>
        <w:rPr>
          <w:rFonts w:ascii="Times New Roman" w:cs="Times New Roman" w:eastAsia="Times New Roman" w:hAnsi="Times New Roman"/>
          <w:sz w:val="15"/>
          <w:szCs w:val="15"/>
          <w:color w:val="auto"/>
        </w:rPr>
      </w:pPr>
    </w:p>
    <w:p>
      <w:pPr>
        <w:ind w:left="11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Address:</w:t>
      </w:r>
    </w:p>
    <w:p>
      <w:pPr>
        <w:spacing w:after="0" w:line="200" w:lineRule="exact"/>
        <w:rPr>
          <w:rFonts w:ascii="Times New Roman" w:cs="Times New Roman" w:eastAsia="Times New Roman" w:hAnsi="Times New Roman"/>
          <w:sz w:val="15"/>
          <w:szCs w:val="15"/>
          <w:color w:val="auto"/>
        </w:rPr>
      </w:pPr>
    </w:p>
    <w:p>
      <w:pPr>
        <w:spacing w:after="0" w:line="352" w:lineRule="exact"/>
        <w:rPr>
          <w:rFonts w:ascii="Times New Roman" w:cs="Times New Roman" w:eastAsia="Times New Roman" w:hAnsi="Times New Roman"/>
          <w:sz w:val="15"/>
          <w:szCs w:val="15"/>
          <w:color w:val="auto"/>
        </w:rPr>
      </w:pPr>
    </w:p>
    <w:p>
      <w:pPr>
        <w:ind w:left="11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Social Security No.:</w:t>
      </w:r>
    </w:p>
    <w:p>
      <w:pPr>
        <w:spacing w:after="0" w:line="190" w:lineRule="exact"/>
        <w:rPr>
          <w:rFonts w:ascii="Times New Roman" w:cs="Times New Roman" w:eastAsia="Times New Roman" w:hAnsi="Times New Roman"/>
          <w:sz w:val="15"/>
          <w:szCs w:val="15"/>
          <w:color w:val="auto"/>
        </w:rPr>
      </w:pPr>
    </w:p>
    <w:p>
      <w:pPr>
        <w:ind w:left="540" w:hanging="532"/>
        <w:spacing w:after="0"/>
        <w:tabs>
          <w:tab w:leader="none" w:pos="540"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property with respect to which the election is made is ______ shares of the common stock of Zenas BioPharma, Inc.</w:t>
      </w:r>
    </w:p>
    <w:p>
      <w:pPr>
        <w:spacing w:after="0" w:line="179" w:lineRule="exact"/>
        <w:rPr>
          <w:rFonts w:ascii="Times New Roman" w:cs="Times New Roman" w:eastAsia="Times New Roman" w:hAnsi="Times New Roman"/>
          <w:sz w:val="15"/>
          <w:szCs w:val="15"/>
          <w:color w:val="auto"/>
        </w:rPr>
      </w:pPr>
    </w:p>
    <w:p>
      <w:pPr>
        <w:ind w:left="540" w:hanging="532"/>
        <w:spacing w:after="0"/>
        <w:tabs>
          <w:tab w:leader="none" w:pos="540"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property was transferred on __________ ___, _____.</w:t>
      </w:r>
    </w:p>
    <w:p>
      <w:pPr>
        <w:spacing w:after="0" w:line="179" w:lineRule="exact"/>
        <w:rPr>
          <w:rFonts w:ascii="Times New Roman" w:cs="Times New Roman" w:eastAsia="Times New Roman" w:hAnsi="Times New Roman"/>
          <w:sz w:val="15"/>
          <w:szCs w:val="15"/>
          <w:color w:val="auto"/>
        </w:rPr>
      </w:pPr>
    </w:p>
    <w:p>
      <w:pPr>
        <w:ind w:left="540" w:hanging="532"/>
        <w:spacing w:after="0"/>
        <w:tabs>
          <w:tab w:leader="none" w:pos="540"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taxable year for which the election is made is the calendar year _____.</w:t>
      </w:r>
    </w:p>
    <w:p>
      <w:pPr>
        <w:spacing w:after="0" w:line="179" w:lineRule="exact"/>
        <w:rPr>
          <w:rFonts w:ascii="Times New Roman" w:cs="Times New Roman" w:eastAsia="Times New Roman" w:hAnsi="Times New Roman"/>
          <w:sz w:val="15"/>
          <w:szCs w:val="15"/>
          <w:color w:val="auto"/>
        </w:rPr>
      </w:pPr>
    </w:p>
    <w:p>
      <w:pPr>
        <w:ind w:left="540" w:hanging="532"/>
        <w:spacing w:after="0" w:line="269" w:lineRule="auto"/>
        <w:tabs>
          <w:tab w:leader="none" w:pos="540"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property is subject to a repurchase right pursuant to which the issuer has the right to acquire the property at the original purchase price if for any reason taxpayer’s service with the issuer terminates. The issuer’s repurchase right lapses in a series of installments over a ______-year period ending on __________ ___, _____.</w:t>
      </w:r>
    </w:p>
    <w:p>
      <w:pPr>
        <w:spacing w:after="0" w:line="140" w:lineRule="exact"/>
        <w:rPr>
          <w:rFonts w:ascii="Times New Roman" w:cs="Times New Roman" w:eastAsia="Times New Roman" w:hAnsi="Times New Roman"/>
          <w:sz w:val="15"/>
          <w:szCs w:val="15"/>
          <w:color w:val="auto"/>
        </w:rPr>
      </w:pPr>
    </w:p>
    <w:p>
      <w:pPr>
        <w:ind w:left="540" w:hanging="532"/>
        <w:spacing w:after="0" w:line="269" w:lineRule="auto"/>
        <w:tabs>
          <w:tab w:leader="none" w:pos="540"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fair market value of such property at the time of transfer (determined without regard to any restriction other than a restriction that by its terms will never lapse) is $_____ per share.</w:t>
      </w:r>
    </w:p>
    <w:p>
      <w:pPr>
        <w:spacing w:after="0" w:line="140" w:lineRule="exact"/>
        <w:rPr>
          <w:rFonts w:ascii="Times New Roman" w:cs="Times New Roman" w:eastAsia="Times New Roman" w:hAnsi="Times New Roman"/>
          <w:sz w:val="15"/>
          <w:szCs w:val="15"/>
          <w:color w:val="auto"/>
        </w:rPr>
      </w:pPr>
    </w:p>
    <w:p>
      <w:pPr>
        <w:ind w:left="540" w:hanging="532"/>
        <w:spacing w:after="0"/>
        <w:tabs>
          <w:tab w:leader="none" w:pos="540"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paid for such property is $_____ per share.</w:t>
      </w:r>
    </w:p>
    <w:p>
      <w:pPr>
        <w:spacing w:after="0" w:line="179" w:lineRule="exact"/>
        <w:rPr>
          <w:rFonts w:ascii="Times New Roman" w:cs="Times New Roman" w:eastAsia="Times New Roman" w:hAnsi="Times New Roman"/>
          <w:sz w:val="15"/>
          <w:szCs w:val="15"/>
          <w:color w:val="auto"/>
        </w:rPr>
      </w:pPr>
    </w:p>
    <w:p>
      <w:pPr>
        <w:ind w:left="540" w:hanging="532"/>
        <w:spacing w:after="0"/>
        <w:tabs>
          <w:tab w:leader="none" w:pos="540"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copy of this statement was furnished to Zenas BioPharma, Inc., for whom taxpayer rendered the services underlying the transfer of such property.</w:t>
      </w:r>
    </w:p>
    <w:p>
      <w:pPr>
        <w:spacing w:after="0" w:line="179" w:lineRule="exact"/>
        <w:rPr>
          <w:rFonts w:ascii="Times New Roman" w:cs="Times New Roman" w:eastAsia="Times New Roman" w:hAnsi="Times New Roman"/>
          <w:sz w:val="15"/>
          <w:szCs w:val="15"/>
          <w:color w:val="auto"/>
        </w:rPr>
      </w:pPr>
    </w:p>
    <w:p>
      <w:pPr>
        <w:ind w:left="540" w:hanging="532"/>
        <w:spacing w:after="0"/>
        <w:tabs>
          <w:tab w:leader="none" w:pos="540"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statement is executed on __________ ___,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-2234565</wp:posOffset>
            </wp:positionV>
            <wp:extent cx="5323205" cy="698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5323205" cy="6985"/>
                    </a:xfrm>
                    <a:prstGeom prst="rect">
                      <a:avLst/>
                    </a:prstGeom>
                    <a:noFill/>
                  </pic:spPr>
                </pic:pic>
              </a:graphicData>
            </a:graphic>
          </wp:anchor>
        </w:drawing>
        <w:drawing>
          <wp:anchor simplePos="0" relativeHeight="251657728" behindDoc="1" locked="0" layoutInCell="0" allowOverlap="1">
            <wp:simplePos x="0" y="0"/>
            <wp:positionH relativeFrom="column">
              <wp:posOffset>1121410</wp:posOffset>
            </wp:positionH>
            <wp:positionV relativeFrom="paragraph">
              <wp:posOffset>-2464435</wp:posOffset>
            </wp:positionV>
            <wp:extent cx="5323205" cy="698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5323205" cy="6985"/>
                    </a:xfrm>
                    <a:prstGeom prst="rect">
                      <a:avLst/>
                    </a:prstGeom>
                    <a:noFill/>
                  </pic:spPr>
                </pic:pic>
              </a:graphicData>
            </a:graphic>
          </wp:anchor>
        </w:drawing>
        <w:drawing>
          <wp:anchor simplePos="0" relativeHeight="251657728" behindDoc="1" locked="0" layoutInCell="0" allowOverlap="1">
            <wp:simplePos x="0" y="0"/>
            <wp:positionH relativeFrom="column">
              <wp:posOffset>1121410</wp:posOffset>
            </wp:positionH>
            <wp:positionV relativeFrom="paragraph">
              <wp:posOffset>-2694940</wp:posOffset>
            </wp:positionV>
            <wp:extent cx="5323205" cy="698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5323205" cy="6985"/>
                    </a:xfrm>
                    <a:prstGeom prst="rect">
                      <a:avLst/>
                    </a:prstGeom>
                    <a:noFill/>
                  </pic:spPr>
                </pic:pic>
              </a:graphicData>
            </a:graphic>
          </wp:anchor>
        </w:drawing>
        <w:drawing>
          <wp:anchor simplePos="0" relativeHeight="251657728" behindDoc="1" locked="0" layoutInCell="0" allowOverlap="1">
            <wp:simplePos x="0" y="0"/>
            <wp:positionH relativeFrom="column">
              <wp:posOffset>1525905</wp:posOffset>
            </wp:positionH>
            <wp:positionV relativeFrom="paragraph">
              <wp:posOffset>-2004060</wp:posOffset>
            </wp:positionV>
            <wp:extent cx="4918710" cy="698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4918710" cy="6985"/>
                    </a:xfrm>
                    <a:prstGeom prst="rect">
                      <a:avLst/>
                    </a:prstGeom>
                    <a:noFill/>
                  </pic:spPr>
                </pic:pic>
              </a:graphicData>
            </a:graphic>
          </wp:anchor>
        </w:drawing>
      </w:r>
    </w:p>
    <w:p>
      <w:pPr>
        <w:spacing w:after="0" w:line="346"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15"/>
          <w:szCs w:val="15"/>
          <w:color w:val="auto"/>
        </w:rPr>
        <w:t>Signature of Spouse (if any)</w:t>
      </w:r>
      <w:r>
        <w:rPr>
          <w:sz w:val="20"/>
          <w:szCs w:val="20"/>
          <w:color w:val="auto"/>
        </w:rPr>
        <w:tab/>
      </w:r>
      <w:r>
        <w:rPr>
          <w:rFonts w:ascii="Times New Roman" w:cs="Times New Roman" w:eastAsia="Times New Roman" w:hAnsi="Times New Roman"/>
          <w:sz w:val="14"/>
          <w:szCs w:val="14"/>
          <w:color w:val="auto"/>
        </w:rPr>
        <w:t>Signature of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57720" cy="698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pacing w:after="0" w:line="15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Within 30 days after the date of purchase, this election must be filed with the Internal Revenue Service Center where the Participant files his or her federal income tax returns. The filing should be made by registered or certified mail, return receipt requested. The Participant must deliver an additional copy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57720" cy="698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30" w:name="page531"/>
    <w:bookmarkEnd w:id="530"/>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EXHIBIT 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SPOUSAL CONSENT</w:t>
      </w:r>
    </w:p>
    <w:p>
      <w:pPr>
        <w:spacing w:after="0" w:line="181" w:lineRule="exact"/>
        <w:rPr>
          <w:sz w:val="20"/>
          <w:szCs w:val="20"/>
          <w:color w:val="auto"/>
        </w:rPr>
      </w:pPr>
    </w:p>
    <w:p>
      <w:pPr>
        <w:jc w:val="both"/>
        <w:ind w:firstLine="527"/>
        <w:spacing w:after="0" w:line="273" w:lineRule="auto"/>
        <w:rPr>
          <w:sz w:val="20"/>
          <w:szCs w:val="20"/>
          <w:color w:val="auto"/>
        </w:rPr>
      </w:pPr>
      <w:r>
        <w:rPr>
          <w:rFonts w:ascii="Times New Roman" w:cs="Times New Roman" w:eastAsia="Times New Roman" w:hAnsi="Times New Roman"/>
          <w:sz w:val="14"/>
          <w:szCs w:val="14"/>
          <w:color w:val="auto"/>
        </w:rPr>
        <w:t>The undersigned does hereby certify that [s]he is the spouse of [Name of Participant] (the “Participant”), the individual who executed the Restricted Share Agreement by and between Participant and the Company dated ________, 20__, pursuant to the Company’s 2020 Equity Incentive Plan (the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I acknowledge that my spouse’s interest in the Shares (as</w:t>
      </w:r>
    </w:p>
    <w:p>
      <w:pPr>
        <w:jc w:val="both"/>
        <w:spacing w:after="0" w:line="246" w:lineRule="auto"/>
        <w:rPr>
          <w:sz w:val="20"/>
          <w:szCs w:val="20"/>
          <w:color w:val="auto"/>
        </w:rPr>
      </w:pPr>
      <w:r>
        <w:rPr>
          <w:rFonts w:ascii="Times New Roman" w:cs="Times New Roman" w:eastAsia="Times New Roman" w:hAnsi="Times New Roman"/>
          <w:sz w:val="15"/>
          <w:szCs w:val="15"/>
          <w:color w:val="auto"/>
        </w:rPr>
        <w:t>defined in the Agreement) shall be irrevocably subject to the restrictions and bound by the terms of the Agreement. I further understand and agree that my community property interest in such securities, if any, shall similarly be subject to said restrictions and bound by said terms. I agree to execute and deliver such documents as may be necessary to carry out the intent of the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_____________, 20__</w:t>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Printed Name of Participant’s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-106680</wp:posOffset>
            </wp:positionV>
            <wp:extent cx="3578860" cy="698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spacing w:after="0" w:line="1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Signature of Participant’s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-106680</wp:posOffset>
            </wp:positionV>
            <wp:extent cx="3578860" cy="698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OR --</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I, [Name of Participant], the person who executed the above Restricted Share Agreement, do hereby certify that I am </w:t>
      </w:r>
      <w:r>
        <w:rPr>
          <w:rFonts w:ascii="Times New Roman" w:cs="Times New Roman" w:eastAsia="Times New Roman" w:hAnsi="Times New Roman"/>
          <w:sz w:val="15"/>
          <w:szCs w:val="15"/>
          <w:b w:val="1"/>
          <w:bCs w:val="1"/>
          <w:u w:val="single" w:color="auto"/>
          <w:color w:val="auto"/>
        </w:rPr>
        <w:t>not</w:t>
      </w:r>
      <w:r>
        <w:rPr>
          <w:rFonts w:ascii="Times New Roman" w:cs="Times New Roman" w:eastAsia="Times New Roman" w:hAnsi="Times New Roman"/>
          <w:sz w:val="15"/>
          <w:szCs w:val="15"/>
          <w:color w:val="auto"/>
        </w:rPr>
        <w:t xml:space="preserve"> married.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_____________, 20__</w:t>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-106680</wp:posOffset>
            </wp:positionV>
            <wp:extent cx="3578860" cy="698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357886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57720" cy="698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31" w:name="page532"/>
    <w:bookmarkEnd w:id="531"/>
    <w:p>
      <w:pPr>
        <w:jc w:val="right"/>
        <w:spacing w:after="0"/>
        <w:rPr>
          <w:sz w:val="20"/>
          <w:szCs w:val="20"/>
          <w:color w:val="auto"/>
        </w:rPr>
      </w:pPr>
      <w:r>
        <w:rPr>
          <w:rFonts w:ascii="Times New Roman" w:cs="Times New Roman" w:eastAsia="Times New Roman" w:hAnsi="Times New Roman"/>
          <w:sz w:val="15"/>
          <w:szCs w:val="15"/>
          <w:b w:val="1"/>
          <w:bCs w:val="1"/>
          <w:color w:val="auto"/>
        </w:rPr>
        <w:t>Exhibit 10.11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w:t>
      </w:r>
      <w:r>
        <w:rPr>
          <w:rFonts w:ascii="Times New Roman" w:cs="Times New Roman" w:eastAsia="Times New Roman" w:hAnsi="Times New Roman"/>
          <w:sz w:val="9"/>
          <w:szCs w:val="9"/>
          <w:b w:val="1"/>
          <w:bCs w:val="1"/>
          <w:color w:val="auto"/>
        </w:rPr>
        <w:t>enas</w:t>
      </w:r>
      <w:r>
        <w:rPr>
          <w:rFonts w:ascii="Times New Roman" w:cs="Times New Roman" w:eastAsia="Times New Roman" w:hAnsi="Times New Roman"/>
          <w:sz w:val="15"/>
          <w:szCs w:val="15"/>
          <w:b w:val="1"/>
          <w:bCs w:val="1"/>
          <w:color w:val="auto"/>
        </w:rPr>
        <w:t xml:space="preserve"> B</w:t>
      </w:r>
      <w:r>
        <w:rPr>
          <w:rFonts w:ascii="Times New Roman" w:cs="Times New Roman" w:eastAsia="Times New Roman" w:hAnsi="Times New Roman"/>
          <w:sz w:val="9"/>
          <w:szCs w:val="9"/>
          <w:b w:val="1"/>
          <w:bCs w:val="1"/>
          <w:color w:val="auto"/>
        </w:rPr>
        <w:t>io</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9"/>
          <w:szCs w:val="9"/>
          <w:b w:val="1"/>
          <w:bCs w:val="1"/>
          <w:color w:val="auto"/>
        </w:rPr>
        <w:t>harma</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5"/>
          <w:szCs w:val="15"/>
          <w:b w:val="1"/>
          <w:bCs w:val="1"/>
          <w:color w:val="auto"/>
        </w:rPr>
        <w: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2020 E</w:t>
      </w:r>
      <w:r>
        <w:rPr>
          <w:rFonts w:ascii="Times New Roman" w:cs="Times New Roman" w:eastAsia="Times New Roman" w:hAnsi="Times New Roman"/>
          <w:sz w:val="9"/>
          <w:szCs w:val="9"/>
          <w:b w:val="1"/>
          <w:bCs w:val="1"/>
          <w:color w:val="auto"/>
        </w:rPr>
        <w:t>quity</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9"/>
          <w:szCs w:val="9"/>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9"/>
          <w:szCs w:val="9"/>
          <w:b w:val="1"/>
          <w:bCs w:val="1"/>
          <w:color w:val="auto"/>
        </w:rPr>
        <w:t>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N</w:t>
      </w:r>
      <w:r>
        <w:rPr>
          <w:rFonts w:ascii="Times New Roman" w:cs="Times New Roman" w:eastAsia="Times New Roman" w:hAnsi="Times New Roman"/>
          <w:sz w:val="9"/>
          <w:szCs w:val="9"/>
          <w:b w:val="1"/>
          <w:bCs w:val="1"/>
          <w:u w:val="single" w:color="auto"/>
          <w:color w:val="auto"/>
        </w:rPr>
        <w:t>on</w:t>
      </w:r>
      <w:r>
        <w:rPr>
          <w:rFonts w:ascii="Times New Roman" w:cs="Times New Roman" w:eastAsia="Times New Roman" w:hAnsi="Times New Roman"/>
          <w:sz w:val="15"/>
          <w:szCs w:val="15"/>
          <w:b w:val="1"/>
          <w:bCs w:val="1"/>
          <w:u w:val="single" w:color="auto"/>
          <w:color w:val="auto"/>
        </w:rPr>
        <w:t>-S</w:t>
      </w:r>
      <w:r>
        <w:rPr>
          <w:rFonts w:ascii="Times New Roman" w:cs="Times New Roman" w:eastAsia="Times New Roman" w:hAnsi="Times New Roman"/>
          <w:sz w:val="9"/>
          <w:szCs w:val="9"/>
          <w:b w:val="1"/>
          <w:bCs w:val="1"/>
          <w:u w:val="single" w:color="auto"/>
          <w:color w:val="auto"/>
        </w:rPr>
        <w:t>tatutory</w:t>
      </w:r>
      <w:r>
        <w:rPr>
          <w:rFonts w:ascii="Times New Roman" w:cs="Times New Roman" w:eastAsia="Times New Roman" w:hAnsi="Times New Roman"/>
          <w:sz w:val="15"/>
          <w:szCs w:val="15"/>
          <w:b w:val="1"/>
          <w:bCs w:val="1"/>
          <w:u w:val="single" w:color="auto"/>
          <w:color w:val="auto"/>
        </w:rPr>
        <w:t xml:space="preserve"> S</w:t>
      </w:r>
      <w:r>
        <w:rPr>
          <w:rFonts w:ascii="Times New Roman" w:cs="Times New Roman" w:eastAsia="Times New Roman" w:hAnsi="Times New Roman"/>
          <w:sz w:val="9"/>
          <w:szCs w:val="9"/>
          <w:b w:val="1"/>
          <w:bCs w:val="1"/>
          <w:u w:val="single" w:color="auto"/>
          <w:color w:val="auto"/>
        </w:rPr>
        <w:t>hare</w:t>
      </w:r>
      <w:r>
        <w:rPr>
          <w:rFonts w:ascii="Times New Roman" w:cs="Times New Roman" w:eastAsia="Times New Roman" w:hAnsi="Times New Roman"/>
          <w:sz w:val="15"/>
          <w:szCs w:val="15"/>
          <w:b w:val="1"/>
          <w:bCs w:val="1"/>
          <w:u w:val="single" w:color="auto"/>
          <w:color w:val="auto"/>
        </w:rPr>
        <w:t xml:space="preserve"> O</w:t>
      </w:r>
      <w:r>
        <w:rPr>
          <w:rFonts w:ascii="Times New Roman" w:cs="Times New Roman" w:eastAsia="Times New Roman" w:hAnsi="Times New Roman"/>
          <w:sz w:val="9"/>
          <w:szCs w:val="9"/>
          <w:b w:val="1"/>
          <w:bCs w:val="1"/>
          <w:u w:val="single" w:color="auto"/>
          <w:color w:val="auto"/>
        </w:rPr>
        <w:t>ption</w:t>
      </w:r>
      <w:r>
        <w:rPr>
          <w:rFonts w:ascii="Times New Roman" w:cs="Times New Roman" w:eastAsia="Times New Roman" w:hAnsi="Times New Roman"/>
          <w:sz w:val="15"/>
          <w:szCs w:val="15"/>
          <w:b w:val="1"/>
          <w:bCs w:val="1"/>
          <w:u w:val="single" w:color="auto"/>
          <w:color w:val="auto"/>
        </w:rPr>
        <w:t xml:space="preserve"> A</w:t>
      </w:r>
      <w:r>
        <w:rPr>
          <w:rFonts w:ascii="Times New Roman" w:cs="Times New Roman" w:eastAsia="Times New Roman" w:hAnsi="Times New Roman"/>
          <w:sz w:val="9"/>
          <w:szCs w:val="9"/>
          <w:b w:val="1"/>
          <w:bCs w:val="1"/>
          <w:u w:val="single" w:color="auto"/>
          <w:color w:val="auto"/>
        </w:rPr>
        <w:t>greement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w:t>
      </w:r>
      <w:r>
        <w:rPr>
          <w:rFonts w:ascii="Times New Roman" w:cs="Times New Roman" w:eastAsia="Times New Roman" w:hAnsi="Times New Roman"/>
          <w:sz w:val="9"/>
          <w:szCs w:val="9"/>
          <w:b w:val="1"/>
          <w:bCs w:val="1"/>
          <w:color w:val="auto"/>
        </w:rPr>
        <w:t>on</w:t>
      </w:r>
      <w:r>
        <w:rPr>
          <w:rFonts w:ascii="Times New Roman" w:cs="Times New Roman" w:eastAsia="Times New Roman" w:hAnsi="Times New Roman"/>
          <w:sz w:val="15"/>
          <w:szCs w:val="15"/>
          <w:b w:val="1"/>
          <w:bCs w:val="1"/>
          <w:color w:val="auto"/>
        </w:rPr>
        <w:t>-E</w:t>
      </w:r>
      <w:r>
        <w:rPr>
          <w:rFonts w:ascii="Times New Roman" w:cs="Times New Roman" w:eastAsia="Times New Roman" w:hAnsi="Times New Roman"/>
          <w:sz w:val="9"/>
          <w:szCs w:val="9"/>
          <w:b w:val="1"/>
          <w:bCs w:val="1"/>
          <w:color w:val="auto"/>
        </w:rPr>
        <w:t>mployee</w:t>
      </w:r>
      <w:r>
        <w:rPr>
          <w:rFonts w:ascii="Times New Roman" w:cs="Times New Roman" w:eastAsia="Times New Roman" w:hAnsi="Times New Roman"/>
          <w:sz w:val="15"/>
          <w:szCs w:val="15"/>
          <w:b w:val="1"/>
          <w:bCs w:val="1"/>
          <w:color w:val="auto"/>
        </w:rPr>
        <w:t xml:space="preserve"> D</w:t>
      </w:r>
      <w:r>
        <w:rPr>
          <w:rFonts w:ascii="Times New Roman" w:cs="Times New Roman" w:eastAsia="Times New Roman" w:hAnsi="Times New Roman"/>
          <w:sz w:val="9"/>
          <w:szCs w:val="9"/>
          <w:b w:val="1"/>
          <w:bCs w:val="1"/>
          <w:color w:val="auto"/>
        </w:rPr>
        <w:t>irectors</w:t>
      </w:r>
      <w:r>
        <w:rPr>
          <w:rFonts w:ascii="Times New Roman" w:cs="Times New Roman" w:eastAsia="Times New Roman" w:hAnsi="Times New Roman"/>
          <w:sz w:val="15"/>
          <w:szCs w:val="15"/>
          <w:b w:val="1"/>
          <w:bCs w:val="1"/>
          <w:color w:val="auto"/>
        </w:rPr>
        <w:t>)</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74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Name of Participant:</w:t>
            </w:r>
          </w:p>
        </w:tc>
        <w:tc>
          <w:tcPr>
            <w:tcW w:w="3820" w:type="dxa"/>
            <w:vAlign w:val="bottom"/>
            <w:tcBorders>
              <w:top w:val="single" w:sz="8" w:color="auto"/>
              <w:bottom w:val="single" w:sz="8" w:color="auto"/>
              <w:right w:val="single" w:sz="8" w:color="auto"/>
            </w:tcBorders>
          </w:tcPr>
          <w:p>
            <w:pPr>
              <w:spacing w:after="0"/>
              <w:rPr>
                <w:sz w:val="16"/>
                <w:szCs w:val="16"/>
                <w:color w:val="auto"/>
              </w:rPr>
            </w:pPr>
          </w:p>
        </w:tc>
      </w:tr>
      <w:tr>
        <w:trPr>
          <w:trHeight w:val="167"/>
        </w:trPr>
        <w:tc>
          <w:tcPr>
            <w:tcW w:w="746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b w:val="1"/>
                <w:bCs w:val="1"/>
                <w:color w:val="auto"/>
              </w:rPr>
              <w:t>Number of Common Stock subject to the Share Option:</w:t>
            </w:r>
          </w:p>
        </w:tc>
        <w:tc>
          <w:tcPr>
            <w:tcW w:w="3820" w:type="dxa"/>
            <w:vAlign w:val="bottom"/>
            <w:tcBorders>
              <w:bottom w:val="single" w:sz="8" w:color="auto"/>
              <w:right w:val="single" w:sz="8" w:color="auto"/>
            </w:tcBorders>
          </w:tcPr>
          <w:p>
            <w:pPr>
              <w:spacing w:after="0"/>
              <w:rPr>
                <w:sz w:val="14"/>
                <w:szCs w:val="14"/>
                <w:color w:val="auto"/>
              </w:rPr>
            </w:pPr>
          </w:p>
        </w:tc>
      </w:tr>
      <w:tr>
        <w:trPr>
          <w:trHeight w:val="167"/>
        </w:trPr>
        <w:tc>
          <w:tcPr>
            <w:tcW w:w="746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b w:val="1"/>
                <w:bCs w:val="1"/>
                <w:color w:val="auto"/>
              </w:rPr>
              <w:t>Exercise Price per Share:</w:t>
            </w:r>
          </w:p>
        </w:tc>
        <w:tc>
          <w:tcPr>
            <w:tcW w:w="3820" w:type="dxa"/>
            <w:vAlign w:val="bottom"/>
            <w:tcBorders>
              <w:bottom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67"/>
        </w:trPr>
        <w:tc>
          <w:tcPr>
            <w:tcW w:w="746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b w:val="1"/>
                <w:bCs w:val="1"/>
                <w:color w:val="auto"/>
              </w:rPr>
              <w:t>Date of Grant:</w:t>
            </w:r>
          </w:p>
        </w:tc>
        <w:tc>
          <w:tcPr>
            <w:tcW w:w="3820" w:type="dxa"/>
            <w:vAlign w:val="bottom"/>
            <w:tcBorders>
              <w:bottom w:val="single" w:sz="8" w:color="auto"/>
              <w:right w:val="single" w:sz="8" w:color="auto"/>
            </w:tcBorders>
          </w:tcPr>
          <w:p>
            <w:pPr>
              <w:spacing w:after="0"/>
              <w:rPr>
                <w:sz w:val="14"/>
                <w:szCs w:val="14"/>
                <w:color w:val="auto"/>
              </w:rPr>
            </w:pPr>
          </w:p>
        </w:tc>
      </w:tr>
      <w:tr>
        <w:trPr>
          <w:trHeight w:val="167"/>
        </w:trPr>
        <w:tc>
          <w:tcPr>
            <w:tcW w:w="746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b w:val="1"/>
                <w:bCs w:val="1"/>
                <w:color w:val="auto"/>
              </w:rPr>
              <w:t>Vesting Commencement Date:</w:t>
            </w:r>
          </w:p>
        </w:tc>
        <w:tc>
          <w:tcPr>
            <w:tcW w:w="3820" w:type="dxa"/>
            <w:vAlign w:val="bottom"/>
            <w:tcBorders>
              <w:bottom w:val="single" w:sz="8" w:color="auto"/>
              <w:right w:val="single" w:sz="8" w:color="auto"/>
            </w:tcBorders>
          </w:tcPr>
          <w:p>
            <w:pPr>
              <w:spacing w:after="0"/>
              <w:rPr>
                <w:sz w:val="14"/>
                <w:szCs w:val="14"/>
                <w:color w:val="auto"/>
              </w:rPr>
            </w:pPr>
          </w:p>
        </w:tc>
      </w:tr>
      <w:tr>
        <w:trPr>
          <w:trHeight w:val="150"/>
        </w:trPr>
        <w:tc>
          <w:tcPr>
            <w:tcW w:w="7460" w:type="dxa"/>
            <w:vAlign w:val="bottom"/>
            <w:tcBorders>
              <w:left w:val="single" w:sz="8" w:color="auto"/>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5"/>
                <w:szCs w:val="15"/>
                <w:b w:val="1"/>
                <w:bCs w:val="1"/>
                <w:color w:val="auto"/>
              </w:rPr>
              <w:t>Covered Transaction:</w:t>
            </w:r>
          </w:p>
        </w:tc>
        <w:tc>
          <w:tcPr>
            <w:tcW w:w="382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5"/>
                <w:szCs w:val="15"/>
                <w:b w:val="1"/>
                <w:bCs w:val="1"/>
                <w:color w:val="auto"/>
                <w:w w:val="99"/>
              </w:rPr>
              <w:t>The Share Option will vest in full upon the consummation</w:t>
            </w:r>
          </w:p>
        </w:tc>
      </w:tr>
      <w:tr>
        <w:trPr>
          <w:trHeight w:val="192"/>
        </w:trPr>
        <w:tc>
          <w:tcPr>
            <w:tcW w:w="7460" w:type="dxa"/>
            <w:vAlign w:val="bottom"/>
            <w:tcBorders>
              <w:left w:val="single" w:sz="8" w:color="auto"/>
              <w:bottom w:val="single" w:sz="8" w:color="auto"/>
              <w:right w:val="single" w:sz="8" w:color="auto"/>
            </w:tcBorders>
          </w:tcPr>
          <w:p>
            <w:pPr>
              <w:spacing w:after="0"/>
              <w:rPr>
                <w:sz w:val="16"/>
                <w:szCs w:val="16"/>
                <w:color w:val="auto"/>
              </w:rPr>
            </w:pPr>
          </w:p>
        </w:tc>
        <w:tc>
          <w:tcPr>
            <w:tcW w:w="3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of a Covered Transaction</w:t>
            </w:r>
          </w:p>
        </w:tc>
      </w:tr>
      <w:tr>
        <w:trPr>
          <w:trHeight w:val="183"/>
        </w:trPr>
        <w:tc>
          <w:tcPr>
            <w:tcW w:w="7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Expiration Date:</w:t>
            </w:r>
          </w:p>
        </w:tc>
        <w:tc>
          <w:tcPr>
            <w:tcW w:w="38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3"/>
                <w:szCs w:val="13"/>
                <w:b w:val="1"/>
                <w:bCs w:val="1"/>
                <w:color w:val="auto"/>
              </w:rPr>
              <w:t>, subject to earlier termination, as provided</w:t>
            </w:r>
          </w:p>
        </w:tc>
      </w:tr>
      <w:tr>
        <w:trPr>
          <w:trHeight w:val="192"/>
        </w:trPr>
        <w:tc>
          <w:tcPr>
            <w:tcW w:w="7460" w:type="dxa"/>
            <w:vAlign w:val="bottom"/>
            <w:tcBorders>
              <w:left w:val="single" w:sz="8" w:color="auto"/>
              <w:bottom w:val="single" w:sz="8" w:color="auto"/>
              <w:right w:val="single" w:sz="8" w:color="auto"/>
            </w:tcBorders>
          </w:tcPr>
          <w:p>
            <w:pPr>
              <w:spacing w:after="0"/>
              <w:rPr>
                <w:sz w:val="16"/>
                <w:szCs w:val="16"/>
                <w:color w:val="auto"/>
              </w:rPr>
            </w:pPr>
          </w:p>
        </w:tc>
        <w:tc>
          <w:tcPr>
            <w:tcW w:w="3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under the Plan and this Agreement</w:t>
            </w:r>
          </w:p>
        </w:tc>
      </w:tr>
    </w:tbl>
    <w:p>
      <w:pPr>
        <w:spacing w:after="0" w:line="159" w:lineRule="exact"/>
        <w:rPr>
          <w:sz w:val="20"/>
          <w:szCs w:val="20"/>
          <w:color w:val="auto"/>
        </w:rPr>
      </w:pPr>
    </w:p>
    <w:p>
      <w:pPr>
        <w:jc w:val="both"/>
        <w:ind w:firstLine="527"/>
        <w:spacing w:after="0" w:line="258" w:lineRule="auto"/>
        <w:rPr>
          <w:sz w:val="20"/>
          <w:szCs w:val="20"/>
          <w:color w:val="auto"/>
        </w:rPr>
      </w:pPr>
      <w:r>
        <w:rPr>
          <w:rFonts w:ascii="Times New Roman" w:cs="Times New Roman" w:eastAsia="Times New Roman" w:hAnsi="Times New Roman"/>
          <w:sz w:val="15"/>
          <w:szCs w:val="15"/>
          <w:color w:val="auto"/>
        </w:rPr>
        <w:t>This agreement (this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evidences a share option granted by Zenas BioPharma, Inc.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to the individual named above (the “</w:t>
      </w:r>
      <w:r>
        <w:rPr>
          <w:rFonts w:ascii="Times New Roman" w:cs="Times New Roman" w:eastAsia="Times New Roman" w:hAnsi="Times New Roman"/>
          <w:sz w:val="15"/>
          <w:szCs w:val="15"/>
          <w:b w:val="1"/>
          <w:bCs w:val="1"/>
          <w:color w:val="auto"/>
        </w:rPr>
        <w:t>Participant</w:t>
      </w:r>
      <w:r>
        <w:rPr>
          <w:rFonts w:ascii="Times New Roman" w:cs="Times New Roman" w:eastAsia="Times New Roman" w:hAnsi="Times New Roman"/>
          <w:sz w:val="15"/>
          <w:szCs w:val="15"/>
          <w:color w:val="auto"/>
        </w:rPr>
        <w:t>”), pursuant to and subject to the terms of the Zenas BioPharma, Inc. 2020 Equity Incentive Plan (as from time to time amended and in effect, the “</w:t>
      </w:r>
      <w:r>
        <w:rPr>
          <w:rFonts w:ascii="Times New Roman" w:cs="Times New Roman" w:eastAsia="Times New Roman" w:hAnsi="Times New Roman"/>
          <w:sz w:val="15"/>
          <w:szCs w:val="15"/>
          <w:b w:val="1"/>
          <w:bCs w:val="1"/>
          <w:color w:val="auto"/>
        </w:rPr>
        <w:t>Plan</w:t>
      </w:r>
      <w:r>
        <w:rPr>
          <w:rFonts w:ascii="Times New Roman" w:cs="Times New Roman" w:eastAsia="Times New Roman" w:hAnsi="Times New Roman"/>
          <w:sz w:val="15"/>
          <w:szCs w:val="15"/>
          <w:color w:val="auto"/>
        </w:rPr>
        <w:t>”). Except as otherwise defined herein, all capitalized terms used herein have the same meaning as in the Plan.</w:t>
      </w:r>
    </w:p>
    <w:p>
      <w:pPr>
        <w:spacing w:after="0" w:line="147" w:lineRule="exact"/>
        <w:rPr>
          <w:sz w:val="20"/>
          <w:szCs w:val="20"/>
          <w:color w:val="auto"/>
        </w:rPr>
      </w:pPr>
    </w:p>
    <w:p>
      <w:pPr>
        <w:jc w:val="both"/>
        <w:ind w:firstLine="535"/>
        <w:spacing w:after="0" w:line="258" w:lineRule="auto"/>
        <w:tabs>
          <w:tab w:leader="none" w:pos="1087"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Grant of Share Option</w:t>
      </w:r>
      <w:r>
        <w:rPr>
          <w:rFonts w:ascii="Times New Roman" w:cs="Times New Roman" w:eastAsia="Times New Roman" w:hAnsi="Times New Roman"/>
          <w:sz w:val="15"/>
          <w:szCs w:val="15"/>
          <w:color w:val="auto"/>
        </w:rPr>
        <w:t>. The Company grants to the Participant on the date of grant set forth above (the “</w:t>
      </w:r>
      <w:r>
        <w:rPr>
          <w:rFonts w:ascii="Times New Roman" w:cs="Times New Roman" w:eastAsia="Times New Roman" w:hAnsi="Times New Roman"/>
          <w:sz w:val="15"/>
          <w:szCs w:val="15"/>
          <w:b w:val="1"/>
          <w:bCs w:val="1"/>
          <w:color w:val="auto"/>
        </w:rPr>
        <w:t>Date of Grant</w:t>
      </w:r>
      <w:r>
        <w:rPr>
          <w:rFonts w:ascii="Times New Roman" w:cs="Times New Roman" w:eastAsia="Times New Roman" w:hAnsi="Times New Roman"/>
          <w:sz w:val="15"/>
          <w:szCs w:val="15"/>
          <w:color w:val="auto"/>
        </w:rPr>
        <w:t>”) a Share Option to purchase, pursuant to and subject to the terms set forth in this Agreement and in the Plan, up to the number of Shares set forth above with an exercise price per Share as set forth above, in each case subject to adjustment pursuant to Section 7 of the Plan in respect of transactions occurring after the date hereof.</w:t>
      </w:r>
    </w:p>
    <w:p>
      <w:pPr>
        <w:spacing w:after="0" w:line="149" w:lineRule="exact"/>
        <w:rPr>
          <w:sz w:val="20"/>
          <w:szCs w:val="20"/>
          <w:color w:val="auto"/>
        </w:rPr>
      </w:pPr>
    </w:p>
    <w:p>
      <w:pPr>
        <w:ind w:firstLine="1055"/>
        <w:spacing w:after="0" w:line="269" w:lineRule="auto"/>
        <w:rPr>
          <w:sz w:val="20"/>
          <w:szCs w:val="20"/>
          <w:color w:val="auto"/>
        </w:rPr>
      </w:pPr>
      <w:r>
        <w:rPr>
          <w:rFonts w:ascii="Times New Roman" w:cs="Times New Roman" w:eastAsia="Times New Roman" w:hAnsi="Times New Roman"/>
          <w:sz w:val="15"/>
          <w:szCs w:val="15"/>
          <w:color w:val="auto"/>
        </w:rPr>
        <w:t>The Share Option evidenced by this Agreement is a non-statutory option (that is, an option that is not intended to qualify as an ISO) and is granted to the Participant in connection with the Participant’s Employment.</w:t>
      </w:r>
    </w:p>
    <w:p>
      <w:pPr>
        <w:spacing w:after="0" w:line="139" w:lineRule="exact"/>
        <w:rPr>
          <w:sz w:val="20"/>
          <w:szCs w:val="20"/>
          <w:color w:val="auto"/>
        </w:rPr>
      </w:pPr>
    </w:p>
    <w:p>
      <w:pPr>
        <w:jc w:val="both"/>
        <w:ind w:firstLine="535"/>
        <w:spacing w:after="0" w:line="274" w:lineRule="auto"/>
        <w:tabs>
          <w:tab w:leader="none" w:pos="1087"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w:t>
      </w:r>
      <w:r>
        <w:rPr>
          <w:rFonts w:ascii="Times New Roman" w:cs="Times New Roman" w:eastAsia="Times New Roman" w:hAnsi="Times New Roman"/>
          <w:sz w:val="14"/>
          <w:szCs w:val="14"/>
          <w:color w:val="auto"/>
        </w:rPr>
        <w:t>. The term “</w:t>
      </w:r>
      <w:r>
        <w:rPr>
          <w:rFonts w:ascii="Times New Roman" w:cs="Times New Roman" w:eastAsia="Times New Roman" w:hAnsi="Times New Roman"/>
          <w:sz w:val="14"/>
          <w:szCs w:val="14"/>
          <w:b w:val="1"/>
          <w:bCs w:val="1"/>
          <w:color w:val="auto"/>
        </w:rPr>
        <w:t>vest</w:t>
      </w:r>
      <w:r>
        <w:rPr>
          <w:rFonts w:ascii="Times New Roman" w:cs="Times New Roman" w:eastAsia="Times New Roman" w:hAnsi="Times New Roman"/>
          <w:sz w:val="14"/>
          <w:szCs w:val="14"/>
          <w:color w:val="auto"/>
        </w:rPr>
        <w:t>” as used herein with respect to the Share Option or any portion thereof means to become exercisable and the term “</w:t>
      </w:r>
      <w:r>
        <w:rPr>
          <w:rFonts w:ascii="Times New Roman" w:cs="Times New Roman" w:eastAsia="Times New Roman" w:hAnsi="Times New Roman"/>
          <w:sz w:val="14"/>
          <w:szCs w:val="14"/>
          <w:b w:val="1"/>
          <w:bCs w:val="1"/>
          <w:color w:val="auto"/>
        </w:rPr>
        <w:t>vested</w:t>
      </w:r>
      <w:r>
        <w:rPr>
          <w:rFonts w:ascii="Times New Roman" w:cs="Times New Roman" w:eastAsia="Times New Roman" w:hAnsi="Times New Roman"/>
          <w:sz w:val="14"/>
          <w:szCs w:val="14"/>
          <w:color w:val="auto"/>
        </w:rPr>
        <w:t>” with respect to the Share Option (or any portion thereof) means that the Share Option (or portion thereof) is then exercisable. Unless earlier terminated, forfeited, relinquished or expired, the Share Option will vest as to</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4"/>
          <w:szCs w:val="14"/>
          <w:color w:val="auto"/>
        </w:rPr>
        <w:t>[twenty five percent (25%) of the Shares on the first anniversary of the [Date of Grant][Vesting Commencement Date] and as to one forty-eighth (1/48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of the Shares on each monthly anniversary of the first anniversary of the [Date of Grant][Vesting Commencement Date], with the number of Shares that vest on any such date being rounded down to the nearest whole Share</w:t>
      </w:r>
    </w:p>
    <w:p>
      <w:pPr>
        <w:spacing w:after="0" w:line="2"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5"/>
          <w:szCs w:val="15"/>
          <w:color w:val="auto"/>
        </w:rPr>
        <w:t>and the Share Option becoming vested as to 100% of the Shares on the fourth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anniversary of the Date of Grant, subject, in each case, to the Participant remaining in continuous Employment from the [Date of Grant][Vesting Commencement Date]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793240" cy="698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793240" cy="6985"/>
                    </a:xfrm>
                    <a:prstGeom prst="rect">
                      <a:avLst/>
                    </a:prstGeom>
                    <a:noFill/>
                  </pic:spPr>
                </pic:pic>
              </a:graphicData>
            </a:graphic>
          </wp:anchor>
        </w:drawing>
      </w:r>
    </w:p>
    <w:p>
      <w:pPr>
        <w:spacing w:after="0" w:line="200" w:lineRule="exact"/>
        <w:rPr>
          <w:sz w:val="20"/>
          <w:szCs w:val="20"/>
          <w:color w:val="auto"/>
        </w:rPr>
      </w:pPr>
    </w:p>
    <w:p>
      <w:pPr>
        <w:ind w:left="640" w:hanging="105"/>
        <w:spacing w:after="0"/>
        <w:tabs>
          <w:tab w:leader="none" w:pos="640" w:val="left"/>
        </w:tabs>
        <w:numPr>
          <w:ilvl w:val="0"/>
          <w:numId w:val="30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u w:val="single" w:color="auto"/>
          <w:color w:val="auto"/>
        </w:rPr>
        <w:t>Note to Draft</w:t>
      </w:r>
      <w:r>
        <w:rPr>
          <w:rFonts w:ascii="Times New Roman" w:cs="Times New Roman" w:eastAsia="Times New Roman" w:hAnsi="Times New Roman"/>
          <w:sz w:val="15"/>
          <w:szCs w:val="15"/>
          <w:color w:val="auto"/>
        </w:rPr>
        <w:t>: This date will be no longer in duration than 10 years from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57720" cy="698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532" w:name="page533"/>
    <w:bookmarkEnd w:id="532"/>
    <w:p>
      <w:pPr>
        <w:jc w:val="both"/>
        <w:ind w:firstLine="535"/>
        <w:spacing w:after="0" w:line="266" w:lineRule="auto"/>
        <w:tabs>
          <w:tab w:leader="none" w:pos="1087"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the Share Option</w:t>
      </w:r>
      <w:r>
        <w:rPr>
          <w:rFonts w:ascii="Times New Roman" w:cs="Times New Roman" w:eastAsia="Times New Roman" w:hAnsi="Times New Roman"/>
          <w:sz w:val="14"/>
          <w:szCs w:val="14"/>
          <w:color w:val="auto"/>
        </w:rPr>
        <w:t>. No portion of the Share Option may be exercised until such portion vests. Each election to exercise any vested portion of the Share Option will be subject to the terms and conditions of the Plan and must be in written or electronic form acceptable to the Administrator, signed (including by electronic signature) by the Participant or, if at the relevant time the Share Option has passed to a permitted transferee, the permitted transferee. Each such written or electronic exercise election must be received by the Company at its principal office or by such other party as the Administrator may prescribe and be accompanied by payment in full of the exercise price by cash or check, through a broker-assisted exercise program acceptable to the Administrator, or as otherwise provided in the Plan, and the Participant must also execute any additional documents that the Administrator determines in its sole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5"/>
          <w:szCs w:val="15"/>
          <w:color w:val="auto"/>
        </w:rPr>
        <w:t>discretion in order to effectuate such exercise. The latest date on which the Share Option will terminate or any vested portion thereof may be exercised is the tenth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anniversary of the Date of Grant (the “</w:t>
      </w:r>
      <w:r>
        <w:rPr>
          <w:rFonts w:ascii="Times New Roman" w:cs="Times New Roman" w:eastAsia="Times New Roman" w:hAnsi="Times New Roman"/>
          <w:sz w:val="15"/>
          <w:szCs w:val="15"/>
          <w:b w:val="1"/>
          <w:bCs w:val="1"/>
          <w:color w:val="auto"/>
        </w:rPr>
        <w:t>Expiration Date</w:t>
      </w:r>
      <w:r>
        <w:rPr>
          <w:rFonts w:ascii="Times New Roman" w:cs="Times New Roman" w:eastAsia="Times New Roman" w:hAnsi="Times New Roman"/>
          <w:sz w:val="15"/>
          <w:szCs w:val="15"/>
          <w:color w:val="auto"/>
        </w:rPr>
        <w:t>”) upon which, if not earlier terminated under the terms of the Plan or this Agreement, the Share Option or any remaining portion thereof will thereupon immediately terminate. The Company may require, as a condition to the exercise of the Share Option or the issuance of Shares thereunder, such representations or agreements as counsel for the Company may consider appropriate to avoid violation of the Securities Act of 1933, as amended, or any other Applicable Laws. No Shares will be issued pursuant to this Agreement unless and until all legal requirements applicable to the issuance or transfer of such Shares have been complied with to the satisfaction of the Company.</w:t>
      </w:r>
    </w:p>
    <w:p>
      <w:pPr>
        <w:spacing w:after="0" w:line="163" w:lineRule="exact"/>
        <w:rPr>
          <w:sz w:val="20"/>
          <w:szCs w:val="20"/>
          <w:color w:val="auto"/>
        </w:rPr>
      </w:pPr>
    </w:p>
    <w:p>
      <w:pPr>
        <w:jc w:val="both"/>
        <w:ind w:firstLine="535"/>
        <w:spacing w:after="0" w:line="257" w:lineRule="auto"/>
        <w:tabs>
          <w:tab w:leader="none" w:pos="1120" w:val="left"/>
        </w:tabs>
        <w:numPr>
          <w:ilvl w:val="0"/>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Cessation of Employment</w:t>
      </w:r>
      <w:r>
        <w:rPr>
          <w:rFonts w:ascii="Times New Roman" w:cs="Times New Roman" w:eastAsia="Times New Roman" w:hAnsi="Times New Roman"/>
          <w:sz w:val="15"/>
          <w:szCs w:val="15"/>
          <w:color w:val="auto"/>
        </w:rPr>
        <w:t>. If the Participant’s Employment ceases, except as expressly provided for in an employment agreement between the Participant and the Company that is in effect at the time of such termination, the Share Option, to the extent not then vested, will be immediately forfeited for no consideration, and any vested portion of the Share Option that is then outstanding will remain exercisable for the period described in Section 6(a)(4) of the Plan.</w:t>
      </w:r>
    </w:p>
    <w:p>
      <w:pPr>
        <w:spacing w:after="0" w:line="149" w:lineRule="exact"/>
        <w:rPr>
          <w:rFonts w:ascii="Times New Roman" w:cs="Times New Roman" w:eastAsia="Times New Roman" w:hAnsi="Times New Roman"/>
          <w:sz w:val="15"/>
          <w:szCs w:val="15"/>
          <w:color w:val="auto"/>
        </w:rPr>
      </w:pPr>
    </w:p>
    <w:p>
      <w:pPr>
        <w:ind w:left="1080" w:hanging="545"/>
        <w:spacing w:after="0"/>
        <w:tabs>
          <w:tab w:leader="none" w:pos="1080" w:val="left"/>
        </w:tabs>
        <w:numPr>
          <w:ilvl w:val="0"/>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Restrictions on Transfer</w:t>
      </w:r>
      <w:r>
        <w:rPr>
          <w:rFonts w:ascii="Times New Roman" w:cs="Times New Roman" w:eastAsia="Times New Roman" w:hAnsi="Times New Roman"/>
          <w:sz w:val="15"/>
          <w:szCs w:val="15"/>
          <w:color w:val="auto"/>
        </w:rPr>
        <w:t>. The Share Option may not be transferred except as expressly permitted under Section 6(a)(3) of the Plan.</w:t>
      </w:r>
    </w:p>
    <w:p>
      <w:pPr>
        <w:spacing w:after="0" w:line="179" w:lineRule="exact"/>
        <w:rPr>
          <w:rFonts w:ascii="Times New Roman" w:cs="Times New Roman" w:eastAsia="Times New Roman" w:hAnsi="Times New Roman"/>
          <w:sz w:val="15"/>
          <w:szCs w:val="15"/>
          <w:color w:val="auto"/>
        </w:rPr>
      </w:pPr>
    </w:p>
    <w:p>
      <w:pPr>
        <w:jc w:val="both"/>
        <w:ind w:firstLine="535"/>
        <w:spacing w:after="0" w:line="249" w:lineRule="auto"/>
        <w:tabs>
          <w:tab w:leader="none" w:pos="1098" w:val="left"/>
        </w:tabs>
        <w:numPr>
          <w:ilvl w:val="0"/>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Forfeiture; Recovery of Compensation</w:t>
      </w:r>
      <w:r>
        <w:rPr>
          <w:rFonts w:ascii="Times New Roman" w:cs="Times New Roman" w:eastAsia="Times New Roman" w:hAnsi="Times New Roman"/>
          <w:sz w:val="15"/>
          <w:szCs w:val="15"/>
          <w:color w:val="auto"/>
        </w:rPr>
        <w:t>. By accepting, or being deemed to have accepted, the Share Option, the Participant expressly acknowledges and agrees that his or her rights, and those of any permitted transferee, with respect to the Share Option, including the right to any Shares acquired under the Share Option or proceeds from the disposition thereof, are subject to Section 6(a)(5) of the Plan (including any successor provision). The Participant further agrees to be bound by the terms of any clawback or recoupment policy of the Company that applies to incentive compensation that includes Awards such as the Share Option and any policy of the Company or any of its Affiliates that relates to trading on non-public information and permitted transactions with respect to shares of Stock, including limitations on hedging and pledging. Nothing in the preceding sentence will be construed as limiting the general application of Section 8 of this Agreement.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57720" cy="698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33" w:name="page534"/>
    <w:bookmarkEnd w:id="533"/>
    <w:p>
      <w:pPr>
        <w:ind w:firstLine="535"/>
        <w:spacing w:after="0" w:line="269" w:lineRule="auto"/>
        <w:tabs>
          <w:tab w:leader="none" w:pos="1142" w:val="left"/>
        </w:tabs>
        <w:numPr>
          <w:ilvl w:val="0"/>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Withholding</w:t>
      </w:r>
      <w:r>
        <w:rPr>
          <w:rFonts w:ascii="Times New Roman" w:cs="Times New Roman" w:eastAsia="Times New Roman" w:hAnsi="Times New Roman"/>
          <w:sz w:val="15"/>
          <w:szCs w:val="15"/>
          <w:color w:val="auto"/>
        </w:rPr>
        <w:t>. The Participant is responsible for satisfying and paying all taxes arising from or due in connection with the Share Option, its exercise or a disposition of any Shares acquired upon exercise of the Share Option. The Company will have no liability or obligation related to the foregoing.</w:t>
      </w:r>
    </w:p>
    <w:p>
      <w:pPr>
        <w:spacing w:after="0" w:line="140" w:lineRule="exact"/>
        <w:rPr>
          <w:rFonts w:ascii="Times New Roman" w:cs="Times New Roman" w:eastAsia="Times New Roman" w:hAnsi="Times New Roman"/>
          <w:sz w:val="15"/>
          <w:szCs w:val="15"/>
          <w:color w:val="auto"/>
        </w:rPr>
      </w:pPr>
    </w:p>
    <w:p>
      <w:pPr>
        <w:jc w:val="both"/>
        <w:ind w:firstLine="535"/>
        <w:spacing w:after="0" w:line="257" w:lineRule="auto"/>
        <w:tabs>
          <w:tab w:leader="none" w:pos="1120" w:val="left"/>
        </w:tabs>
        <w:numPr>
          <w:ilvl w:val="0"/>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Provisions of the Plan</w:t>
      </w:r>
      <w:r>
        <w:rPr>
          <w:rFonts w:ascii="Times New Roman" w:cs="Times New Roman" w:eastAsia="Times New Roman" w:hAnsi="Times New Roman"/>
          <w:sz w:val="15"/>
          <w:szCs w:val="15"/>
          <w:color w:val="auto"/>
        </w:rPr>
        <w:t>. This Agreement is subject in its entirety to the provisions of the Plan, which are incorporated herein by reference. A copy of the Plan as in effect on the Date of Grant has been made available to the Participant. By accepting, or being deemed to have accepted, the Share Option, the Participant agrees to be bound by the terms of the Plan and this Agreement. In the event of any conflict between the terms of this Agreement and the Plan, the terms of the Plan will control.</w:t>
      </w:r>
    </w:p>
    <w:p>
      <w:pPr>
        <w:spacing w:after="0" w:line="149" w:lineRule="exact"/>
        <w:rPr>
          <w:rFonts w:ascii="Times New Roman" w:cs="Times New Roman" w:eastAsia="Times New Roman" w:hAnsi="Times New Roman"/>
          <w:sz w:val="15"/>
          <w:szCs w:val="15"/>
          <w:color w:val="auto"/>
        </w:rPr>
      </w:pPr>
    </w:p>
    <w:p>
      <w:pPr>
        <w:jc w:val="both"/>
        <w:ind w:firstLine="535"/>
        <w:spacing w:after="0" w:line="257" w:lineRule="auto"/>
        <w:tabs>
          <w:tab w:leader="none" w:pos="1263" w:val="left"/>
        </w:tabs>
        <w:numPr>
          <w:ilvl w:val="0"/>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Guarantee of Continued Service</w:t>
      </w:r>
      <w:r>
        <w:rPr>
          <w:rFonts w:ascii="Times New Roman" w:cs="Times New Roman" w:eastAsia="Times New Roman" w:hAnsi="Times New Roman"/>
          <w:sz w:val="15"/>
          <w:szCs w:val="15"/>
          <w:color w:val="auto"/>
        </w:rPr>
        <w:t>. The Participant acknowledges and agrees that nothing in this Agreement constitutes an express or implied promise of continued employment or other engagement with the Company or its subsidiaries for any period of time or shall interfere in any way with the right of the Company or its subsidiaries to terminate the Participant’s relationship as an employee or other service provider at any time, with or without Cause.</w:t>
      </w:r>
    </w:p>
    <w:p>
      <w:pPr>
        <w:spacing w:after="0" w:line="149" w:lineRule="exact"/>
        <w:rPr>
          <w:rFonts w:ascii="Times New Roman" w:cs="Times New Roman" w:eastAsia="Times New Roman" w:hAnsi="Times New Roman"/>
          <w:sz w:val="15"/>
          <w:szCs w:val="15"/>
          <w:color w:val="auto"/>
        </w:rPr>
      </w:pPr>
    </w:p>
    <w:p>
      <w:pPr>
        <w:jc w:val="both"/>
        <w:ind w:firstLine="535"/>
        <w:spacing w:after="0" w:line="252" w:lineRule="auto"/>
        <w:tabs>
          <w:tab w:leader="none" w:pos="1194" w:val="left"/>
        </w:tabs>
        <w:numPr>
          <w:ilvl w:val="0"/>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Acknowledgements</w:t>
      </w:r>
      <w:r>
        <w:rPr>
          <w:rFonts w:ascii="Times New Roman" w:cs="Times New Roman" w:eastAsia="Times New Roman" w:hAnsi="Times New Roman"/>
          <w:sz w:val="15"/>
          <w:szCs w:val="15"/>
          <w:color w:val="auto"/>
        </w:rPr>
        <w:t>. The Participant acknowledges and agrees that (i) this Agreement may be executed in two or more counterparts, each of which will be an original and all of which together will constitute one and the same instrument, (ii) this Agreement may be executed and exchanged using facsimile, portable document format (PDF) or electronic signature, which, in each case, will constitute an original signature for all purposes hereunder, and (iii) such signature by the Company will be binding against the Company and will create a legally binding agreement when this Agreement is countersigned by the Participant.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[Signature page follows.]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57720" cy="698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34" w:name="page535"/>
    <w:bookmarkEnd w:id="534"/>
    <w:p>
      <w:pPr>
        <w:ind w:left="540"/>
        <w:spacing w:after="0"/>
        <w:rPr>
          <w:sz w:val="20"/>
          <w:szCs w:val="20"/>
          <w:color w:val="auto"/>
        </w:rPr>
      </w:pPr>
      <w:r>
        <w:rPr>
          <w:rFonts w:ascii="Times New Roman" w:cs="Times New Roman" w:eastAsia="Times New Roman" w:hAnsi="Times New Roman"/>
          <w:sz w:val="14"/>
          <w:szCs w:val="14"/>
          <w:color w:val="auto"/>
        </w:rPr>
        <w:t>The Company, by its duly authorized officer, and the Participant have executed this Agreement as of the Date of Grant.</w:t>
      </w:r>
    </w:p>
    <w:p>
      <w:pPr>
        <w:spacing w:after="0" w:line="19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Zenas BioPharma, Inc.</w:t>
      </w:r>
    </w:p>
    <w:p>
      <w:pPr>
        <w:spacing w:after="0" w:line="1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11430</wp:posOffset>
            </wp:positionV>
            <wp:extent cx="3216275" cy="698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1905</wp:posOffset>
            </wp:positionV>
            <wp:extent cx="3216275" cy="698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8890</wp:posOffset>
            </wp:positionV>
            <wp:extent cx="3216275" cy="698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Agreed and Accepted: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11430</wp:posOffset>
            </wp:positionV>
            <wp:extent cx="3362960" cy="698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[Participant’s Name]</w:t>
      </w:r>
    </w:p>
    <w:p>
      <w:pPr>
        <w:spacing w:after="0" w:line="16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i w:val="1"/>
          <w:iCs w:val="1"/>
          <w:color w:val="auto"/>
        </w:rPr>
        <w:t>Signature page to Share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57720" cy="698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159"/>
          </w:cols>
          <w:pgMar w:left="300" w:top="762" w:right="1440" w:bottom="1440" w:gutter="0" w:footer="0" w:header="0"/>
        </w:sectPr>
      </w:pPr>
    </w:p>
    <w:bookmarkStart w:id="535" w:name="page536"/>
    <w:bookmarkEnd w:id="535"/>
    <w:p>
      <w:pPr>
        <w:jc w:val="right"/>
        <w:spacing w:after="0"/>
        <w:rPr>
          <w:sz w:val="20"/>
          <w:szCs w:val="20"/>
          <w:color w:val="auto"/>
        </w:rPr>
      </w:pPr>
      <w:r>
        <w:rPr>
          <w:rFonts w:ascii="Times New Roman" w:cs="Times New Roman" w:eastAsia="Times New Roman" w:hAnsi="Times New Roman"/>
          <w:sz w:val="15"/>
          <w:szCs w:val="15"/>
          <w:b w:val="1"/>
          <w:bCs w:val="1"/>
          <w:color w:val="auto"/>
        </w:rPr>
        <w:t>Exhibit 10.12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w:t>
      </w:r>
      <w:r>
        <w:rPr>
          <w:rFonts w:ascii="Times New Roman" w:cs="Times New Roman" w:eastAsia="Times New Roman" w:hAnsi="Times New Roman"/>
          <w:sz w:val="9"/>
          <w:szCs w:val="9"/>
          <w:b w:val="1"/>
          <w:bCs w:val="1"/>
          <w:color w:val="auto"/>
        </w:rPr>
        <w:t>enas</w:t>
      </w:r>
      <w:r>
        <w:rPr>
          <w:rFonts w:ascii="Times New Roman" w:cs="Times New Roman" w:eastAsia="Times New Roman" w:hAnsi="Times New Roman"/>
          <w:sz w:val="15"/>
          <w:szCs w:val="15"/>
          <w:b w:val="1"/>
          <w:bCs w:val="1"/>
          <w:color w:val="auto"/>
        </w:rPr>
        <w:t xml:space="preserve"> B</w:t>
      </w:r>
      <w:r>
        <w:rPr>
          <w:rFonts w:ascii="Times New Roman" w:cs="Times New Roman" w:eastAsia="Times New Roman" w:hAnsi="Times New Roman"/>
          <w:sz w:val="9"/>
          <w:szCs w:val="9"/>
          <w:b w:val="1"/>
          <w:bCs w:val="1"/>
          <w:color w:val="auto"/>
        </w:rPr>
        <w:t>io</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9"/>
          <w:szCs w:val="9"/>
          <w:b w:val="1"/>
          <w:bCs w:val="1"/>
          <w:color w:val="auto"/>
        </w:rPr>
        <w:t>harma</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5"/>
          <w:szCs w:val="15"/>
          <w:b w:val="1"/>
          <w:bCs w:val="1"/>
          <w:color w:val="auto"/>
        </w:rPr>
        <w: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2020 E</w:t>
      </w:r>
      <w:r>
        <w:rPr>
          <w:rFonts w:ascii="Times New Roman" w:cs="Times New Roman" w:eastAsia="Times New Roman" w:hAnsi="Times New Roman"/>
          <w:sz w:val="9"/>
          <w:szCs w:val="9"/>
          <w:b w:val="1"/>
          <w:bCs w:val="1"/>
          <w:color w:val="auto"/>
        </w:rPr>
        <w:t>quity</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9"/>
          <w:szCs w:val="9"/>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9"/>
          <w:szCs w:val="9"/>
          <w:b w:val="1"/>
          <w:bCs w:val="1"/>
          <w:color w:val="auto"/>
        </w:rPr>
        <w:t>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N</w:t>
      </w:r>
      <w:r>
        <w:rPr>
          <w:rFonts w:ascii="Times New Roman" w:cs="Times New Roman" w:eastAsia="Times New Roman" w:hAnsi="Times New Roman"/>
          <w:sz w:val="9"/>
          <w:szCs w:val="9"/>
          <w:b w:val="1"/>
          <w:bCs w:val="1"/>
          <w:u w:val="single" w:color="auto"/>
          <w:color w:val="auto"/>
        </w:rPr>
        <w:t>on</w:t>
      </w:r>
      <w:r>
        <w:rPr>
          <w:rFonts w:ascii="Times New Roman" w:cs="Times New Roman" w:eastAsia="Times New Roman" w:hAnsi="Times New Roman"/>
          <w:sz w:val="15"/>
          <w:szCs w:val="15"/>
          <w:b w:val="1"/>
          <w:bCs w:val="1"/>
          <w:u w:val="single" w:color="auto"/>
          <w:color w:val="auto"/>
        </w:rPr>
        <w:t>-S</w:t>
      </w:r>
      <w:r>
        <w:rPr>
          <w:rFonts w:ascii="Times New Roman" w:cs="Times New Roman" w:eastAsia="Times New Roman" w:hAnsi="Times New Roman"/>
          <w:sz w:val="9"/>
          <w:szCs w:val="9"/>
          <w:b w:val="1"/>
          <w:bCs w:val="1"/>
          <w:u w:val="single" w:color="auto"/>
          <w:color w:val="auto"/>
        </w:rPr>
        <w:t>tatutory</w:t>
      </w:r>
      <w:r>
        <w:rPr>
          <w:rFonts w:ascii="Times New Roman" w:cs="Times New Roman" w:eastAsia="Times New Roman" w:hAnsi="Times New Roman"/>
          <w:sz w:val="15"/>
          <w:szCs w:val="15"/>
          <w:b w:val="1"/>
          <w:bCs w:val="1"/>
          <w:u w:val="single" w:color="auto"/>
          <w:color w:val="auto"/>
        </w:rPr>
        <w:t xml:space="preserve"> S</w:t>
      </w:r>
      <w:r>
        <w:rPr>
          <w:rFonts w:ascii="Times New Roman" w:cs="Times New Roman" w:eastAsia="Times New Roman" w:hAnsi="Times New Roman"/>
          <w:sz w:val="9"/>
          <w:szCs w:val="9"/>
          <w:b w:val="1"/>
          <w:bCs w:val="1"/>
          <w:u w:val="single" w:color="auto"/>
          <w:color w:val="auto"/>
        </w:rPr>
        <w:t>hare</w:t>
      </w:r>
      <w:r>
        <w:rPr>
          <w:rFonts w:ascii="Times New Roman" w:cs="Times New Roman" w:eastAsia="Times New Roman" w:hAnsi="Times New Roman"/>
          <w:sz w:val="15"/>
          <w:szCs w:val="15"/>
          <w:b w:val="1"/>
          <w:bCs w:val="1"/>
          <w:u w:val="single" w:color="auto"/>
          <w:color w:val="auto"/>
        </w:rPr>
        <w:t xml:space="preserve"> O</w:t>
      </w:r>
      <w:r>
        <w:rPr>
          <w:rFonts w:ascii="Times New Roman" w:cs="Times New Roman" w:eastAsia="Times New Roman" w:hAnsi="Times New Roman"/>
          <w:sz w:val="9"/>
          <w:szCs w:val="9"/>
          <w:b w:val="1"/>
          <w:bCs w:val="1"/>
          <w:u w:val="single" w:color="auto"/>
          <w:color w:val="auto"/>
        </w:rPr>
        <w:t>ption</w:t>
      </w:r>
      <w:r>
        <w:rPr>
          <w:rFonts w:ascii="Times New Roman" w:cs="Times New Roman" w:eastAsia="Times New Roman" w:hAnsi="Times New Roman"/>
          <w:sz w:val="15"/>
          <w:szCs w:val="15"/>
          <w:b w:val="1"/>
          <w:bCs w:val="1"/>
          <w:u w:val="single" w:color="auto"/>
          <w:color w:val="auto"/>
        </w:rPr>
        <w:t xml:space="preserve"> A</w:t>
      </w:r>
      <w:r>
        <w:rPr>
          <w:rFonts w:ascii="Times New Roman" w:cs="Times New Roman" w:eastAsia="Times New Roman" w:hAnsi="Times New Roman"/>
          <w:sz w:val="9"/>
          <w:szCs w:val="9"/>
          <w:b w:val="1"/>
          <w:bCs w:val="1"/>
          <w:u w:val="single" w:color="auto"/>
          <w:color w:val="auto"/>
        </w:rPr>
        <w:t>greement</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74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Name of Participant:</w:t>
            </w:r>
          </w:p>
        </w:tc>
        <w:tc>
          <w:tcPr>
            <w:tcW w:w="3820" w:type="dxa"/>
            <w:vAlign w:val="bottom"/>
            <w:tcBorders>
              <w:top w:val="single" w:sz="8" w:color="auto"/>
              <w:bottom w:val="single" w:sz="8" w:color="auto"/>
              <w:right w:val="single" w:sz="8" w:color="auto"/>
            </w:tcBorders>
          </w:tcPr>
          <w:p>
            <w:pPr>
              <w:spacing w:after="0"/>
              <w:rPr>
                <w:sz w:val="16"/>
                <w:szCs w:val="16"/>
                <w:color w:val="auto"/>
              </w:rPr>
            </w:pPr>
          </w:p>
        </w:tc>
      </w:tr>
      <w:tr>
        <w:trPr>
          <w:trHeight w:val="167"/>
        </w:trPr>
        <w:tc>
          <w:tcPr>
            <w:tcW w:w="746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b w:val="1"/>
                <w:bCs w:val="1"/>
                <w:color w:val="auto"/>
              </w:rPr>
              <w:t>Number of Common Stock subject to the Share Option:</w:t>
            </w:r>
          </w:p>
        </w:tc>
        <w:tc>
          <w:tcPr>
            <w:tcW w:w="3820" w:type="dxa"/>
            <w:vAlign w:val="bottom"/>
            <w:tcBorders>
              <w:bottom w:val="single" w:sz="8" w:color="auto"/>
              <w:right w:val="single" w:sz="8" w:color="auto"/>
            </w:tcBorders>
          </w:tcPr>
          <w:p>
            <w:pPr>
              <w:spacing w:after="0"/>
              <w:rPr>
                <w:sz w:val="14"/>
                <w:szCs w:val="14"/>
                <w:color w:val="auto"/>
              </w:rPr>
            </w:pPr>
          </w:p>
        </w:tc>
      </w:tr>
      <w:tr>
        <w:trPr>
          <w:trHeight w:val="167"/>
        </w:trPr>
        <w:tc>
          <w:tcPr>
            <w:tcW w:w="746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b w:val="1"/>
                <w:bCs w:val="1"/>
                <w:color w:val="auto"/>
              </w:rPr>
              <w:t>Exercise Price per Share:</w:t>
            </w:r>
          </w:p>
        </w:tc>
        <w:tc>
          <w:tcPr>
            <w:tcW w:w="3820" w:type="dxa"/>
            <w:vAlign w:val="bottom"/>
            <w:tcBorders>
              <w:bottom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67"/>
        </w:trPr>
        <w:tc>
          <w:tcPr>
            <w:tcW w:w="746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b w:val="1"/>
                <w:bCs w:val="1"/>
                <w:color w:val="auto"/>
              </w:rPr>
              <w:t>Date of Grant:</w:t>
            </w:r>
          </w:p>
        </w:tc>
        <w:tc>
          <w:tcPr>
            <w:tcW w:w="3820" w:type="dxa"/>
            <w:vAlign w:val="bottom"/>
            <w:tcBorders>
              <w:bottom w:val="single" w:sz="8" w:color="auto"/>
              <w:right w:val="single" w:sz="8" w:color="auto"/>
            </w:tcBorders>
          </w:tcPr>
          <w:p>
            <w:pPr>
              <w:spacing w:after="0"/>
              <w:rPr>
                <w:sz w:val="14"/>
                <w:szCs w:val="14"/>
                <w:color w:val="auto"/>
              </w:rPr>
            </w:pPr>
          </w:p>
        </w:tc>
      </w:tr>
      <w:tr>
        <w:trPr>
          <w:trHeight w:val="167"/>
        </w:trPr>
        <w:tc>
          <w:tcPr>
            <w:tcW w:w="746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b w:val="1"/>
                <w:bCs w:val="1"/>
                <w:color w:val="auto"/>
              </w:rPr>
              <w:t>Vesting Commencement Date:</w:t>
            </w:r>
          </w:p>
        </w:tc>
        <w:tc>
          <w:tcPr>
            <w:tcW w:w="3820" w:type="dxa"/>
            <w:vAlign w:val="bottom"/>
            <w:tcBorders>
              <w:bottom w:val="single" w:sz="8" w:color="auto"/>
              <w:right w:val="single" w:sz="8" w:color="auto"/>
            </w:tcBorders>
          </w:tcPr>
          <w:p>
            <w:pPr>
              <w:spacing w:after="0"/>
              <w:rPr>
                <w:sz w:val="14"/>
                <w:szCs w:val="14"/>
                <w:color w:val="auto"/>
              </w:rPr>
            </w:pPr>
          </w:p>
        </w:tc>
      </w:tr>
      <w:tr>
        <w:trPr>
          <w:trHeight w:val="150"/>
        </w:trPr>
        <w:tc>
          <w:tcPr>
            <w:tcW w:w="7460" w:type="dxa"/>
            <w:vAlign w:val="bottom"/>
            <w:tcBorders>
              <w:left w:val="single" w:sz="8" w:color="auto"/>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5"/>
                <w:szCs w:val="15"/>
                <w:b w:val="1"/>
                <w:bCs w:val="1"/>
                <w:color w:val="auto"/>
              </w:rPr>
              <w:t>Covered Transaction:</w:t>
            </w:r>
          </w:p>
        </w:tc>
        <w:tc>
          <w:tcPr>
            <w:tcW w:w="382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5"/>
                <w:szCs w:val="15"/>
                <w:b w:val="1"/>
                <w:bCs w:val="1"/>
                <w:color w:val="auto"/>
                <w:w w:val="99"/>
              </w:rPr>
              <w:t>The Share Option will vest in full upon the consummation</w:t>
            </w:r>
          </w:p>
        </w:tc>
      </w:tr>
      <w:tr>
        <w:trPr>
          <w:trHeight w:val="192"/>
        </w:trPr>
        <w:tc>
          <w:tcPr>
            <w:tcW w:w="7460" w:type="dxa"/>
            <w:vAlign w:val="bottom"/>
            <w:tcBorders>
              <w:left w:val="single" w:sz="8" w:color="auto"/>
              <w:bottom w:val="single" w:sz="8" w:color="auto"/>
              <w:right w:val="single" w:sz="8" w:color="auto"/>
            </w:tcBorders>
          </w:tcPr>
          <w:p>
            <w:pPr>
              <w:spacing w:after="0"/>
              <w:rPr>
                <w:sz w:val="16"/>
                <w:szCs w:val="16"/>
                <w:color w:val="auto"/>
              </w:rPr>
            </w:pPr>
          </w:p>
        </w:tc>
        <w:tc>
          <w:tcPr>
            <w:tcW w:w="3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of a Covered Transaction</w:t>
            </w:r>
          </w:p>
        </w:tc>
      </w:tr>
      <w:tr>
        <w:trPr>
          <w:trHeight w:val="183"/>
        </w:trPr>
        <w:tc>
          <w:tcPr>
            <w:tcW w:w="7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Expiration Date:</w:t>
            </w:r>
          </w:p>
        </w:tc>
        <w:tc>
          <w:tcPr>
            <w:tcW w:w="38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3"/>
                <w:szCs w:val="13"/>
                <w:b w:val="1"/>
                <w:bCs w:val="1"/>
                <w:color w:val="auto"/>
              </w:rPr>
              <w:t>, subject to earlier termination, as provided</w:t>
            </w:r>
          </w:p>
        </w:tc>
      </w:tr>
      <w:tr>
        <w:trPr>
          <w:trHeight w:val="192"/>
        </w:trPr>
        <w:tc>
          <w:tcPr>
            <w:tcW w:w="7460" w:type="dxa"/>
            <w:vAlign w:val="bottom"/>
            <w:tcBorders>
              <w:left w:val="single" w:sz="8" w:color="auto"/>
              <w:bottom w:val="single" w:sz="8" w:color="auto"/>
              <w:right w:val="single" w:sz="8" w:color="auto"/>
            </w:tcBorders>
          </w:tcPr>
          <w:p>
            <w:pPr>
              <w:spacing w:after="0"/>
              <w:rPr>
                <w:sz w:val="16"/>
                <w:szCs w:val="16"/>
                <w:color w:val="auto"/>
              </w:rPr>
            </w:pPr>
          </w:p>
        </w:tc>
        <w:tc>
          <w:tcPr>
            <w:tcW w:w="3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under the Plan and this Agreement</w:t>
            </w:r>
          </w:p>
        </w:tc>
      </w:tr>
    </w:tbl>
    <w:p>
      <w:pPr>
        <w:spacing w:after="0" w:line="159" w:lineRule="exact"/>
        <w:rPr>
          <w:sz w:val="20"/>
          <w:szCs w:val="20"/>
          <w:color w:val="auto"/>
        </w:rPr>
      </w:pPr>
    </w:p>
    <w:p>
      <w:pPr>
        <w:jc w:val="both"/>
        <w:ind w:firstLine="527"/>
        <w:spacing w:after="0" w:line="258" w:lineRule="auto"/>
        <w:rPr>
          <w:sz w:val="20"/>
          <w:szCs w:val="20"/>
          <w:color w:val="auto"/>
        </w:rPr>
      </w:pPr>
      <w:r>
        <w:rPr>
          <w:rFonts w:ascii="Times New Roman" w:cs="Times New Roman" w:eastAsia="Times New Roman" w:hAnsi="Times New Roman"/>
          <w:sz w:val="15"/>
          <w:szCs w:val="15"/>
          <w:color w:val="auto"/>
        </w:rPr>
        <w:t>This agreement (this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evidences a share option granted by Zenas BioPharma, Inc.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to the individual named above (the “</w:t>
      </w:r>
      <w:r>
        <w:rPr>
          <w:rFonts w:ascii="Times New Roman" w:cs="Times New Roman" w:eastAsia="Times New Roman" w:hAnsi="Times New Roman"/>
          <w:sz w:val="15"/>
          <w:szCs w:val="15"/>
          <w:b w:val="1"/>
          <w:bCs w:val="1"/>
          <w:color w:val="auto"/>
        </w:rPr>
        <w:t>Participant</w:t>
      </w:r>
      <w:r>
        <w:rPr>
          <w:rFonts w:ascii="Times New Roman" w:cs="Times New Roman" w:eastAsia="Times New Roman" w:hAnsi="Times New Roman"/>
          <w:sz w:val="15"/>
          <w:szCs w:val="15"/>
          <w:color w:val="auto"/>
        </w:rPr>
        <w:t>”), pursuant to and subject to the terms of the Zenas BioPharma, Inc. 2020 Equity Incentive Plan (as from time to time amended and in effect, the “</w:t>
      </w:r>
      <w:r>
        <w:rPr>
          <w:rFonts w:ascii="Times New Roman" w:cs="Times New Roman" w:eastAsia="Times New Roman" w:hAnsi="Times New Roman"/>
          <w:sz w:val="15"/>
          <w:szCs w:val="15"/>
          <w:b w:val="1"/>
          <w:bCs w:val="1"/>
          <w:color w:val="auto"/>
        </w:rPr>
        <w:t>Plan</w:t>
      </w:r>
      <w:r>
        <w:rPr>
          <w:rFonts w:ascii="Times New Roman" w:cs="Times New Roman" w:eastAsia="Times New Roman" w:hAnsi="Times New Roman"/>
          <w:sz w:val="15"/>
          <w:szCs w:val="15"/>
          <w:color w:val="auto"/>
        </w:rPr>
        <w:t>”). Except as otherwise defined herein, all capitalized terms used herein have the same meaning as in the Plan.</w:t>
      </w:r>
    </w:p>
    <w:p>
      <w:pPr>
        <w:spacing w:after="0" w:line="147" w:lineRule="exact"/>
        <w:rPr>
          <w:sz w:val="20"/>
          <w:szCs w:val="20"/>
          <w:color w:val="auto"/>
        </w:rPr>
      </w:pPr>
    </w:p>
    <w:p>
      <w:pPr>
        <w:jc w:val="both"/>
        <w:ind w:firstLine="535"/>
        <w:spacing w:after="0" w:line="258" w:lineRule="auto"/>
        <w:tabs>
          <w:tab w:leader="none" w:pos="1087" w:val="left"/>
        </w:tabs>
        <w:numPr>
          <w:ilvl w:val="0"/>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Grant of Share Option</w:t>
      </w:r>
      <w:r>
        <w:rPr>
          <w:rFonts w:ascii="Times New Roman" w:cs="Times New Roman" w:eastAsia="Times New Roman" w:hAnsi="Times New Roman"/>
          <w:sz w:val="15"/>
          <w:szCs w:val="15"/>
          <w:color w:val="auto"/>
        </w:rPr>
        <w:t>. The Company grants to the Participant on the date of grant set forth above (the “</w:t>
      </w:r>
      <w:r>
        <w:rPr>
          <w:rFonts w:ascii="Times New Roman" w:cs="Times New Roman" w:eastAsia="Times New Roman" w:hAnsi="Times New Roman"/>
          <w:sz w:val="15"/>
          <w:szCs w:val="15"/>
          <w:b w:val="1"/>
          <w:bCs w:val="1"/>
          <w:color w:val="auto"/>
        </w:rPr>
        <w:t>Date of Grant</w:t>
      </w:r>
      <w:r>
        <w:rPr>
          <w:rFonts w:ascii="Times New Roman" w:cs="Times New Roman" w:eastAsia="Times New Roman" w:hAnsi="Times New Roman"/>
          <w:sz w:val="15"/>
          <w:szCs w:val="15"/>
          <w:color w:val="auto"/>
        </w:rPr>
        <w:t>”) a Share Option to purchase, pursuant to and subject to the terms set forth in this Agreement and in the Plan, up to the number of Shares set forth above with an exercise price per Share as set forth above, in each case subject to adjustment pursuant to Section 7 of the Plan in respect of transactions occurring after the date hereof.</w:t>
      </w:r>
    </w:p>
    <w:p>
      <w:pPr>
        <w:spacing w:after="0" w:line="149" w:lineRule="exact"/>
        <w:rPr>
          <w:sz w:val="20"/>
          <w:szCs w:val="20"/>
          <w:color w:val="auto"/>
        </w:rPr>
      </w:pPr>
    </w:p>
    <w:p>
      <w:pPr>
        <w:ind w:firstLine="1055"/>
        <w:spacing w:after="0" w:line="269" w:lineRule="auto"/>
        <w:rPr>
          <w:sz w:val="20"/>
          <w:szCs w:val="20"/>
          <w:color w:val="auto"/>
        </w:rPr>
      </w:pPr>
      <w:r>
        <w:rPr>
          <w:rFonts w:ascii="Times New Roman" w:cs="Times New Roman" w:eastAsia="Times New Roman" w:hAnsi="Times New Roman"/>
          <w:sz w:val="15"/>
          <w:szCs w:val="15"/>
          <w:color w:val="auto"/>
        </w:rPr>
        <w:t>The Share Option evidenced by this Agreement is a non-statutory option (that is, an option that is not intended to qualify as an ISO) and is granted to the Participant in connection with the Participant’s Employment.</w:t>
      </w:r>
    </w:p>
    <w:p>
      <w:pPr>
        <w:spacing w:after="0" w:line="139" w:lineRule="exact"/>
        <w:rPr>
          <w:sz w:val="20"/>
          <w:szCs w:val="20"/>
          <w:color w:val="auto"/>
        </w:rPr>
      </w:pPr>
    </w:p>
    <w:p>
      <w:pPr>
        <w:jc w:val="both"/>
        <w:ind w:firstLine="535"/>
        <w:spacing w:after="0" w:line="274" w:lineRule="auto"/>
        <w:tabs>
          <w:tab w:leader="none" w:pos="1087"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w:t>
      </w:r>
      <w:r>
        <w:rPr>
          <w:rFonts w:ascii="Times New Roman" w:cs="Times New Roman" w:eastAsia="Times New Roman" w:hAnsi="Times New Roman"/>
          <w:sz w:val="14"/>
          <w:szCs w:val="14"/>
          <w:color w:val="auto"/>
        </w:rPr>
        <w:t>. The term “</w:t>
      </w:r>
      <w:r>
        <w:rPr>
          <w:rFonts w:ascii="Times New Roman" w:cs="Times New Roman" w:eastAsia="Times New Roman" w:hAnsi="Times New Roman"/>
          <w:sz w:val="14"/>
          <w:szCs w:val="14"/>
          <w:b w:val="1"/>
          <w:bCs w:val="1"/>
          <w:color w:val="auto"/>
        </w:rPr>
        <w:t>vest</w:t>
      </w:r>
      <w:r>
        <w:rPr>
          <w:rFonts w:ascii="Times New Roman" w:cs="Times New Roman" w:eastAsia="Times New Roman" w:hAnsi="Times New Roman"/>
          <w:sz w:val="14"/>
          <w:szCs w:val="14"/>
          <w:color w:val="auto"/>
        </w:rPr>
        <w:t>” as used herein with respect to the Share Option or any portion thereof means to become exercisable and the term “</w:t>
      </w:r>
      <w:r>
        <w:rPr>
          <w:rFonts w:ascii="Times New Roman" w:cs="Times New Roman" w:eastAsia="Times New Roman" w:hAnsi="Times New Roman"/>
          <w:sz w:val="14"/>
          <w:szCs w:val="14"/>
          <w:b w:val="1"/>
          <w:bCs w:val="1"/>
          <w:color w:val="auto"/>
        </w:rPr>
        <w:t>vested</w:t>
      </w:r>
      <w:r>
        <w:rPr>
          <w:rFonts w:ascii="Times New Roman" w:cs="Times New Roman" w:eastAsia="Times New Roman" w:hAnsi="Times New Roman"/>
          <w:sz w:val="14"/>
          <w:szCs w:val="14"/>
          <w:color w:val="auto"/>
        </w:rPr>
        <w:t>” with respect to the Share Option (or any portion thereof) means that the Share Option (or portion thereof) is then exercisable. Unless earlier terminated, forfeited, relinquished or expired, the Share Option will vest as to</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4"/>
          <w:szCs w:val="14"/>
          <w:color w:val="auto"/>
        </w:rPr>
        <w:t>[twenty five percent (25%) of the Shares on the first anniversary of the [Date of Grant][Vesting Commencement Date] and as to one forty-eighth (1/48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of the Shares on each monthly anniversary of the first anniversary of the [Date of Grant][Vesting Commencement Date], with the number of Shares that vest on any such date being rounded down to the nearest whole Share</w:t>
      </w:r>
    </w:p>
    <w:p>
      <w:pPr>
        <w:spacing w:after="0" w:line="2"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5"/>
          <w:szCs w:val="15"/>
          <w:color w:val="auto"/>
        </w:rPr>
        <w:t>and the Share Option becoming vested as to 100% of the Shares on the fourth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anniversary of the [Date of Grant][Vesting Commencement Date], subject, in each case, to the Participant remaining in continuous Employment from the Date of Grant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793240" cy="698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793240" cy="6985"/>
                    </a:xfrm>
                    <a:prstGeom prst="rect">
                      <a:avLst/>
                    </a:prstGeom>
                    <a:noFill/>
                  </pic:spPr>
                </pic:pic>
              </a:graphicData>
            </a:graphic>
          </wp:anchor>
        </w:drawing>
      </w:r>
    </w:p>
    <w:p>
      <w:pPr>
        <w:spacing w:after="0" w:line="200" w:lineRule="exact"/>
        <w:rPr>
          <w:sz w:val="20"/>
          <w:szCs w:val="20"/>
          <w:color w:val="auto"/>
        </w:rPr>
      </w:pPr>
    </w:p>
    <w:p>
      <w:pPr>
        <w:ind w:left="640" w:hanging="105"/>
        <w:spacing w:after="0"/>
        <w:tabs>
          <w:tab w:leader="none" w:pos="640" w:val="left"/>
        </w:tabs>
        <w:numPr>
          <w:ilvl w:val="0"/>
          <w:numId w:val="30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u w:val="single" w:color="auto"/>
          <w:color w:val="auto"/>
        </w:rPr>
        <w:t>Note to Draft</w:t>
      </w:r>
      <w:r>
        <w:rPr>
          <w:rFonts w:ascii="Times New Roman" w:cs="Times New Roman" w:eastAsia="Times New Roman" w:hAnsi="Times New Roman"/>
          <w:sz w:val="15"/>
          <w:szCs w:val="15"/>
          <w:color w:val="auto"/>
        </w:rPr>
        <w:t>: This date will be no longer in duration than 10 years from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57720" cy="698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536" w:name="page537"/>
    <w:bookmarkEnd w:id="536"/>
    <w:p>
      <w:pPr>
        <w:jc w:val="both"/>
        <w:ind w:firstLine="535"/>
        <w:spacing w:after="0" w:line="266" w:lineRule="auto"/>
        <w:tabs>
          <w:tab w:leader="none" w:pos="1087"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the Share Option</w:t>
      </w:r>
      <w:r>
        <w:rPr>
          <w:rFonts w:ascii="Times New Roman" w:cs="Times New Roman" w:eastAsia="Times New Roman" w:hAnsi="Times New Roman"/>
          <w:sz w:val="14"/>
          <w:szCs w:val="14"/>
          <w:color w:val="auto"/>
        </w:rPr>
        <w:t>. No portion of the Share Option may be exercised until such portion vests. Each election to exercise any vested portion of the Share Option will be subject to the terms and conditions of the Plan and must be in written or electronic form acceptable to the Administrator, signed (including by electronic signature) by the Participant or, if at the relevant time the Share Option has passed to a permitted transferee, the permitted transferee. Each such written or electronic exercise election must be received by the Company at its principal office or by such other party as the Administrator may prescribe and be accompanied by payment in full of the exercise price by cash or check, through a broker-assisted exercise program acceptable to the Administrator, or as otherwise provided in the Plan, and the Participant must also execute any additional documents that the Administrator determines in its sole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5"/>
          <w:szCs w:val="15"/>
          <w:color w:val="auto"/>
        </w:rPr>
        <w:t>discretion in order to effectuate such exercise. The latest date on which the Share Option will terminate or any vested portion thereof may be exercised is the tenth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anniversary of the Date of Grant (the “</w:t>
      </w:r>
      <w:r>
        <w:rPr>
          <w:rFonts w:ascii="Times New Roman" w:cs="Times New Roman" w:eastAsia="Times New Roman" w:hAnsi="Times New Roman"/>
          <w:sz w:val="15"/>
          <w:szCs w:val="15"/>
          <w:b w:val="1"/>
          <w:bCs w:val="1"/>
          <w:color w:val="auto"/>
        </w:rPr>
        <w:t>Expiration Date</w:t>
      </w:r>
      <w:r>
        <w:rPr>
          <w:rFonts w:ascii="Times New Roman" w:cs="Times New Roman" w:eastAsia="Times New Roman" w:hAnsi="Times New Roman"/>
          <w:sz w:val="15"/>
          <w:szCs w:val="15"/>
          <w:color w:val="auto"/>
        </w:rPr>
        <w:t>”) upon which, if not earlier terminated under the terms of the Plan or this Agreement, the Share Option or any remaining portion thereof will thereupon immediately terminate. The Company may require, as a condition to the exercise of the Share Option or the issuance of Shares thereunder, such representations or agreements as counsel for the Company may consider appropriate to avoid violation of the Securities Act of 1933, as amended, or any other Applicable Laws. No Shares will be issued pursuant to this Agreement unless and until all legal requirements applicable to the issuance or transfer of such Shares have been complied with to the satisfaction of the Company.</w:t>
      </w:r>
    </w:p>
    <w:p>
      <w:pPr>
        <w:spacing w:after="0" w:line="163" w:lineRule="exact"/>
        <w:rPr>
          <w:sz w:val="20"/>
          <w:szCs w:val="20"/>
          <w:color w:val="auto"/>
        </w:rPr>
      </w:pPr>
    </w:p>
    <w:p>
      <w:pPr>
        <w:jc w:val="both"/>
        <w:ind w:firstLine="535"/>
        <w:spacing w:after="0" w:line="257" w:lineRule="auto"/>
        <w:tabs>
          <w:tab w:leader="none" w:pos="1120"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Cessation of Employment</w:t>
      </w:r>
      <w:r>
        <w:rPr>
          <w:rFonts w:ascii="Times New Roman" w:cs="Times New Roman" w:eastAsia="Times New Roman" w:hAnsi="Times New Roman"/>
          <w:sz w:val="15"/>
          <w:szCs w:val="15"/>
          <w:color w:val="auto"/>
        </w:rPr>
        <w:t>. If the Participant’s Employment ceases, except as expressly provided for in an employment agreement between the Participant and the Company that is in effect at the time of such termination, the Share Option, to the extent not then vested, will be immediately forfeited for no consideration, and any vested portion of the Share Option that is then outstanding will remain exercisable for the period described in Section 6(a)(4) of the Plan.</w:t>
      </w:r>
    </w:p>
    <w:p>
      <w:pPr>
        <w:spacing w:after="0" w:line="149" w:lineRule="exact"/>
        <w:rPr>
          <w:rFonts w:ascii="Times New Roman" w:cs="Times New Roman" w:eastAsia="Times New Roman" w:hAnsi="Times New Roman"/>
          <w:sz w:val="15"/>
          <w:szCs w:val="15"/>
          <w:color w:val="auto"/>
        </w:rPr>
      </w:pPr>
    </w:p>
    <w:p>
      <w:pPr>
        <w:ind w:left="1080" w:hanging="545"/>
        <w:spacing w:after="0"/>
        <w:tabs>
          <w:tab w:leader="none" w:pos="1080"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Restrictions on Transfer</w:t>
      </w:r>
      <w:r>
        <w:rPr>
          <w:rFonts w:ascii="Times New Roman" w:cs="Times New Roman" w:eastAsia="Times New Roman" w:hAnsi="Times New Roman"/>
          <w:sz w:val="15"/>
          <w:szCs w:val="15"/>
          <w:color w:val="auto"/>
        </w:rPr>
        <w:t>. The Share Option may not be transferred except as expressly permitted under Section 6(a)(3) of the Plan.</w:t>
      </w:r>
    </w:p>
    <w:p>
      <w:pPr>
        <w:spacing w:after="0" w:line="179" w:lineRule="exact"/>
        <w:rPr>
          <w:rFonts w:ascii="Times New Roman" w:cs="Times New Roman" w:eastAsia="Times New Roman" w:hAnsi="Times New Roman"/>
          <w:sz w:val="15"/>
          <w:szCs w:val="15"/>
          <w:color w:val="auto"/>
        </w:rPr>
      </w:pPr>
    </w:p>
    <w:p>
      <w:pPr>
        <w:jc w:val="both"/>
        <w:ind w:firstLine="535"/>
        <w:spacing w:after="0" w:line="249" w:lineRule="auto"/>
        <w:tabs>
          <w:tab w:leader="none" w:pos="1098"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Forfeiture; Recovery of Compensation</w:t>
      </w:r>
      <w:r>
        <w:rPr>
          <w:rFonts w:ascii="Times New Roman" w:cs="Times New Roman" w:eastAsia="Times New Roman" w:hAnsi="Times New Roman"/>
          <w:sz w:val="15"/>
          <w:szCs w:val="15"/>
          <w:color w:val="auto"/>
        </w:rPr>
        <w:t>. By accepting, or being deemed to have accepted, the Share Option, the Participant expressly acknowledges and agrees that his or her rights, and those of any permitted transferee, with respect to the Share Option, including the right to any Shares acquired under the Share Option or proceeds from the disposition thereof, are subject to Section 6(a)(5) of the Plan (including any successor provision). The Participant further agrees to be bound by the terms of any clawback or recoupment policy of the Company that applies to incentive compensation that includes Awards such as the Share Option and any policy of the Company or any of its Affiliates that relates to trading on non-public information and permitted transactions with respect to shares of Stock, including limitations on hedging and pledging. Nothing in the preceding sentence will be construed as limiting the general application of Section 8 of this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37" w:name="page538"/>
    <w:bookmarkEnd w:id="537"/>
    <w:p>
      <w:pPr>
        <w:jc w:val="both"/>
        <w:ind w:firstLine="535"/>
        <w:spacing w:after="0" w:line="249" w:lineRule="auto"/>
        <w:tabs>
          <w:tab w:leader="none" w:pos="1153"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Withholding</w:t>
      </w:r>
      <w:r>
        <w:rPr>
          <w:rFonts w:ascii="Times New Roman" w:cs="Times New Roman" w:eastAsia="Times New Roman" w:hAnsi="Times New Roman"/>
          <w:sz w:val="15"/>
          <w:szCs w:val="15"/>
          <w:color w:val="auto"/>
        </w:rPr>
        <w:t>. The Participant expressly acknowledges and agrees that the Participant’s rights hereunder, including the right to be issued Shares upon exercise of the Share Option, are subject to the Participant promptly paying to the Company in cash or by check (or by such other means as may be acceptable to the Administrator) all taxes required to be withheld, if any. No Shares will be issued pursuant to the exercise of the Share Option unless and until the person exercising the Share Option has remitted to the Company an amount in cash sufficient to satisfy any federal, state, or local withholding tax requirements, or has made other arrangements satisfactory to the Company with respect to such taxes. The Participant authorizes the Company and its subsidiaries to withhold such amount from any amounts otherwise owed to the Participant, but nothing in this sentence will be construed as relieving the Participant of any liability for satisfying his or her obligation under the preceding provisions of this Section.</w:t>
      </w:r>
    </w:p>
    <w:p>
      <w:pPr>
        <w:spacing w:after="0" w:line="156" w:lineRule="exact"/>
        <w:rPr>
          <w:rFonts w:ascii="Times New Roman" w:cs="Times New Roman" w:eastAsia="Times New Roman" w:hAnsi="Times New Roman"/>
          <w:sz w:val="15"/>
          <w:szCs w:val="15"/>
          <w:color w:val="auto"/>
        </w:rPr>
      </w:pPr>
    </w:p>
    <w:p>
      <w:pPr>
        <w:jc w:val="both"/>
        <w:ind w:firstLine="535"/>
        <w:spacing w:after="0" w:line="257" w:lineRule="auto"/>
        <w:tabs>
          <w:tab w:leader="none" w:pos="1120"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Provisions of the Plan</w:t>
      </w:r>
      <w:r>
        <w:rPr>
          <w:rFonts w:ascii="Times New Roman" w:cs="Times New Roman" w:eastAsia="Times New Roman" w:hAnsi="Times New Roman"/>
          <w:sz w:val="15"/>
          <w:szCs w:val="15"/>
          <w:color w:val="auto"/>
        </w:rPr>
        <w:t>. This Agreement is subject in its entirety to the provisions of the Plan, which are incorporated herein by reference. A copy of the Plan as in effect on the Date of Grant has been made available to the Participant. By accepting, or being deemed to have accepted, the Share Option, the Participant agrees to be bound by the terms of the Plan and this Agreement. In the event of any conflict between the terms of this Agreement and the Plan, the terms of the Plan will control.</w:t>
      </w:r>
    </w:p>
    <w:p>
      <w:pPr>
        <w:spacing w:after="0" w:line="149" w:lineRule="exact"/>
        <w:rPr>
          <w:rFonts w:ascii="Times New Roman" w:cs="Times New Roman" w:eastAsia="Times New Roman" w:hAnsi="Times New Roman"/>
          <w:sz w:val="15"/>
          <w:szCs w:val="15"/>
          <w:color w:val="auto"/>
        </w:rPr>
      </w:pPr>
    </w:p>
    <w:p>
      <w:pPr>
        <w:jc w:val="both"/>
        <w:ind w:firstLine="535"/>
        <w:spacing w:after="0" w:line="257" w:lineRule="auto"/>
        <w:tabs>
          <w:tab w:leader="none" w:pos="1263"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Guarantee of Continued Service</w:t>
      </w:r>
      <w:r>
        <w:rPr>
          <w:rFonts w:ascii="Times New Roman" w:cs="Times New Roman" w:eastAsia="Times New Roman" w:hAnsi="Times New Roman"/>
          <w:sz w:val="15"/>
          <w:szCs w:val="15"/>
          <w:color w:val="auto"/>
        </w:rPr>
        <w:t>. The Participant acknowledges and agrees that nothing in this Agreement constitutes an express or implied promise of continued employment or other engagement with the Company or its subsidiaries for any period of time or shall interfere in any way with the right of the Company or its subsidiaries to terminate the Participant’s relationship as an employee or other service provider at any time, with or without Cause.</w:t>
      </w:r>
    </w:p>
    <w:p>
      <w:pPr>
        <w:spacing w:after="0" w:line="149" w:lineRule="exact"/>
        <w:rPr>
          <w:rFonts w:ascii="Times New Roman" w:cs="Times New Roman" w:eastAsia="Times New Roman" w:hAnsi="Times New Roman"/>
          <w:sz w:val="15"/>
          <w:szCs w:val="15"/>
          <w:color w:val="auto"/>
        </w:rPr>
      </w:pPr>
    </w:p>
    <w:p>
      <w:pPr>
        <w:jc w:val="both"/>
        <w:ind w:firstLine="535"/>
        <w:spacing w:after="0" w:line="252" w:lineRule="auto"/>
        <w:tabs>
          <w:tab w:leader="none" w:pos="1194"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Acknowledgements</w:t>
      </w:r>
      <w:r>
        <w:rPr>
          <w:rFonts w:ascii="Times New Roman" w:cs="Times New Roman" w:eastAsia="Times New Roman" w:hAnsi="Times New Roman"/>
          <w:sz w:val="15"/>
          <w:szCs w:val="15"/>
          <w:color w:val="auto"/>
        </w:rPr>
        <w:t>. The Participant acknowledges and agrees that (i) this Agreement may be executed in two or more counterparts, each of which will be an original and all of which together will constitute one and the same instrument, (ii) this Agreement may be executed and exchanged using facsimile, portable document format (PDF) or electronic signature, which, in each case, will constitute an original signature for all purposes hereunder, and (iii) such signature by the Company will be binding against the Company and will create a legally binding agreement when this Agreement is countersigned by the Participant.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[Signature page follows.]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38" w:name="page539"/>
    <w:bookmarkEnd w:id="538"/>
    <w:p>
      <w:pPr>
        <w:ind w:left="540"/>
        <w:spacing w:after="0"/>
        <w:rPr>
          <w:sz w:val="20"/>
          <w:szCs w:val="20"/>
          <w:color w:val="auto"/>
        </w:rPr>
      </w:pPr>
      <w:r>
        <w:rPr>
          <w:rFonts w:ascii="Times New Roman" w:cs="Times New Roman" w:eastAsia="Times New Roman" w:hAnsi="Times New Roman"/>
          <w:sz w:val="14"/>
          <w:szCs w:val="14"/>
          <w:color w:val="auto"/>
        </w:rPr>
        <w:t>The Company, by its duly authorized officer, and the Participant have executed this Agreement as of the Date of Grant.</w:t>
      </w:r>
    </w:p>
    <w:p>
      <w:pPr>
        <w:spacing w:after="0" w:line="19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Zenas BioPharma, Inc.</w:t>
      </w:r>
    </w:p>
    <w:p>
      <w:pPr>
        <w:spacing w:after="0" w:line="1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11430</wp:posOffset>
            </wp:positionV>
            <wp:extent cx="3216275" cy="698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8890</wp:posOffset>
            </wp:positionV>
            <wp:extent cx="3216275" cy="698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8890</wp:posOffset>
            </wp:positionV>
            <wp:extent cx="3216275" cy="698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Agreed and Accepted: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11430</wp:posOffset>
            </wp:positionV>
            <wp:extent cx="3216275" cy="698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[Participant’s Name]</w:t>
      </w:r>
    </w:p>
    <w:p>
      <w:pPr>
        <w:spacing w:after="0" w:line="16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i w:val="1"/>
          <w:iCs w:val="1"/>
          <w:color w:val="auto"/>
        </w:rPr>
        <w:t>Signature page to Share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57720" cy="698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159"/>
          </w:cols>
          <w:pgMar w:left="300" w:top="763" w:right="1440" w:bottom="1440" w:gutter="0" w:footer="0" w:header="0"/>
        </w:sectPr>
      </w:pPr>
    </w:p>
    <w:bookmarkStart w:id="539" w:name="page540"/>
    <w:bookmarkEnd w:id="539"/>
    <w:p>
      <w:pPr>
        <w:jc w:val="right"/>
        <w:spacing w:after="0"/>
        <w:rPr>
          <w:sz w:val="20"/>
          <w:szCs w:val="20"/>
          <w:color w:val="auto"/>
        </w:rPr>
      </w:pPr>
      <w:r>
        <w:rPr>
          <w:rFonts w:ascii="Times New Roman" w:cs="Times New Roman" w:eastAsia="Times New Roman" w:hAnsi="Times New Roman"/>
          <w:sz w:val="15"/>
          <w:szCs w:val="15"/>
          <w:b w:val="1"/>
          <w:bCs w:val="1"/>
          <w:color w:val="auto"/>
        </w:rPr>
        <w:t>Exhibit 10.13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w:t>
      </w:r>
      <w:r>
        <w:rPr>
          <w:rFonts w:ascii="Times New Roman" w:cs="Times New Roman" w:eastAsia="Times New Roman" w:hAnsi="Times New Roman"/>
          <w:sz w:val="9"/>
          <w:szCs w:val="9"/>
          <w:b w:val="1"/>
          <w:bCs w:val="1"/>
          <w:color w:val="auto"/>
        </w:rPr>
        <w:t>enas</w:t>
      </w:r>
      <w:r>
        <w:rPr>
          <w:rFonts w:ascii="Times New Roman" w:cs="Times New Roman" w:eastAsia="Times New Roman" w:hAnsi="Times New Roman"/>
          <w:sz w:val="15"/>
          <w:szCs w:val="15"/>
          <w:b w:val="1"/>
          <w:bCs w:val="1"/>
          <w:color w:val="auto"/>
        </w:rPr>
        <w:t xml:space="preserve"> B</w:t>
      </w:r>
      <w:r>
        <w:rPr>
          <w:rFonts w:ascii="Times New Roman" w:cs="Times New Roman" w:eastAsia="Times New Roman" w:hAnsi="Times New Roman"/>
          <w:sz w:val="9"/>
          <w:szCs w:val="9"/>
          <w:b w:val="1"/>
          <w:bCs w:val="1"/>
          <w:color w:val="auto"/>
        </w:rPr>
        <w:t>io</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9"/>
          <w:szCs w:val="9"/>
          <w:b w:val="1"/>
          <w:bCs w:val="1"/>
          <w:color w:val="auto"/>
        </w:rPr>
        <w:t>harma</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5"/>
          <w:szCs w:val="15"/>
          <w:b w:val="1"/>
          <w:bCs w:val="1"/>
          <w:color w:val="auto"/>
        </w:rPr>
        <w: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2020 E</w:t>
      </w:r>
      <w:r>
        <w:rPr>
          <w:rFonts w:ascii="Times New Roman" w:cs="Times New Roman" w:eastAsia="Times New Roman" w:hAnsi="Times New Roman"/>
          <w:sz w:val="9"/>
          <w:szCs w:val="9"/>
          <w:b w:val="1"/>
          <w:bCs w:val="1"/>
          <w:color w:val="auto"/>
        </w:rPr>
        <w:t>quity</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9"/>
          <w:szCs w:val="9"/>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9"/>
          <w:szCs w:val="9"/>
          <w:b w:val="1"/>
          <w:bCs w:val="1"/>
          <w:color w:val="auto"/>
        </w:rPr>
        <w:t>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I</w:t>
      </w:r>
      <w:r>
        <w:rPr>
          <w:rFonts w:ascii="Times New Roman" w:cs="Times New Roman" w:eastAsia="Times New Roman" w:hAnsi="Times New Roman"/>
          <w:sz w:val="9"/>
          <w:szCs w:val="9"/>
          <w:b w:val="1"/>
          <w:bCs w:val="1"/>
          <w:u w:val="single" w:color="auto"/>
          <w:color w:val="auto"/>
        </w:rPr>
        <w:t>ncentive</w:t>
      </w:r>
      <w:r>
        <w:rPr>
          <w:rFonts w:ascii="Times New Roman" w:cs="Times New Roman" w:eastAsia="Times New Roman" w:hAnsi="Times New Roman"/>
          <w:sz w:val="15"/>
          <w:szCs w:val="15"/>
          <w:b w:val="1"/>
          <w:bCs w:val="1"/>
          <w:u w:val="single" w:color="auto"/>
          <w:color w:val="auto"/>
        </w:rPr>
        <w:t xml:space="preserve"> S</w:t>
      </w:r>
      <w:r>
        <w:rPr>
          <w:rFonts w:ascii="Times New Roman" w:cs="Times New Roman" w:eastAsia="Times New Roman" w:hAnsi="Times New Roman"/>
          <w:sz w:val="9"/>
          <w:szCs w:val="9"/>
          <w:b w:val="1"/>
          <w:bCs w:val="1"/>
          <w:u w:val="single" w:color="auto"/>
          <w:color w:val="auto"/>
        </w:rPr>
        <w:t>hare</w:t>
      </w:r>
      <w:r>
        <w:rPr>
          <w:rFonts w:ascii="Times New Roman" w:cs="Times New Roman" w:eastAsia="Times New Roman" w:hAnsi="Times New Roman"/>
          <w:sz w:val="15"/>
          <w:szCs w:val="15"/>
          <w:b w:val="1"/>
          <w:bCs w:val="1"/>
          <w:u w:val="single" w:color="auto"/>
          <w:color w:val="auto"/>
        </w:rPr>
        <w:t xml:space="preserve"> O</w:t>
      </w:r>
      <w:r>
        <w:rPr>
          <w:rFonts w:ascii="Times New Roman" w:cs="Times New Roman" w:eastAsia="Times New Roman" w:hAnsi="Times New Roman"/>
          <w:sz w:val="9"/>
          <w:szCs w:val="9"/>
          <w:b w:val="1"/>
          <w:bCs w:val="1"/>
          <w:u w:val="single" w:color="auto"/>
          <w:color w:val="auto"/>
        </w:rPr>
        <w:t>ption</w:t>
      </w:r>
      <w:r>
        <w:rPr>
          <w:rFonts w:ascii="Times New Roman" w:cs="Times New Roman" w:eastAsia="Times New Roman" w:hAnsi="Times New Roman"/>
          <w:sz w:val="15"/>
          <w:szCs w:val="15"/>
          <w:b w:val="1"/>
          <w:bCs w:val="1"/>
          <w:u w:val="single" w:color="auto"/>
          <w:color w:val="auto"/>
        </w:rPr>
        <w:t xml:space="preserve"> A</w:t>
      </w:r>
      <w:r>
        <w:rPr>
          <w:rFonts w:ascii="Times New Roman" w:cs="Times New Roman" w:eastAsia="Times New Roman" w:hAnsi="Times New Roman"/>
          <w:sz w:val="9"/>
          <w:szCs w:val="9"/>
          <w:b w:val="1"/>
          <w:bCs w:val="1"/>
          <w:u w:val="single" w:color="auto"/>
          <w:color w:val="auto"/>
        </w:rPr>
        <w:t>greement</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8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Name of Participant:</w:t>
            </w:r>
          </w:p>
        </w:tc>
        <w:tc>
          <w:tcPr>
            <w:tcW w:w="5400" w:type="dxa"/>
            <w:vAlign w:val="bottom"/>
            <w:tcBorders>
              <w:top w:val="single" w:sz="8" w:color="auto"/>
              <w:bottom w:val="single" w:sz="8" w:color="auto"/>
              <w:right w:val="single" w:sz="8" w:color="auto"/>
            </w:tcBorders>
          </w:tcPr>
          <w:p>
            <w:pPr>
              <w:spacing w:after="0"/>
              <w:rPr>
                <w:sz w:val="16"/>
                <w:szCs w:val="16"/>
                <w:color w:val="auto"/>
              </w:rPr>
            </w:pPr>
          </w:p>
        </w:tc>
      </w:tr>
      <w:tr>
        <w:trPr>
          <w:trHeight w:val="167"/>
        </w:trPr>
        <w:tc>
          <w:tcPr>
            <w:tcW w:w="588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b w:val="1"/>
                <w:bCs w:val="1"/>
                <w:color w:val="auto"/>
              </w:rPr>
              <w:t>Number of Common Stock subject to the Share Option:</w:t>
            </w:r>
          </w:p>
        </w:tc>
        <w:tc>
          <w:tcPr>
            <w:tcW w:w="5400" w:type="dxa"/>
            <w:vAlign w:val="bottom"/>
            <w:tcBorders>
              <w:bottom w:val="single" w:sz="8" w:color="auto"/>
              <w:right w:val="single" w:sz="8" w:color="auto"/>
            </w:tcBorders>
          </w:tcPr>
          <w:p>
            <w:pPr>
              <w:spacing w:after="0"/>
              <w:rPr>
                <w:sz w:val="14"/>
                <w:szCs w:val="14"/>
                <w:color w:val="auto"/>
              </w:rPr>
            </w:pPr>
          </w:p>
        </w:tc>
      </w:tr>
      <w:tr>
        <w:trPr>
          <w:trHeight w:val="167"/>
        </w:trPr>
        <w:tc>
          <w:tcPr>
            <w:tcW w:w="588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b w:val="1"/>
                <w:bCs w:val="1"/>
                <w:color w:val="auto"/>
              </w:rPr>
              <w:t>Exercise Price per Share:</w:t>
            </w:r>
          </w:p>
        </w:tc>
        <w:tc>
          <w:tcPr>
            <w:tcW w:w="5400" w:type="dxa"/>
            <w:vAlign w:val="bottom"/>
            <w:tcBorders>
              <w:bottom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67"/>
        </w:trPr>
        <w:tc>
          <w:tcPr>
            <w:tcW w:w="588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b w:val="1"/>
                <w:bCs w:val="1"/>
                <w:color w:val="auto"/>
              </w:rPr>
              <w:t>Date of Grant:</w:t>
            </w:r>
          </w:p>
        </w:tc>
        <w:tc>
          <w:tcPr>
            <w:tcW w:w="5400" w:type="dxa"/>
            <w:vAlign w:val="bottom"/>
            <w:tcBorders>
              <w:bottom w:val="single" w:sz="8" w:color="auto"/>
              <w:right w:val="single" w:sz="8" w:color="auto"/>
            </w:tcBorders>
          </w:tcPr>
          <w:p>
            <w:pPr>
              <w:spacing w:after="0"/>
              <w:rPr>
                <w:sz w:val="14"/>
                <w:szCs w:val="14"/>
                <w:color w:val="auto"/>
              </w:rPr>
            </w:pPr>
          </w:p>
        </w:tc>
      </w:tr>
      <w:tr>
        <w:trPr>
          <w:trHeight w:val="167"/>
        </w:trPr>
        <w:tc>
          <w:tcPr>
            <w:tcW w:w="588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b w:val="1"/>
                <w:bCs w:val="1"/>
                <w:color w:val="auto"/>
              </w:rPr>
              <w:t>Vesting Commencement Date:</w:t>
            </w:r>
          </w:p>
        </w:tc>
        <w:tc>
          <w:tcPr>
            <w:tcW w:w="5400" w:type="dxa"/>
            <w:vAlign w:val="bottom"/>
            <w:tcBorders>
              <w:bottom w:val="single" w:sz="8" w:color="auto"/>
              <w:right w:val="single" w:sz="8" w:color="auto"/>
            </w:tcBorders>
          </w:tcPr>
          <w:p>
            <w:pPr>
              <w:spacing w:after="0"/>
              <w:rPr>
                <w:sz w:val="14"/>
                <w:szCs w:val="14"/>
                <w:color w:val="auto"/>
              </w:rPr>
            </w:pPr>
          </w:p>
        </w:tc>
      </w:tr>
      <w:tr>
        <w:trPr>
          <w:trHeight w:val="167"/>
        </w:trPr>
        <w:tc>
          <w:tcPr>
            <w:tcW w:w="5880" w:type="dxa"/>
            <w:vAlign w:val="bottom"/>
            <w:tcBorders>
              <w:left w:val="single" w:sz="8" w:color="auto"/>
              <w:bottom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b w:val="1"/>
                <w:bCs w:val="1"/>
                <w:color w:val="auto"/>
              </w:rPr>
              <w:t>Covered Transaction:</w:t>
            </w:r>
          </w:p>
        </w:tc>
        <w:tc>
          <w:tcPr>
            <w:tcW w:w="5400" w:type="dxa"/>
            <w:vAlign w:val="bottom"/>
            <w:tcBorders>
              <w:bottom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5"/>
                <w:szCs w:val="15"/>
                <w:b w:val="1"/>
                <w:bCs w:val="1"/>
                <w:color w:val="auto"/>
                <w:w w:val="98"/>
              </w:rPr>
              <w:t>The Share Option will vest in full upon the consummation of a Covered Transaction</w:t>
            </w:r>
          </w:p>
        </w:tc>
      </w:tr>
      <w:tr>
        <w:trPr>
          <w:trHeight w:val="183"/>
        </w:trPr>
        <w:tc>
          <w:tcPr>
            <w:tcW w:w="5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Expiration Date:</w:t>
            </w:r>
          </w:p>
        </w:tc>
        <w:tc>
          <w:tcPr>
            <w:tcW w:w="54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3"/>
                <w:szCs w:val="13"/>
                <w:b w:val="1"/>
                <w:bCs w:val="1"/>
                <w:color w:val="auto"/>
              </w:rPr>
              <w:t>, subject to earlier termination, as provided under the Plan and this</w:t>
            </w:r>
          </w:p>
        </w:tc>
      </w:tr>
      <w:tr>
        <w:trPr>
          <w:trHeight w:val="192"/>
        </w:trPr>
        <w:tc>
          <w:tcPr>
            <w:tcW w:w="5880" w:type="dxa"/>
            <w:vAlign w:val="bottom"/>
            <w:tcBorders>
              <w:left w:val="single" w:sz="8" w:color="auto"/>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Agreement</w:t>
            </w:r>
          </w:p>
        </w:tc>
      </w:tr>
    </w:tbl>
    <w:p>
      <w:pPr>
        <w:spacing w:after="0" w:line="159" w:lineRule="exact"/>
        <w:rPr>
          <w:sz w:val="20"/>
          <w:szCs w:val="20"/>
          <w:color w:val="auto"/>
        </w:rPr>
      </w:pPr>
    </w:p>
    <w:p>
      <w:pPr>
        <w:jc w:val="both"/>
        <w:ind w:firstLine="527"/>
        <w:spacing w:after="0" w:line="258" w:lineRule="auto"/>
        <w:rPr>
          <w:sz w:val="20"/>
          <w:szCs w:val="20"/>
          <w:color w:val="auto"/>
        </w:rPr>
      </w:pPr>
      <w:r>
        <w:rPr>
          <w:rFonts w:ascii="Times New Roman" w:cs="Times New Roman" w:eastAsia="Times New Roman" w:hAnsi="Times New Roman"/>
          <w:sz w:val="15"/>
          <w:szCs w:val="15"/>
          <w:color w:val="auto"/>
        </w:rPr>
        <w:t>This agreement (this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evidences a share option granted by Zenas BioPharma, Inc.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to the individual named above (the “</w:t>
      </w:r>
      <w:r>
        <w:rPr>
          <w:rFonts w:ascii="Times New Roman" w:cs="Times New Roman" w:eastAsia="Times New Roman" w:hAnsi="Times New Roman"/>
          <w:sz w:val="15"/>
          <w:szCs w:val="15"/>
          <w:b w:val="1"/>
          <w:bCs w:val="1"/>
          <w:color w:val="auto"/>
        </w:rPr>
        <w:t>Participant</w:t>
      </w:r>
      <w:r>
        <w:rPr>
          <w:rFonts w:ascii="Times New Roman" w:cs="Times New Roman" w:eastAsia="Times New Roman" w:hAnsi="Times New Roman"/>
          <w:sz w:val="15"/>
          <w:szCs w:val="15"/>
          <w:color w:val="auto"/>
        </w:rPr>
        <w:t>”), pursuant to and subject to the terms of the Zenas BioPharma, Inc. 2020 Equity Incentive Plan (as from time to time amended and in effect, the “</w:t>
      </w:r>
      <w:r>
        <w:rPr>
          <w:rFonts w:ascii="Times New Roman" w:cs="Times New Roman" w:eastAsia="Times New Roman" w:hAnsi="Times New Roman"/>
          <w:sz w:val="15"/>
          <w:szCs w:val="15"/>
          <w:b w:val="1"/>
          <w:bCs w:val="1"/>
          <w:color w:val="auto"/>
        </w:rPr>
        <w:t>Plan</w:t>
      </w:r>
      <w:r>
        <w:rPr>
          <w:rFonts w:ascii="Times New Roman" w:cs="Times New Roman" w:eastAsia="Times New Roman" w:hAnsi="Times New Roman"/>
          <w:sz w:val="15"/>
          <w:szCs w:val="15"/>
          <w:color w:val="auto"/>
        </w:rPr>
        <w:t>”). Except as otherwise defined herein, all capitalized terms used herein have the same meaning as in the Plan.</w:t>
      </w:r>
    </w:p>
    <w:p>
      <w:pPr>
        <w:spacing w:after="0" w:line="147" w:lineRule="exact"/>
        <w:rPr>
          <w:sz w:val="20"/>
          <w:szCs w:val="20"/>
          <w:color w:val="auto"/>
        </w:rPr>
      </w:pPr>
    </w:p>
    <w:p>
      <w:pPr>
        <w:jc w:val="both"/>
        <w:ind w:firstLine="535"/>
        <w:spacing w:after="0" w:line="258" w:lineRule="auto"/>
        <w:tabs>
          <w:tab w:leader="none" w:pos="1087"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Grant of Share Option</w:t>
      </w:r>
      <w:r>
        <w:rPr>
          <w:rFonts w:ascii="Times New Roman" w:cs="Times New Roman" w:eastAsia="Times New Roman" w:hAnsi="Times New Roman"/>
          <w:sz w:val="15"/>
          <w:szCs w:val="15"/>
          <w:color w:val="auto"/>
        </w:rPr>
        <w:t>. The Company grants to the Participant on the date of grant set forth above (the “</w:t>
      </w:r>
      <w:r>
        <w:rPr>
          <w:rFonts w:ascii="Times New Roman" w:cs="Times New Roman" w:eastAsia="Times New Roman" w:hAnsi="Times New Roman"/>
          <w:sz w:val="15"/>
          <w:szCs w:val="15"/>
          <w:b w:val="1"/>
          <w:bCs w:val="1"/>
          <w:color w:val="auto"/>
        </w:rPr>
        <w:t>Date of Grant</w:t>
      </w:r>
      <w:r>
        <w:rPr>
          <w:rFonts w:ascii="Times New Roman" w:cs="Times New Roman" w:eastAsia="Times New Roman" w:hAnsi="Times New Roman"/>
          <w:sz w:val="15"/>
          <w:szCs w:val="15"/>
          <w:color w:val="auto"/>
        </w:rPr>
        <w:t>”) a Share Option to purchase, pursuant to and subject to the terms set forth in this Agreement and in the Plan, up to the number of Shares set forth above with an exercise price per Share as set forth above, in each case subject to adjustment pursuant to Section 7 of the Plan in respect of transactions occurring after the date hereof.</w:t>
      </w:r>
    </w:p>
    <w:p>
      <w:pPr>
        <w:spacing w:after="0" w:line="149" w:lineRule="exact"/>
        <w:rPr>
          <w:sz w:val="20"/>
          <w:szCs w:val="20"/>
          <w:color w:val="auto"/>
        </w:rPr>
      </w:pPr>
    </w:p>
    <w:p>
      <w:pPr>
        <w:jc w:val="both"/>
        <w:ind w:firstLine="1055"/>
        <w:spacing w:after="0" w:line="249" w:lineRule="auto"/>
        <w:rPr>
          <w:sz w:val="20"/>
          <w:szCs w:val="20"/>
          <w:color w:val="auto"/>
        </w:rPr>
      </w:pPr>
      <w:r>
        <w:rPr>
          <w:rFonts w:ascii="Times New Roman" w:cs="Times New Roman" w:eastAsia="Times New Roman" w:hAnsi="Times New Roman"/>
          <w:sz w:val="15"/>
          <w:szCs w:val="15"/>
          <w:color w:val="auto"/>
        </w:rPr>
        <w:t>The Share Option evidenced by this Agreement is intended to be treated as an ISO to the maximum extent provided under the Code. To the extent the Share Option does not qualify as an ISO, the Share Option will be treated as an NSO. The Participant acknowledges and agrees that the Administrator may take any action permitted under the Plan without regard to the effect such action or actions may have on the status of the Share Option as an ISO and that such action or actions may cause the Share Option to fail to be treated as an ISO. To the extent that the aggregate Fair Market Value (determined at the time of grant) of the Shares subject to the Share Option and all other ISOs the Participant holds that are exercisable for the first time during any calendar year (under all plans of the Company and its subsidiaries) exceeds $100,000, the share options held by the Participant or portions thereof that exceed such limit (according to the order in which they were granted in accordance with Section 422) will be treated as NSOs.</w:t>
      </w:r>
    </w:p>
    <w:p>
      <w:pPr>
        <w:spacing w:after="0" w:line="155" w:lineRule="exact"/>
        <w:rPr>
          <w:sz w:val="20"/>
          <w:szCs w:val="20"/>
          <w:color w:val="auto"/>
        </w:rPr>
      </w:pPr>
    </w:p>
    <w:p>
      <w:pPr>
        <w:jc w:val="both"/>
        <w:ind w:firstLine="535"/>
        <w:spacing w:after="0" w:line="274" w:lineRule="auto"/>
        <w:tabs>
          <w:tab w:leader="none" w:pos="1087"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w:t>
      </w:r>
      <w:r>
        <w:rPr>
          <w:rFonts w:ascii="Times New Roman" w:cs="Times New Roman" w:eastAsia="Times New Roman" w:hAnsi="Times New Roman"/>
          <w:sz w:val="14"/>
          <w:szCs w:val="14"/>
          <w:color w:val="auto"/>
        </w:rPr>
        <w:t>. The term “</w:t>
      </w:r>
      <w:r>
        <w:rPr>
          <w:rFonts w:ascii="Times New Roman" w:cs="Times New Roman" w:eastAsia="Times New Roman" w:hAnsi="Times New Roman"/>
          <w:sz w:val="14"/>
          <w:szCs w:val="14"/>
          <w:b w:val="1"/>
          <w:bCs w:val="1"/>
          <w:color w:val="auto"/>
        </w:rPr>
        <w:t>vest</w:t>
      </w:r>
      <w:r>
        <w:rPr>
          <w:rFonts w:ascii="Times New Roman" w:cs="Times New Roman" w:eastAsia="Times New Roman" w:hAnsi="Times New Roman"/>
          <w:sz w:val="14"/>
          <w:szCs w:val="14"/>
          <w:color w:val="auto"/>
        </w:rPr>
        <w:t>” as used herein with respect to the Share Option or any portion thereof means to become exercisable and the term “</w:t>
      </w:r>
      <w:r>
        <w:rPr>
          <w:rFonts w:ascii="Times New Roman" w:cs="Times New Roman" w:eastAsia="Times New Roman" w:hAnsi="Times New Roman"/>
          <w:sz w:val="14"/>
          <w:szCs w:val="14"/>
          <w:b w:val="1"/>
          <w:bCs w:val="1"/>
          <w:color w:val="auto"/>
        </w:rPr>
        <w:t>vested</w:t>
      </w:r>
      <w:r>
        <w:rPr>
          <w:rFonts w:ascii="Times New Roman" w:cs="Times New Roman" w:eastAsia="Times New Roman" w:hAnsi="Times New Roman"/>
          <w:sz w:val="14"/>
          <w:szCs w:val="14"/>
          <w:color w:val="auto"/>
        </w:rPr>
        <w:t>” with respect to the Share Option (or any portion thereof) means that the Share Option (or portion thereof) is then exercisable. Unless earlier terminated, forfeited, relinquished or expired, the Share Option will vest as to</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4"/>
          <w:szCs w:val="14"/>
          <w:color w:val="auto"/>
        </w:rPr>
        <w:t>[twenty five percent (25%) of the Shares on the first anniversary of the [Date of Grant][Vesting Commencement Date] and as to one forty-eighth (1/48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of the Shares on each monthly anniversary of the first anniversary of the [Date of Grant][Vesting Commencement Date], with the number of Shares that vest on any such date being rounded down to the nearest whole Share</w:t>
      </w:r>
    </w:p>
    <w:p>
      <w:pPr>
        <w:spacing w:after="0" w:line="2"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5"/>
          <w:szCs w:val="15"/>
          <w:color w:val="auto"/>
        </w:rPr>
        <w:t>and the Share Option becoming vested as to 100% of the Shares on the fourth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anniversary of the [Date of Grant][Vesting Commencement Date], subject, in each case, to the Participant remaining in continuous Employment from the Date of Grant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793240" cy="698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793240" cy="6985"/>
                    </a:xfrm>
                    <a:prstGeom prst="rect">
                      <a:avLst/>
                    </a:prstGeom>
                    <a:noFill/>
                  </pic:spPr>
                </pic:pic>
              </a:graphicData>
            </a:graphic>
          </wp:anchor>
        </w:drawing>
      </w:r>
    </w:p>
    <w:p>
      <w:pPr>
        <w:spacing w:after="0" w:line="200" w:lineRule="exact"/>
        <w:rPr>
          <w:sz w:val="20"/>
          <w:szCs w:val="20"/>
          <w:color w:val="auto"/>
        </w:rPr>
      </w:pPr>
    </w:p>
    <w:p>
      <w:pPr>
        <w:ind w:left="100" w:hanging="92"/>
        <w:spacing w:after="0"/>
        <w:tabs>
          <w:tab w:leader="none" w:pos="100" w:val="left"/>
        </w:tabs>
        <w:numPr>
          <w:ilvl w:val="0"/>
          <w:numId w:val="3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u w:val="single" w:color="auto"/>
          <w:color w:val="auto"/>
        </w:rPr>
        <w:t>Note to Draft</w:t>
      </w:r>
      <w:r>
        <w:rPr>
          <w:rFonts w:ascii="Times New Roman" w:cs="Times New Roman" w:eastAsia="Times New Roman" w:hAnsi="Times New Roman"/>
          <w:sz w:val="15"/>
          <w:szCs w:val="15"/>
          <w:color w:val="auto"/>
        </w:rPr>
        <w:t>: This date will be no longer in duration than 10 years from the Date of Grant or 5 years from the Date of Grant for a 10-percent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57720" cy="698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540" w:name="page541"/>
    <w:bookmarkEnd w:id="540"/>
    <w:p>
      <w:pPr>
        <w:jc w:val="both"/>
        <w:ind w:firstLine="535"/>
        <w:spacing w:after="0" w:line="265" w:lineRule="auto"/>
        <w:tabs>
          <w:tab w:leader="none" w:pos="1087"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the Share Option</w:t>
      </w:r>
      <w:r>
        <w:rPr>
          <w:rFonts w:ascii="Times New Roman" w:cs="Times New Roman" w:eastAsia="Times New Roman" w:hAnsi="Times New Roman"/>
          <w:sz w:val="14"/>
          <w:szCs w:val="14"/>
          <w:color w:val="auto"/>
        </w:rPr>
        <w:t>. No portion of the Share Option may be exercised until such portion vests. Each election to exercise any vested portion of the Share Option will be subject to the terms and conditions of the Plan and must be in written or electronic form acceptable to the Administrator, signed (including by electronic signature) by the Participant or, if at the relevant time the Share Option has passed to a permitted transferee, the permitted transferee. Each such written or electronic exercise election must be received by the Company at its principal office or by such other party as the Administrator may prescribe and be accompanied by payment in full of the exercise price by cash or check, through a broker-assisted exercise program acceptable to the Administrator, or as otherwise provided in the Plan consistent with the regulations promulgated under Section 424 of the Code, and the Participant must also execute any additional documents that the Administrator determines in its sole discretion in order to effectuate such exercise. The latest date on which the Share Option will terminate or any vested</w:t>
      </w:r>
    </w:p>
    <w:p>
      <w:pPr>
        <w:spacing w:after="0" w:line="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5"/>
          <w:szCs w:val="15"/>
          <w:color w:val="auto"/>
        </w:rPr>
        <w:t>portion thereof may be exercised is the tenth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anniversary (or the 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anniversary, in the case of a 10-percent shareholder within the meaning of Section 422(b)(6) of the Code) of the Date of Grant (the “</w:t>
      </w:r>
      <w:r>
        <w:rPr>
          <w:rFonts w:ascii="Times New Roman" w:cs="Times New Roman" w:eastAsia="Times New Roman" w:hAnsi="Times New Roman"/>
          <w:sz w:val="15"/>
          <w:szCs w:val="15"/>
          <w:b w:val="1"/>
          <w:bCs w:val="1"/>
          <w:color w:val="auto"/>
        </w:rPr>
        <w:t>Expiration Date</w:t>
      </w:r>
      <w:r>
        <w:rPr>
          <w:rFonts w:ascii="Times New Roman" w:cs="Times New Roman" w:eastAsia="Times New Roman" w:hAnsi="Times New Roman"/>
          <w:sz w:val="15"/>
          <w:szCs w:val="15"/>
          <w:color w:val="auto"/>
        </w:rPr>
        <w:t>”) upon which, if not earlier terminated under the terms of the Plan or this Agreement, the Share Option or any remaining portion thereof will thereupon immediately terminate. The Company may require, as a condition to the exercise of the Share Option or the issuance of Shares thereunder, such representations or agreements as counsel for the Company may consider appropriate to avoid violation of the Securities Act of 1933, as amended, or any other Applicable Laws. No Shares will be issued pursuant to this Agreement unless and until all legal requirements applicable to the issuance or transfer of such Shares have been complied with to the satisfaction of the Company.</w:t>
      </w:r>
    </w:p>
    <w:p>
      <w:pPr>
        <w:spacing w:after="0" w:line="163" w:lineRule="exact"/>
        <w:rPr>
          <w:sz w:val="20"/>
          <w:szCs w:val="20"/>
          <w:color w:val="auto"/>
        </w:rPr>
      </w:pPr>
    </w:p>
    <w:p>
      <w:pPr>
        <w:jc w:val="both"/>
        <w:ind w:firstLine="535"/>
        <w:spacing w:after="0" w:line="249" w:lineRule="auto"/>
        <w:tabs>
          <w:tab w:leader="none" w:pos="1120" w:val="left"/>
        </w:tabs>
        <w:numPr>
          <w:ilvl w:val="0"/>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Cessation of Employment</w:t>
      </w:r>
      <w:r>
        <w:rPr>
          <w:rFonts w:ascii="Times New Roman" w:cs="Times New Roman" w:eastAsia="Times New Roman" w:hAnsi="Times New Roman"/>
          <w:sz w:val="15"/>
          <w:szCs w:val="15"/>
          <w:color w:val="auto"/>
        </w:rPr>
        <w:t>. If the Participant’s Employment ceases, except as expressly provided for in an employment agreement between the Participant and the Company that is in effect at the time of such termination, the Share Option, to the extent not then vested, will be immediately forfeited for no consideration, and any vested portion of the Share Option that is then outstanding will remain exercisable for the period described in Section 6(a)(4) of the Plan. The Participant acknowledges and agrees that in the event any portion of the Share Option is exercised after the date that is three (3) months after the date of the cessation of the Participant’s employment with the Company and its subsidiaries (subject to certain exceptions in the case of the Participant’s death), or any portion of the exercise price is satisfied through a broker-assisted exercise program, the Participant will lose the tax treatment afforded to ISOs under the Code with respect to any portion of the Share Option so exercised.</w:t>
      </w:r>
    </w:p>
    <w:p>
      <w:pPr>
        <w:spacing w:after="0" w:line="156" w:lineRule="exact"/>
        <w:rPr>
          <w:rFonts w:ascii="Times New Roman" w:cs="Times New Roman" w:eastAsia="Times New Roman" w:hAnsi="Times New Roman"/>
          <w:sz w:val="15"/>
          <w:szCs w:val="15"/>
          <w:color w:val="auto"/>
        </w:rPr>
      </w:pPr>
    </w:p>
    <w:p>
      <w:pPr>
        <w:jc w:val="both"/>
        <w:ind w:firstLine="535"/>
        <w:spacing w:after="0" w:line="257" w:lineRule="auto"/>
        <w:tabs>
          <w:tab w:leader="none" w:pos="1263" w:val="left"/>
        </w:tabs>
        <w:numPr>
          <w:ilvl w:val="0"/>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Restrictions on Transfer; Disqualifying Dispositions</w:t>
      </w:r>
      <w:r>
        <w:rPr>
          <w:rFonts w:ascii="Times New Roman" w:cs="Times New Roman" w:eastAsia="Times New Roman" w:hAnsi="Times New Roman"/>
          <w:sz w:val="15"/>
          <w:szCs w:val="15"/>
          <w:color w:val="auto"/>
        </w:rPr>
        <w:t>. The Share Option may not be transferred except as expressly permitted under Section 6(a)(3) of the Plan. If the Participant transfers or otherwise disposes of any Shares acquired upon exercise of the Share Option within two years from the Date of Grant or within one year after such Shares were acquired pursuant to the exercise of the Share Option, within fifteen (15) days following such transfer, the Participant will notify the Company in writing of such transfer or disposition.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41" w:name="page542"/>
    <w:bookmarkEnd w:id="541"/>
    <w:p>
      <w:pPr>
        <w:jc w:val="both"/>
        <w:ind w:firstLine="535"/>
        <w:spacing w:after="0" w:line="249" w:lineRule="auto"/>
        <w:tabs>
          <w:tab w:leader="none" w:pos="1098"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Forfeiture; Recovery of Compensation</w:t>
      </w:r>
      <w:r>
        <w:rPr>
          <w:rFonts w:ascii="Times New Roman" w:cs="Times New Roman" w:eastAsia="Times New Roman" w:hAnsi="Times New Roman"/>
          <w:sz w:val="15"/>
          <w:szCs w:val="15"/>
          <w:color w:val="auto"/>
        </w:rPr>
        <w:t>. By accepting, or being deemed to have accepted, the Share Option, the Participant expressly acknowledges and agrees that his or her rights, and those of any permitted transferee, with respect to the Share Option, including the right to any Shares acquired under the Share Option or proceeds from the disposition thereof, are subject to Section 6(a)(5) of the Plan (including any successor provision). The Participant further agrees to be bound by the terms of any clawback or recoupment policy of the Company that applies to incentive compensation that includes Awards such as the Share Option and any policy of the Company or any of its Affiliates that relates to trading on non-public information and permitted transactions with respect to shares of Stock, including limitations on hedging and pledging. Nothing in the preceding sentence will be construed as limiting the general application of Section 8 of this Agreement.</w:t>
      </w:r>
    </w:p>
    <w:p>
      <w:pPr>
        <w:spacing w:after="0" w:line="156" w:lineRule="exact"/>
        <w:rPr>
          <w:rFonts w:ascii="Times New Roman" w:cs="Times New Roman" w:eastAsia="Times New Roman" w:hAnsi="Times New Roman"/>
          <w:sz w:val="15"/>
          <w:szCs w:val="15"/>
          <w:color w:val="auto"/>
        </w:rPr>
      </w:pPr>
    </w:p>
    <w:p>
      <w:pPr>
        <w:jc w:val="both"/>
        <w:ind w:firstLine="535"/>
        <w:spacing w:after="0" w:line="249" w:lineRule="auto"/>
        <w:tabs>
          <w:tab w:leader="none" w:pos="1153"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Withholding</w:t>
      </w:r>
      <w:r>
        <w:rPr>
          <w:rFonts w:ascii="Times New Roman" w:cs="Times New Roman" w:eastAsia="Times New Roman" w:hAnsi="Times New Roman"/>
          <w:sz w:val="15"/>
          <w:szCs w:val="15"/>
          <w:color w:val="auto"/>
        </w:rPr>
        <w:t>. The Participant expressly acknowledges and agrees that the Participant’s rights hereunder, including the right to be issued Shares upon exercise of the Share Option, are subject to the Participant promptly paying to the Company in cash or by check (or by such other means as may be acceptable to the Administrator) all taxes required to be withheld, if any. No Shares will be issued pursuant to the exercise of the Share Option unless and until the person exercising the Share Option has remitted to the Company an amount in cash sufficient to satisfy any federal, state, or local withholding tax requirements, or has made other arrangements satisfactory to the Company with respect to such taxes. The Participant authorizes the Company and its subsidiaries to withhold such amount from any amounts otherwise owed to the Participant, but nothing in this sentence will be construed as relieving the Participant of any liability for satisfying his or her obligation under the preceding provisions of this Section.</w:t>
      </w:r>
    </w:p>
    <w:p>
      <w:pPr>
        <w:spacing w:after="0" w:line="156" w:lineRule="exact"/>
        <w:rPr>
          <w:rFonts w:ascii="Times New Roman" w:cs="Times New Roman" w:eastAsia="Times New Roman" w:hAnsi="Times New Roman"/>
          <w:sz w:val="15"/>
          <w:szCs w:val="15"/>
          <w:color w:val="auto"/>
        </w:rPr>
      </w:pPr>
    </w:p>
    <w:p>
      <w:pPr>
        <w:jc w:val="both"/>
        <w:ind w:firstLine="535"/>
        <w:spacing w:after="0" w:line="257" w:lineRule="auto"/>
        <w:tabs>
          <w:tab w:leader="none" w:pos="1120"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Provisions of the Plan</w:t>
      </w:r>
      <w:r>
        <w:rPr>
          <w:rFonts w:ascii="Times New Roman" w:cs="Times New Roman" w:eastAsia="Times New Roman" w:hAnsi="Times New Roman"/>
          <w:sz w:val="15"/>
          <w:szCs w:val="15"/>
          <w:color w:val="auto"/>
        </w:rPr>
        <w:t>. This Agreement is subject in its entirety to the provisions of the Plan, which are incorporated herein by reference. A copy of the Plan as in effect on the Date of Grant has been made available to the Participant. By accepting, or being deemed to have accepted, the Share Option, the Participant agrees to be bound by the terms of the Plan and this Agreement. In the event of any conflict between the terms of this Agreement and the Plan, the terms of the Plan will control.</w:t>
      </w:r>
    </w:p>
    <w:p>
      <w:pPr>
        <w:spacing w:after="0" w:line="149" w:lineRule="exact"/>
        <w:rPr>
          <w:rFonts w:ascii="Times New Roman" w:cs="Times New Roman" w:eastAsia="Times New Roman" w:hAnsi="Times New Roman"/>
          <w:sz w:val="15"/>
          <w:szCs w:val="15"/>
          <w:color w:val="auto"/>
        </w:rPr>
      </w:pPr>
    </w:p>
    <w:p>
      <w:pPr>
        <w:jc w:val="both"/>
        <w:ind w:firstLine="535"/>
        <w:spacing w:after="0" w:line="257" w:lineRule="auto"/>
        <w:tabs>
          <w:tab w:leader="none" w:pos="1263"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Guarantee of Continued Service</w:t>
      </w:r>
      <w:r>
        <w:rPr>
          <w:rFonts w:ascii="Times New Roman" w:cs="Times New Roman" w:eastAsia="Times New Roman" w:hAnsi="Times New Roman"/>
          <w:sz w:val="15"/>
          <w:szCs w:val="15"/>
          <w:color w:val="auto"/>
        </w:rPr>
        <w:t>. The Participant acknowledges and agrees that nothing in this Agreement constitutes an express or implied promise of continued employment or other engagement with the Company or its subsidiaries for any period of time or shall interfere in any way with the right of the Company or its subsidiaries to terminate the Participant’s relationship as an employee or other service provider at any time, with or without Cause.</w:t>
      </w:r>
    </w:p>
    <w:p>
      <w:pPr>
        <w:spacing w:after="0" w:line="149" w:lineRule="exact"/>
        <w:rPr>
          <w:rFonts w:ascii="Times New Roman" w:cs="Times New Roman" w:eastAsia="Times New Roman" w:hAnsi="Times New Roman"/>
          <w:sz w:val="15"/>
          <w:szCs w:val="15"/>
          <w:color w:val="auto"/>
        </w:rPr>
      </w:pPr>
    </w:p>
    <w:p>
      <w:pPr>
        <w:jc w:val="both"/>
        <w:ind w:firstLine="535"/>
        <w:spacing w:after="0" w:line="252" w:lineRule="auto"/>
        <w:tabs>
          <w:tab w:leader="none" w:pos="1194"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Acknowledgements</w:t>
      </w:r>
      <w:r>
        <w:rPr>
          <w:rFonts w:ascii="Times New Roman" w:cs="Times New Roman" w:eastAsia="Times New Roman" w:hAnsi="Times New Roman"/>
          <w:sz w:val="15"/>
          <w:szCs w:val="15"/>
          <w:color w:val="auto"/>
        </w:rPr>
        <w:t>. The Participant acknowledges and agrees that (i) this Agreement may be executed in two or more counterparts, each of which will be an original and all of which together will constitute one and the same instrument, (ii) this Agreement may be executed and exchanged using facsimile, portable document format (PDF) or electronic signature, which, in each case, will constitute an original signature for all purposes hereunder, and (iii) such signature by the Company will be binding against the Company and will create a legally binding agreement when this Agreement is countersigned by the Participant.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[Signature page follows.]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42" w:name="page543"/>
    <w:bookmarkEnd w:id="542"/>
    <w:p>
      <w:pPr>
        <w:ind w:left="540"/>
        <w:spacing w:after="0"/>
        <w:rPr>
          <w:sz w:val="20"/>
          <w:szCs w:val="20"/>
          <w:color w:val="auto"/>
        </w:rPr>
      </w:pPr>
      <w:r>
        <w:rPr>
          <w:rFonts w:ascii="Times New Roman" w:cs="Times New Roman" w:eastAsia="Times New Roman" w:hAnsi="Times New Roman"/>
          <w:sz w:val="14"/>
          <w:szCs w:val="14"/>
          <w:color w:val="auto"/>
        </w:rPr>
        <w:t>The Company, by its duly authorized officer, and the Participant have executed this Agreement as of the Date of Grant.</w:t>
      </w:r>
    </w:p>
    <w:p>
      <w:pPr>
        <w:spacing w:after="0" w:line="19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Zenas BioPharma, Inc.</w:t>
      </w:r>
    </w:p>
    <w:p>
      <w:pPr>
        <w:spacing w:after="0" w:line="1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11430</wp:posOffset>
            </wp:positionV>
            <wp:extent cx="3216275" cy="698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8890</wp:posOffset>
            </wp:positionV>
            <wp:extent cx="3216275" cy="698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8890</wp:posOffset>
            </wp:positionV>
            <wp:extent cx="3216275" cy="698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Agreed and Accepted: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11430</wp:posOffset>
            </wp:positionV>
            <wp:extent cx="3216275" cy="698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[Participant’s Name]</w:t>
      </w:r>
    </w:p>
    <w:p>
      <w:pPr>
        <w:spacing w:after="0" w:line="16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i w:val="1"/>
          <w:iCs w:val="1"/>
          <w:color w:val="auto"/>
        </w:rPr>
        <w:t>Signature page to Share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57720" cy="698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159"/>
          </w:cols>
          <w:pgMar w:left="300" w:top="762" w:right="1440" w:bottom="1440" w:gutter="0" w:footer="0" w:header="0"/>
        </w:sectPr>
      </w:pPr>
    </w:p>
    <w:bookmarkStart w:id="543" w:name="page544"/>
    <w:bookmarkEnd w:id="543"/>
    <w:p>
      <w:pPr>
        <w:ind w:left="10280"/>
        <w:spacing w:after="0"/>
        <w:rPr>
          <w:sz w:val="20"/>
          <w:szCs w:val="20"/>
          <w:color w:val="auto"/>
        </w:rPr>
      </w:pPr>
      <w:r>
        <w:rPr>
          <w:rFonts w:ascii="Times New Roman" w:cs="Times New Roman" w:eastAsia="Times New Roman" w:hAnsi="Times New Roman"/>
          <w:sz w:val="16"/>
          <w:szCs w:val="16"/>
          <w:b w:val="1"/>
          <w:bCs w:val="1"/>
          <w:color w:val="auto"/>
        </w:rPr>
        <w:t>Exhibit 10.23</w:t>
      </w:r>
    </w:p>
    <w:p>
      <w:pPr>
        <w:spacing w:after="0" w:line="221"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15"/>
          <w:szCs w:val="15"/>
          <w:b w:val="1"/>
          <w:bCs w:val="1"/>
          <w:color w:val="auto"/>
        </w:rPr>
        <w:t>CERTAIN INFORMATION IDENTIFIED WITH [***] HAS BEEN EXCLUDED FROM THIS EXHIBIT BECAUSE IT IS (1) NOT MATERIAL AND (II) OF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September 22,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PERSONAL AND CONFIDENTIAL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Tanya Zaremba Fischer, M.D., Ph.D.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Dear Tanya:</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On behalf of Zenas BioPharma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I am very pleased to offer you employment as Chief Medical Officer and Head of Research &amp; Development.</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terms of your position with the Company are as set forth below:</w:t>
      </w:r>
    </w:p>
    <w:p>
      <w:pPr>
        <w:spacing w:after="0" w:line="179" w:lineRule="exact"/>
        <w:rPr>
          <w:sz w:val="20"/>
          <w:szCs w:val="20"/>
          <w:color w:val="auto"/>
        </w:rPr>
      </w:pPr>
    </w:p>
    <w:p>
      <w:pPr>
        <w:jc w:val="both"/>
        <w:ind w:firstLine="527"/>
        <w:spacing w:after="0" w:line="252" w:lineRule="auto"/>
        <w:rPr>
          <w:sz w:val="20"/>
          <w:szCs w:val="20"/>
          <w:color w:val="auto"/>
        </w:rPr>
      </w:pPr>
      <w:r>
        <w:rPr>
          <w:rFonts w:ascii="Times New Roman" w:cs="Times New Roman" w:eastAsia="Times New Roman" w:hAnsi="Times New Roman"/>
          <w:sz w:val="15"/>
          <w:szCs w:val="15"/>
          <w:color w:val="auto"/>
        </w:rPr>
        <w:t>1.            </w:t>
      </w:r>
      <w:r>
        <w:rPr>
          <w:rFonts w:ascii="Times New Roman" w:cs="Times New Roman" w:eastAsia="Times New Roman" w:hAnsi="Times New Roman"/>
          <w:sz w:val="15"/>
          <w:szCs w:val="15"/>
          <w:u w:val="single" w:color="auto"/>
          <w:color w:val="auto"/>
        </w:rPr>
        <w:t>  Position</w:t>
      </w:r>
      <w:r>
        <w:rPr>
          <w:rFonts w:ascii="Times New Roman" w:cs="Times New Roman" w:eastAsia="Times New Roman" w:hAnsi="Times New Roman"/>
          <w:sz w:val="15"/>
          <w:szCs w:val="15"/>
          <w:color w:val="auto"/>
        </w:rPr>
        <w:t>. In this role, you will have the duties, authorities and responsibilities commensurate with the duties, authorities and responsibilities that are customarily associated with your position and those that are assigned to you by the Chief Executive Officer and/or the Company’s Board of Directors (the “</w:t>
      </w:r>
      <w:r>
        <w:rPr>
          <w:rFonts w:ascii="Times New Roman" w:cs="Times New Roman" w:eastAsia="Times New Roman" w:hAnsi="Times New Roman"/>
          <w:sz w:val="15"/>
          <w:szCs w:val="15"/>
          <w:b w:val="1"/>
          <w:bCs w:val="1"/>
          <w:color w:val="auto"/>
        </w:rPr>
        <w:t>Board</w:t>
      </w:r>
      <w:r>
        <w:rPr>
          <w:rFonts w:ascii="Times New Roman" w:cs="Times New Roman" w:eastAsia="Times New Roman" w:hAnsi="Times New Roman"/>
          <w:sz w:val="15"/>
          <w:szCs w:val="15"/>
          <w:color w:val="auto"/>
        </w:rPr>
        <w:t xml:space="preserve">”). During the term of your employment with the Company, you will devote your full professional time and efforts to the business activities and other activities of the Company, and other activities that may be approved in advance by the Company’s Board. Your employment under the terms of this letter agreement shall terminate in accordance with </w:t>
      </w:r>
      <w:r>
        <w:rPr>
          <w:rFonts w:ascii="Times New Roman" w:cs="Times New Roman" w:eastAsia="Times New Roman" w:hAnsi="Times New Roman"/>
          <w:sz w:val="15"/>
          <w:szCs w:val="15"/>
          <w:u w:val="single" w:color="auto"/>
          <w:color w:val="auto"/>
        </w:rPr>
        <w:t>Section 8</w:t>
      </w:r>
      <w:r>
        <w:rPr>
          <w:rFonts w:ascii="Times New Roman" w:cs="Times New Roman" w:eastAsia="Times New Roman" w:hAnsi="Times New Roman"/>
          <w:sz w:val="15"/>
          <w:szCs w:val="15"/>
          <w:color w:val="auto"/>
        </w:rPr>
        <w:t xml:space="preserve"> below.</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2.            </w:t>
      </w:r>
      <w:r>
        <w:rPr>
          <w:rFonts w:ascii="Times New Roman" w:cs="Times New Roman" w:eastAsia="Times New Roman" w:hAnsi="Times New Roman"/>
          <w:sz w:val="15"/>
          <w:szCs w:val="15"/>
          <w:u w:val="single" w:color="auto"/>
          <w:color w:val="auto"/>
        </w:rPr>
        <w:t>  Start Date</w:t>
      </w:r>
      <w:r>
        <w:rPr>
          <w:rFonts w:ascii="Times New Roman" w:cs="Times New Roman" w:eastAsia="Times New Roman" w:hAnsi="Times New Roman"/>
          <w:sz w:val="15"/>
          <w:szCs w:val="15"/>
          <w:color w:val="auto"/>
        </w:rPr>
        <w:t>. You will commence employment with the Company on a mutually agreed upon date (the “Commencement Date”).</w:t>
      </w:r>
    </w:p>
    <w:p>
      <w:pPr>
        <w:spacing w:after="0" w:line="179" w:lineRule="exact"/>
        <w:rPr>
          <w:sz w:val="20"/>
          <w:szCs w:val="20"/>
          <w:color w:val="auto"/>
        </w:rPr>
      </w:pPr>
    </w:p>
    <w:p>
      <w:pPr>
        <w:jc w:val="both"/>
        <w:ind w:firstLine="527"/>
        <w:spacing w:after="0" w:line="269" w:lineRule="auto"/>
        <w:rPr>
          <w:sz w:val="20"/>
          <w:szCs w:val="20"/>
          <w:color w:val="auto"/>
        </w:rPr>
      </w:pPr>
      <w:r>
        <w:rPr>
          <w:rFonts w:ascii="Times New Roman" w:cs="Times New Roman" w:eastAsia="Times New Roman" w:hAnsi="Times New Roman"/>
          <w:sz w:val="15"/>
          <w:szCs w:val="15"/>
          <w:color w:val="auto"/>
        </w:rPr>
        <w:t>3.            </w:t>
      </w:r>
      <w:r>
        <w:rPr>
          <w:rFonts w:ascii="Times New Roman" w:cs="Times New Roman" w:eastAsia="Times New Roman" w:hAnsi="Times New Roman"/>
          <w:sz w:val="15"/>
          <w:szCs w:val="15"/>
          <w:u w:val="single" w:color="auto"/>
          <w:color w:val="auto"/>
        </w:rPr>
        <w:t>  Location</w:t>
      </w:r>
      <w:r>
        <w:rPr>
          <w:rFonts w:ascii="Times New Roman" w:cs="Times New Roman" w:eastAsia="Times New Roman" w:hAnsi="Times New Roman"/>
          <w:sz w:val="15"/>
          <w:szCs w:val="15"/>
          <w:color w:val="auto"/>
        </w:rPr>
        <w:t>. You will be based in the Boston metropolitan area. When traveling outside of Boston all lodging, meals and transportation will be considered business expenses and paid directly by the Company or reimbursed to you.</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4.            </w:t>
      </w:r>
      <w:r>
        <w:rPr>
          <w:rFonts w:ascii="Times New Roman" w:cs="Times New Roman" w:eastAsia="Times New Roman" w:hAnsi="Times New Roman"/>
          <w:sz w:val="15"/>
          <w:szCs w:val="15"/>
          <w:u w:val="single" w:color="auto"/>
          <w:color w:val="auto"/>
        </w:rPr>
        <w:t>  Compensation</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i w:val="1"/>
          <w:iCs w:val="1"/>
          <w:color w:val="auto"/>
        </w:rPr>
        <w:t>a.</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 xml:space="preserve">Base Salary. </w:t>
      </w:r>
      <w:r>
        <w:rPr>
          <w:rFonts w:ascii="Times New Roman" w:cs="Times New Roman" w:eastAsia="Times New Roman" w:hAnsi="Times New Roman"/>
          <w:sz w:val="15"/>
          <w:szCs w:val="15"/>
          <w:color w:val="auto"/>
        </w:rPr>
        <w:t>You will be paid an annualized base salary of four-hundred and fifty thousand Dollars ($450,000). Your base salary will be payable pursuant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Company’s regular payroll policy. Your salary shall be reviewed annually and may be adjusted in connection with any such review.</w:t>
      </w:r>
    </w:p>
    <w:p>
      <w:pPr>
        <w:spacing w:after="0" w:line="136" w:lineRule="exact"/>
        <w:rPr>
          <w:sz w:val="20"/>
          <w:szCs w:val="20"/>
          <w:color w:val="auto"/>
        </w:rPr>
      </w:pPr>
    </w:p>
    <w:p>
      <w:pPr>
        <w:jc w:val="both"/>
        <w:ind w:firstLine="1055"/>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b. </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 xml:space="preserve">Bonus Program. </w:t>
      </w:r>
      <w:r>
        <w:rPr>
          <w:rFonts w:ascii="Times New Roman" w:cs="Times New Roman" w:eastAsia="Times New Roman" w:hAnsi="Times New Roman"/>
          <w:sz w:val="14"/>
          <w:szCs w:val="14"/>
          <w:color w:val="auto"/>
        </w:rPr>
        <w:t>You will be eligible for an annual bonus of up to forty (40%) of your annual base salary that will be determined by the Board in its sole discretion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based upon achievement of pre-determined performance goals. Any annual bonus, if earned, shall be paid no later than March 15th of the year immediately following the year to which the</w:t>
      </w:r>
    </w:p>
    <w:p>
      <w:pPr>
        <w:spacing w:after="0" w:line="1"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5"/>
          <w:szCs w:val="15"/>
          <w:color w:val="auto"/>
        </w:rPr>
        <w:t>applicable annual bonus relates (the “Bonus Year”) if you are employed by the Company through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5"/>
          <w:szCs w:val="15"/>
          <w:color w:val="auto"/>
        </w:rPr>
        <w:t xml:space="preserve"> of the Bonus Year. For 2023 you will be bonus eligible and any bonus amount earned will not be prorated for tenure.</w:t>
      </w:r>
    </w:p>
    <w:p>
      <w:pPr>
        <w:spacing w:after="0" w:line="161" w:lineRule="exact"/>
        <w:rPr>
          <w:sz w:val="20"/>
          <w:szCs w:val="20"/>
          <w:color w:val="auto"/>
        </w:rPr>
      </w:pPr>
    </w:p>
    <w:p>
      <w:pPr>
        <w:jc w:val="both"/>
        <w:ind w:firstLine="1055"/>
        <w:spacing w:after="0" w:line="270" w:lineRule="auto"/>
        <w:rPr>
          <w:sz w:val="20"/>
          <w:szCs w:val="20"/>
          <w:color w:val="auto"/>
        </w:rPr>
      </w:pPr>
      <w:r>
        <w:rPr>
          <w:rFonts w:ascii="Times New Roman" w:cs="Times New Roman" w:eastAsia="Times New Roman" w:hAnsi="Times New Roman"/>
          <w:sz w:val="15"/>
          <w:szCs w:val="15"/>
          <w:i w:val="1"/>
          <w:iCs w:val="1"/>
          <w:color w:val="auto"/>
        </w:rPr>
        <w:t>c.              Sign-on Bonus</w:t>
      </w:r>
      <w:r>
        <w:rPr>
          <w:rFonts w:ascii="Times New Roman" w:cs="Times New Roman" w:eastAsia="Times New Roman" w:hAnsi="Times New Roman"/>
          <w:sz w:val="15"/>
          <w:szCs w:val="15"/>
          <w:color w:val="auto"/>
        </w:rPr>
        <w:t>. You will receive a one-time sign-on bonus in the amount of $100,000 which will be paid to you within 30 days of the Commencement Date. If you</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voluntarily leave the Company, without good reason (as that term is defined in </w:t>
      </w:r>
      <w:r>
        <w:rPr>
          <w:rFonts w:ascii="Times New Roman" w:cs="Times New Roman" w:eastAsia="Times New Roman" w:hAnsi="Times New Roman"/>
          <w:sz w:val="15"/>
          <w:szCs w:val="15"/>
          <w:u w:val="single" w:color="auto"/>
          <w:color w:val="auto"/>
        </w:rPr>
        <w:t>Section 8</w:t>
      </w:r>
      <w:r>
        <w:rPr>
          <w:rFonts w:ascii="Times New Roman" w:cs="Times New Roman" w:eastAsia="Times New Roman" w:hAnsi="Times New Roman"/>
          <w:sz w:val="15"/>
          <w:szCs w:val="15"/>
          <w:color w:val="auto"/>
        </w:rPr>
        <w:t xml:space="preserve"> of this agreement), within 24 months of the Commencement Date, you will owe back the total sign-on payment, less 1/24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of the value of such sign-on payment for each month you were employed with the Company prior to your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57720" cy="698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544" w:name="page545"/>
    <w:bookmarkEnd w:id="544"/>
    <w:p>
      <w:pPr>
        <w:jc w:val="both"/>
        <w:ind w:firstLine="1055"/>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d.               Equity Compensation. </w:t>
      </w:r>
      <w:r>
        <w:rPr>
          <w:rFonts w:ascii="Times New Roman" w:cs="Times New Roman" w:eastAsia="Times New Roman" w:hAnsi="Times New Roman"/>
          <w:sz w:val="15"/>
          <w:szCs w:val="15"/>
          <w:color w:val="auto"/>
        </w:rPr>
        <w:t>You shall receive a grant of stock options to acquire 1,500,000 ordinary shares, as more fully described in the Zenas BioPharma 2020 Equity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Incentive Plan. The stock options shall vest 25% on the first anniversary of the Commencement Date; the remaining 75% of the stock options shall vest in 36 consecutive, equal monthly installments beginning the thirteenth month after the Commencement Date, provided that you continue to be employed by the Company on each respective vesting date.</w:t>
      </w:r>
    </w:p>
    <w:p>
      <w:pPr>
        <w:spacing w:after="0" w:line="147" w:lineRule="exact"/>
        <w:rPr>
          <w:sz w:val="20"/>
          <w:szCs w:val="20"/>
          <w:color w:val="auto"/>
        </w:rPr>
      </w:pPr>
    </w:p>
    <w:p>
      <w:pPr>
        <w:jc w:val="both"/>
        <w:ind w:firstLine="1055"/>
        <w:spacing w:after="0" w:line="272" w:lineRule="auto"/>
        <w:rPr>
          <w:sz w:val="20"/>
          <w:szCs w:val="20"/>
          <w:color w:val="auto"/>
        </w:rPr>
      </w:pPr>
      <w:r>
        <w:rPr>
          <w:rFonts w:ascii="Times New Roman" w:cs="Times New Roman" w:eastAsia="Times New Roman" w:hAnsi="Times New Roman"/>
          <w:sz w:val="15"/>
          <w:szCs w:val="15"/>
          <w:i w:val="1"/>
          <w:iCs w:val="1"/>
          <w:color w:val="auto"/>
        </w:rPr>
        <w:t xml:space="preserve">e.               Withholding. </w:t>
      </w:r>
      <w:r>
        <w:rPr>
          <w:rFonts w:ascii="Times New Roman" w:cs="Times New Roman" w:eastAsia="Times New Roman" w:hAnsi="Times New Roman"/>
          <w:sz w:val="15"/>
          <w:szCs w:val="15"/>
          <w:color w:val="auto"/>
        </w:rPr>
        <w:t>The Company shall withhold from any compensation or benefits payable under this letter agreement any federal, state and local income, employment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 similar taxes as may be required to be withheld pursuant to any applicable law or regulation.</w:t>
      </w:r>
    </w:p>
    <w:p>
      <w:pPr>
        <w:spacing w:after="0" w:line="138" w:lineRule="exact"/>
        <w:rPr>
          <w:sz w:val="20"/>
          <w:szCs w:val="20"/>
          <w:color w:val="auto"/>
        </w:rPr>
      </w:pPr>
    </w:p>
    <w:p>
      <w:pPr>
        <w:jc w:val="both"/>
        <w:ind w:firstLine="527"/>
        <w:spacing w:after="0" w:line="269" w:lineRule="auto"/>
        <w:rPr>
          <w:sz w:val="20"/>
          <w:szCs w:val="20"/>
          <w:color w:val="auto"/>
        </w:rPr>
      </w:pPr>
      <w:r>
        <w:rPr>
          <w:rFonts w:ascii="Times New Roman" w:cs="Times New Roman" w:eastAsia="Times New Roman" w:hAnsi="Times New Roman"/>
          <w:sz w:val="15"/>
          <w:szCs w:val="15"/>
          <w:color w:val="auto"/>
        </w:rPr>
        <w:t xml:space="preserve">5.              </w:t>
      </w:r>
      <w:r>
        <w:rPr>
          <w:rFonts w:ascii="Times New Roman" w:cs="Times New Roman" w:eastAsia="Times New Roman" w:hAnsi="Times New Roman"/>
          <w:sz w:val="15"/>
          <w:szCs w:val="15"/>
          <w:u w:val="single" w:color="auto"/>
          <w:color w:val="auto"/>
        </w:rPr>
        <w:t>Vacation &amp; Holidays</w:t>
      </w:r>
      <w:r>
        <w:rPr>
          <w:rFonts w:ascii="Times New Roman" w:cs="Times New Roman" w:eastAsia="Times New Roman" w:hAnsi="Times New Roman"/>
          <w:sz w:val="15"/>
          <w:szCs w:val="15"/>
          <w:color w:val="auto"/>
        </w:rPr>
        <w:t>. You will be eligible for 15 days of “paid time off” each year, a one-week winter break, a one-week summer break and Company paid holidays consistent with the Company’s vacation and holiday policy.</w:t>
      </w:r>
    </w:p>
    <w:p>
      <w:pPr>
        <w:spacing w:after="0" w:line="141" w:lineRule="exact"/>
        <w:rPr>
          <w:sz w:val="20"/>
          <w:szCs w:val="20"/>
          <w:color w:val="auto"/>
        </w:rPr>
      </w:pPr>
    </w:p>
    <w:p>
      <w:pPr>
        <w:jc w:val="both"/>
        <w:ind w:firstLine="527"/>
        <w:spacing w:after="0" w:line="269" w:lineRule="auto"/>
        <w:rPr>
          <w:sz w:val="20"/>
          <w:szCs w:val="20"/>
          <w:color w:val="auto"/>
        </w:rPr>
      </w:pPr>
      <w:r>
        <w:rPr>
          <w:rFonts w:ascii="Times New Roman" w:cs="Times New Roman" w:eastAsia="Times New Roman" w:hAnsi="Times New Roman"/>
          <w:sz w:val="15"/>
          <w:szCs w:val="15"/>
          <w:color w:val="auto"/>
        </w:rPr>
        <w:t xml:space="preserve">6.              </w:t>
      </w:r>
      <w:r>
        <w:rPr>
          <w:rFonts w:ascii="Times New Roman" w:cs="Times New Roman" w:eastAsia="Times New Roman" w:hAnsi="Times New Roman"/>
          <w:sz w:val="15"/>
          <w:szCs w:val="15"/>
          <w:u w:val="single" w:color="auto"/>
          <w:color w:val="auto"/>
        </w:rPr>
        <w:t>Benefits</w:t>
      </w:r>
      <w:r>
        <w:rPr>
          <w:rFonts w:ascii="Times New Roman" w:cs="Times New Roman" w:eastAsia="Times New Roman" w:hAnsi="Times New Roman"/>
          <w:sz w:val="15"/>
          <w:szCs w:val="15"/>
          <w:color w:val="auto"/>
        </w:rPr>
        <w:t>. You will be eligible to participate in such medical, retirement and other benefits as are approved by the Board. As is the case with all employee benefits, such benefits will be governed by the terms and conditions of applicable plans or policies, which are subject to change or discontinuation at any time.</w:t>
      </w:r>
    </w:p>
    <w:p>
      <w:pPr>
        <w:spacing w:after="0" w:line="141" w:lineRule="exact"/>
        <w:rPr>
          <w:sz w:val="20"/>
          <w:szCs w:val="20"/>
          <w:color w:val="auto"/>
        </w:rPr>
      </w:pPr>
    </w:p>
    <w:p>
      <w:pPr>
        <w:jc w:val="both"/>
        <w:ind w:firstLine="527"/>
        <w:spacing w:after="0" w:line="257" w:lineRule="auto"/>
        <w:rPr>
          <w:sz w:val="20"/>
          <w:szCs w:val="20"/>
          <w:color w:val="auto"/>
        </w:rPr>
      </w:pPr>
      <w:r>
        <w:rPr>
          <w:rFonts w:ascii="Times New Roman" w:cs="Times New Roman" w:eastAsia="Times New Roman" w:hAnsi="Times New Roman"/>
          <w:sz w:val="15"/>
          <w:szCs w:val="15"/>
          <w:color w:val="auto"/>
        </w:rPr>
        <w:t xml:space="preserve">7.             </w:t>
      </w:r>
      <w:r>
        <w:rPr>
          <w:rFonts w:ascii="Times New Roman" w:cs="Times New Roman" w:eastAsia="Times New Roman" w:hAnsi="Times New Roman"/>
          <w:sz w:val="15"/>
          <w:szCs w:val="15"/>
          <w:u w:val="single" w:color="auto"/>
          <w:color w:val="auto"/>
        </w:rPr>
        <w:t>At-Will Employment</w:t>
      </w:r>
      <w:r>
        <w:rPr>
          <w:rFonts w:ascii="Times New Roman" w:cs="Times New Roman" w:eastAsia="Times New Roman" w:hAnsi="Times New Roman"/>
          <w:sz w:val="15"/>
          <w:szCs w:val="15"/>
          <w:color w:val="auto"/>
        </w:rPr>
        <w:t xml:space="preserve">. Your employment with the Company is and shall at all times during your employment hereunder be “at-will” employment. The Company or you may terminate your employment at any time for any reason, with or without Cause, and with or without notice subject to </w:t>
      </w:r>
      <w:r>
        <w:rPr>
          <w:rFonts w:ascii="Times New Roman" w:cs="Times New Roman" w:eastAsia="Times New Roman" w:hAnsi="Times New Roman"/>
          <w:sz w:val="15"/>
          <w:szCs w:val="15"/>
          <w:u w:val="single" w:color="auto"/>
          <w:color w:val="auto"/>
        </w:rPr>
        <w:t>Section 8</w:t>
      </w:r>
      <w:r>
        <w:rPr>
          <w:rFonts w:ascii="Times New Roman" w:cs="Times New Roman" w:eastAsia="Times New Roman" w:hAnsi="Times New Roman"/>
          <w:sz w:val="15"/>
          <w:szCs w:val="15"/>
          <w:color w:val="auto"/>
        </w:rPr>
        <w:t xml:space="preserve"> below. The “at-will” nature of your employment shall remain unchanged during your tenure as an employee of the Company and may only be changed by an express written agreement that is signed by you and the Board.</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8.              </w:t>
      </w:r>
      <w:r>
        <w:rPr>
          <w:rFonts w:ascii="Times New Roman" w:cs="Times New Roman" w:eastAsia="Times New Roman" w:hAnsi="Times New Roman"/>
          <w:sz w:val="15"/>
          <w:szCs w:val="15"/>
          <w:u w:val="single" w:color="auto"/>
          <w:color w:val="auto"/>
        </w:rPr>
        <w:t>Termination of Employment</w:t>
      </w:r>
      <w:r>
        <w:rPr>
          <w:rFonts w:ascii="Times New Roman" w:cs="Times New Roman" w:eastAsia="Times New Roman" w:hAnsi="Times New Roman"/>
          <w:sz w:val="15"/>
          <w:szCs w:val="15"/>
          <w:color w:val="auto"/>
        </w:rPr>
        <w:t>. For the purposes of this Section 8, the following capitalized terms shall have the meanings set forth below:</w:t>
      </w:r>
    </w:p>
    <w:p>
      <w:pPr>
        <w:spacing w:after="0" w:line="177" w:lineRule="exact"/>
        <w:rPr>
          <w:sz w:val="20"/>
          <w:szCs w:val="20"/>
          <w:color w:val="auto"/>
        </w:rPr>
      </w:pPr>
    </w:p>
    <w:p>
      <w:pPr>
        <w:jc w:val="both"/>
        <w:ind w:firstLine="527"/>
        <w:spacing w:after="0" w:line="251" w:lineRule="auto"/>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Accrued Benefits</w:t>
      </w:r>
      <w:r>
        <w:rPr>
          <w:rFonts w:ascii="Times New Roman" w:cs="Times New Roman" w:eastAsia="Times New Roman" w:hAnsi="Times New Roman"/>
          <w:sz w:val="15"/>
          <w:szCs w:val="15"/>
          <w:color w:val="auto"/>
        </w:rPr>
        <w:t>” shall mean: (i) any unpaid base salary for services rendered prior to the date of termination or resignation; (ii) any earned but unpaid annual bonus for any completed fiscal year prior to the year in which termination of employment occurs; (iii) reimbursement of any un- reimbursed business expenses incurred as of the date of termination or resignation in accordance with the Company’s reimbursement policy, (iv) accrued but unused vacation (if applicable), earned through the effective resignation or termination date; and (v) all other payments, benefits or fringe benefits to which you shall be entitled under the terms of any applicable compensation arrangement or benefit, equity or fringe benefit plan or program or grant or this letter agreement.</w:t>
      </w:r>
    </w:p>
    <w:p>
      <w:pPr>
        <w:spacing w:after="0" w:line="153" w:lineRule="exact"/>
        <w:rPr>
          <w:sz w:val="20"/>
          <w:szCs w:val="20"/>
          <w:color w:val="auto"/>
        </w:rPr>
      </w:pPr>
    </w:p>
    <w:p>
      <w:pPr>
        <w:jc w:val="both"/>
        <w:ind w:firstLine="527"/>
        <w:spacing w:after="0" w:line="248" w:lineRule="auto"/>
        <w:rPr>
          <w:sz w:val="20"/>
          <w:szCs w:val="20"/>
          <w:color w:val="auto"/>
        </w:rPr>
      </w:pPr>
      <w:r>
        <w:rPr>
          <w:rFonts w:ascii="Times New Roman" w:cs="Times New Roman" w:eastAsia="Times New Roman" w:hAnsi="Times New Roman"/>
          <w:sz w:val="15"/>
          <w:szCs w:val="15"/>
          <w:b w:val="1"/>
          <w:bCs w:val="1"/>
          <w:color w:val="auto"/>
        </w:rPr>
        <w:t xml:space="preserve">                “Cause” </w:t>
      </w:r>
      <w:r>
        <w:rPr>
          <w:rFonts w:ascii="Times New Roman" w:cs="Times New Roman" w:eastAsia="Times New Roman" w:hAnsi="Times New Roman"/>
          <w:sz w:val="15"/>
          <w:szCs w:val="15"/>
          <w:color w:val="auto"/>
        </w:rPr>
        <w:t>shall mean (i) willful misconduct or gross negligence as to a material matter in connection with your duties; (ii) any act constituting material dishonesty or fraud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respect to the Company; (iii) the indictment for, conviction of, or a plea of guilty or </w:t>
      </w:r>
      <w:r>
        <w:rPr>
          <w:rFonts w:ascii="Times New Roman" w:cs="Times New Roman" w:eastAsia="Times New Roman" w:hAnsi="Times New Roman"/>
          <w:sz w:val="15"/>
          <w:szCs w:val="15"/>
          <w:i w:val="1"/>
          <w:iCs w:val="1"/>
          <w:color w:val="auto"/>
        </w:rPr>
        <w:t>nolo contendere</w:t>
      </w:r>
      <w:r>
        <w:rPr>
          <w:rFonts w:ascii="Times New Roman" w:cs="Times New Roman" w:eastAsia="Times New Roman" w:hAnsi="Times New Roman"/>
          <w:sz w:val="15"/>
          <w:szCs w:val="15"/>
          <w:color w:val="auto"/>
        </w:rPr>
        <w:t xml:space="preserve"> to, a felony under applicable law; (iv) material violation of any written Company policy made available to you; (v) failure to (A) perform your duties in all material respects or (B) follow a clear, lawful and reasonable directive of the Board; or (vi) material breach of a fiduciary duty owed to the Company that has caused or could reasonably be expected to cause a material injury to the business;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no event shall your employment be terminated for Cause unless (A) an event or circumstance set forth in clauses (i) through (vi) has occurred and the Company provides you with written notice after the Company has knowledge of the occurrence of existence of such event or circumstance, which notice reasonably identifies the event or circumstance that the Company believes constitutes Cause and (B) with respect to the events and circumstances set forth in clauses (iv) and (v) only, you fail to substantially cure to the satisfaction of the Company the event or circumstance so identified within 30 days of the receipt of such notice; and, </w:t>
      </w:r>
      <w:r>
        <w:rPr>
          <w:rFonts w:ascii="Times New Roman" w:cs="Times New Roman" w:eastAsia="Times New Roman" w:hAnsi="Times New Roman"/>
          <w:sz w:val="15"/>
          <w:szCs w:val="15"/>
          <w:u w:val="single" w:color="auto"/>
          <w:color w:val="auto"/>
        </w:rPr>
        <w:t>provided further</w:t>
      </w:r>
      <w:r>
        <w:rPr>
          <w:rFonts w:ascii="Times New Roman" w:cs="Times New Roman" w:eastAsia="Times New Roman" w:hAnsi="Times New Roman"/>
          <w:sz w:val="15"/>
          <w:szCs w:val="15"/>
          <w:color w:val="auto"/>
        </w:rPr>
        <w:t>, that clauses (iv) and (v) shall not apply following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57720" cy="698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45" w:name="page546"/>
    <w:bookmarkEnd w:id="545"/>
    <w:p>
      <w:pPr>
        <w:jc w:val="both"/>
        <w:ind w:firstLine="527"/>
        <w:spacing w:after="0" w:line="285"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Disability</w:t>
      </w:r>
      <w:r>
        <w:rPr>
          <w:rFonts w:ascii="Times New Roman" w:cs="Times New Roman" w:eastAsia="Times New Roman" w:hAnsi="Times New Roman"/>
          <w:sz w:val="14"/>
          <w:szCs w:val="14"/>
          <w:color w:val="auto"/>
        </w:rPr>
        <w:t>” shall mean your inability to have performed your material duties hereunder due to a physical or mental injury, infirmity or incapacity for one hundred eighty (180) days (including weekends and holidays) in any 365-day period. Notwithstanding the foregoing, in the event that as a result of an earlier absence because of mental or physical incapacity you incur a “separation from service” within the meaning of such term under Code Section 409A you shall on such date automatically be terminated from employment as a Disability termination.</w:t>
      </w:r>
    </w:p>
    <w:p>
      <w:pPr>
        <w:spacing w:after="0" w:line="130" w:lineRule="exact"/>
        <w:rPr>
          <w:sz w:val="20"/>
          <w:szCs w:val="20"/>
          <w:color w:val="auto"/>
        </w:rPr>
      </w:pPr>
    </w:p>
    <w:p>
      <w:pPr>
        <w:jc w:val="both"/>
        <w:ind w:firstLine="527"/>
        <w:spacing w:after="0" w:line="256" w:lineRule="auto"/>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Good Reason</w:t>
      </w:r>
      <w:r>
        <w:rPr>
          <w:rFonts w:ascii="Times New Roman" w:cs="Times New Roman" w:eastAsia="Times New Roman" w:hAnsi="Times New Roman"/>
          <w:sz w:val="15"/>
          <w:szCs w:val="15"/>
          <w:color w:val="auto"/>
        </w:rPr>
        <w:t>” shall mean: (i) the assignment to you of any duties or responsibilities which result in the material diminution of your position (other than temporarily while physically or mentally incapacitated or as required by applicable law); (ii) a reduction by the Company in your annual base salary or target bonus percentage without your consent;</w:t>
      </w:r>
    </w:p>
    <w:p>
      <w:pPr>
        <w:jc w:val="both"/>
        <w:ind w:firstLine="8"/>
        <w:spacing w:after="0" w:line="256" w:lineRule="auto"/>
        <w:tabs>
          <w:tab w:leader="none" w:pos="261" w:val="left"/>
        </w:tabs>
        <w:numPr>
          <w:ilvl w:val="0"/>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relocation of the Company’s Boston metropolitan area office to another location by more than 30 miles; or (iv) material breach by the Company of the terms of this letter agreement. You shall provide the Company with a written notice detailing the specific circumstances alleged to constitute Good Reason within 90 days after the first occurrence of such circumstances, and the Company shall have 30 days following receipt of such notice to cure such circumstances in all material respects, and, to the extent not cured, you shall have resigned for Good Reason not later than the 180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day following the first occurrence of any Good Reason event (or to the extent it recurs, after the first occurrence of such recurrence).</w:t>
      </w:r>
    </w:p>
    <w:p>
      <w:pPr>
        <w:spacing w:after="0" w:line="49" w:lineRule="exact"/>
        <w:rPr>
          <w:sz w:val="20"/>
          <w:szCs w:val="20"/>
          <w:color w:val="auto"/>
        </w:rPr>
      </w:pPr>
    </w:p>
    <w:p>
      <w:pPr>
        <w:jc w:val="both"/>
        <w:ind w:firstLine="527"/>
        <w:spacing w:after="0" w:line="236" w:lineRule="auto"/>
        <w:rPr>
          <w:sz w:val="20"/>
          <w:szCs w:val="20"/>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i w:val="1"/>
          <w:iCs w:val="1"/>
          <w:color w:val="auto"/>
        </w:rPr>
        <w:t>Termination for Other than Cause.</w:t>
      </w:r>
      <w:r>
        <w:rPr>
          <w:rFonts w:ascii="Times New Roman" w:cs="Times New Roman" w:eastAsia="Times New Roman" w:hAnsi="Times New Roman"/>
          <w:sz w:val="14"/>
          <w:szCs w:val="14"/>
          <w:color w:val="auto"/>
        </w:rPr>
        <w:t xml:space="preserve"> If the Company terminates your employment for any reason other than Cause (except for death or Disability), and if such termination is not in connection with or within twelve (12) months following a change in control, you will receive the Accrued Benefits (as defined above), and, subject to your compliance with </w:t>
      </w:r>
      <w:r>
        <w:rPr>
          <w:rFonts w:ascii="Times New Roman" w:cs="Times New Roman" w:eastAsia="Times New Roman" w:hAnsi="Times New Roman"/>
          <w:sz w:val="14"/>
          <w:szCs w:val="14"/>
          <w:u w:val="single" w:color="auto"/>
          <w:color w:val="auto"/>
        </w:rPr>
        <w:t>Section 8(e)</w:t>
      </w:r>
      <w:r>
        <w:rPr>
          <w:rFonts w:ascii="Times New Roman" w:cs="Times New Roman" w:eastAsia="Times New Roman" w:hAnsi="Times New Roman"/>
          <w:sz w:val="14"/>
          <w:szCs w:val="14"/>
          <w:color w:val="auto"/>
        </w:rPr>
        <w:t xml:space="preserve"> below, you will be eligible to receive the following: (i) after the execution and delivery of the release of claims referenced below and the expiration of any revocation period without the release being revoked (the “</w:t>
      </w:r>
      <w:r>
        <w:rPr>
          <w:rFonts w:ascii="Times New Roman" w:cs="Times New Roman" w:eastAsia="Times New Roman" w:hAnsi="Times New Roman"/>
          <w:sz w:val="14"/>
          <w:szCs w:val="14"/>
          <w:b w:val="1"/>
          <w:bCs w:val="1"/>
          <w:color w:val="auto"/>
        </w:rPr>
        <w:t>Release Effective Date</w:t>
      </w:r>
      <w:r>
        <w:rPr>
          <w:rFonts w:ascii="Times New Roman" w:cs="Times New Roman" w:eastAsia="Times New Roman" w:hAnsi="Times New Roman"/>
          <w:sz w:val="14"/>
          <w:szCs w:val="14"/>
          <w:color w:val="auto"/>
        </w:rPr>
        <w:t>”), six (6) month’s base salary then in effect, less standard deductions and payable in installments in accordance with the Company’s then regular pay policies commencing on the 60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4"/>
          <w:szCs w:val="14"/>
          <w:color w:val="auto"/>
        </w:rPr>
        <w:t xml:space="preserve"> day following the termination of your employment,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first payment shall include any amounts for the period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5"/>
          <w:szCs w:val="15"/>
          <w:color w:val="auto"/>
        </w:rPr>
        <w:t>from the date of termination to the 60</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5"/>
          <w:szCs w:val="15"/>
          <w:color w:val="auto"/>
        </w:rPr>
        <w:t xml:space="preserve"> day; and (ii) if you elect to continue your health insurance coverage pursuant to your rights under the Consolidated Omnibus Budget Reconciliation Act of 1985, as amended (“</w:t>
      </w:r>
      <w:r>
        <w:rPr>
          <w:rFonts w:ascii="Times New Roman" w:cs="Times New Roman" w:eastAsia="Times New Roman" w:hAnsi="Times New Roman"/>
          <w:sz w:val="15"/>
          <w:szCs w:val="15"/>
          <w:b w:val="1"/>
          <w:bCs w:val="1"/>
          <w:color w:val="auto"/>
        </w:rPr>
        <w:t>COBRA</w:t>
      </w:r>
      <w:r>
        <w:rPr>
          <w:rFonts w:ascii="Times New Roman" w:cs="Times New Roman" w:eastAsia="Times New Roman" w:hAnsi="Times New Roman"/>
          <w:sz w:val="15"/>
          <w:szCs w:val="15"/>
          <w:color w:val="auto"/>
        </w:rPr>
        <w:t>”) following the termination of your employment, then the Company shall pay to you your monthly premium under COBRA on a monthly basis until the earlier of (x) six (6) months following the effective termination date, or (y) the date upon which you commence full-time employment (or employment that provides you with eligibility for healthcare benefits substantially comparable to those provided by the Company) with an entity other than the Company. All equity awards then held by you will be governed in accordance with their terms.</w:t>
      </w:r>
    </w:p>
    <w:p>
      <w:pPr>
        <w:spacing w:after="0" w:line="163" w:lineRule="exact"/>
        <w:rPr>
          <w:sz w:val="20"/>
          <w:szCs w:val="20"/>
          <w:color w:val="auto"/>
        </w:rPr>
      </w:pPr>
    </w:p>
    <w:p>
      <w:pPr>
        <w:jc w:val="both"/>
        <w:ind w:firstLine="527"/>
        <w:spacing w:after="0" w:line="270" w:lineRule="auto"/>
        <w:rPr>
          <w:sz w:val="20"/>
          <w:szCs w:val="20"/>
          <w:color w:val="auto"/>
        </w:rPr>
      </w:pPr>
      <w:r>
        <w:rPr>
          <w:rFonts w:ascii="Times New Roman" w:cs="Times New Roman" w:eastAsia="Times New Roman" w:hAnsi="Times New Roman"/>
          <w:sz w:val="14"/>
          <w:szCs w:val="14"/>
          <w:color w:val="auto"/>
        </w:rPr>
        <w:t>b.              </w:t>
      </w:r>
      <w:r>
        <w:rPr>
          <w:rFonts w:ascii="Times New Roman" w:cs="Times New Roman" w:eastAsia="Times New Roman" w:hAnsi="Times New Roman"/>
          <w:sz w:val="14"/>
          <w:szCs w:val="14"/>
          <w:i w:val="1"/>
          <w:iCs w:val="1"/>
          <w:color w:val="auto"/>
        </w:rPr>
        <w:t>Termination for Other than Cause following a change in control.</w:t>
      </w:r>
      <w:r>
        <w:rPr>
          <w:rFonts w:ascii="Times New Roman" w:cs="Times New Roman" w:eastAsia="Times New Roman" w:hAnsi="Times New Roman"/>
          <w:sz w:val="14"/>
          <w:szCs w:val="14"/>
          <w:color w:val="auto"/>
        </w:rPr>
        <w:t xml:space="preserve"> If the Company terminates your employment for any reason other than Cause (except for death or Disability) or you resign for Good Reason, </w:t>
      </w:r>
      <w:r>
        <w:rPr>
          <w:rFonts w:ascii="Times New Roman" w:cs="Times New Roman" w:eastAsia="Times New Roman" w:hAnsi="Times New Roman"/>
          <w:sz w:val="14"/>
          <w:szCs w:val="14"/>
          <w:u w:val="single" w:color="auto"/>
          <w:color w:val="auto"/>
        </w:rPr>
        <w:t>and</w:t>
      </w:r>
      <w:r>
        <w:rPr>
          <w:rFonts w:ascii="Times New Roman" w:cs="Times New Roman" w:eastAsia="Times New Roman" w:hAnsi="Times New Roman"/>
          <w:sz w:val="14"/>
          <w:szCs w:val="14"/>
          <w:color w:val="auto"/>
        </w:rPr>
        <w:t xml:space="preserve"> if such termination is in connection with or within twelve (12) months following a change in control, you will receive the Accrued Benefits, and, subject to your compliance with </w:t>
      </w:r>
      <w:r>
        <w:rPr>
          <w:rFonts w:ascii="Times New Roman" w:cs="Times New Roman" w:eastAsia="Times New Roman" w:hAnsi="Times New Roman"/>
          <w:sz w:val="14"/>
          <w:szCs w:val="14"/>
          <w:u w:val="single" w:color="auto"/>
          <w:color w:val="auto"/>
        </w:rPr>
        <w:t>Section 8(e)</w:t>
      </w:r>
      <w:r>
        <w:rPr>
          <w:rFonts w:ascii="Times New Roman" w:cs="Times New Roman" w:eastAsia="Times New Roman" w:hAnsi="Times New Roman"/>
          <w:sz w:val="14"/>
          <w:szCs w:val="14"/>
          <w:color w:val="auto"/>
        </w:rPr>
        <w:t xml:space="preserve"> below, you will be eligible to receive the following: (i) after the Release Effective Date, an amount equal to twelve (12) months of base salary then in effect</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5"/>
          <w:szCs w:val="15"/>
          <w:color w:val="auto"/>
        </w:rPr>
        <w:t>and 100% of your target bonus for the year your employment terminates, in each case, less standard deductions and payable in a single lump sum on the 60</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5"/>
          <w:szCs w:val="15"/>
          <w:color w:val="auto"/>
        </w:rPr>
        <w:t xml:space="preserve"> day following the termination of your employment; (ii) if you elect to continue your health insurance coverage pursuant to your rights under COBRA following the termination of your employment, then the Company shall pay to you your monthly premium under COBRA on a monthly basis until the earlier of (x) twelve (12) months following the effective termination date, or (y) the date upon which you commence full-time employment (or employment that provides you with eligibility for healthcare benefits substantially comparable to those provided by the Company) with an entity other than the Company; and (iii) full vesting of all outstanding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57720" cy="698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46" w:name="page547"/>
    <w:bookmarkEnd w:id="546"/>
    <w:p>
      <w:pPr>
        <w:ind w:left="1060"/>
        <w:spacing w:after="0"/>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i w:val="1"/>
          <w:iCs w:val="1"/>
          <w:color w:val="auto"/>
        </w:rPr>
        <w:t>Termination for Cause.</w:t>
      </w:r>
      <w:r>
        <w:rPr>
          <w:rFonts w:ascii="Times New Roman" w:cs="Times New Roman" w:eastAsia="Times New Roman" w:hAnsi="Times New Roman"/>
          <w:sz w:val="14"/>
          <w:szCs w:val="14"/>
          <w:color w:val="auto"/>
        </w:rPr>
        <w:t xml:space="preserve"> If the Company terminates your employment for Cause, at any time, then you will receive no additional compensation other than the Accrued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Benefits.</w:t>
      </w:r>
    </w:p>
    <w:p>
      <w:pPr>
        <w:spacing w:after="0" w:line="16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 xml:space="preserve">d.               </w:t>
      </w:r>
      <w:r>
        <w:rPr>
          <w:rFonts w:ascii="Times New Roman" w:cs="Times New Roman" w:eastAsia="Times New Roman" w:hAnsi="Times New Roman"/>
          <w:sz w:val="14"/>
          <w:szCs w:val="14"/>
          <w:i w:val="1"/>
          <w:iCs w:val="1"/>
          <w:color w:val="auto"/>
        </w:rPr>
        <w:t>Termination for Death or Disability.</w:t>
      </w:r>
      <w:r>
        <w:rPr>
          <w:rFonts w:ascii="Times New Roman" w:cs="Times New Roman" w:eastAsia="Times New Roman" w:hAnsi="Times New Roman"/>
          <w:sz w:val="14"/>
          <w:szCs w:val="14"/>
          <w:color w:val="auto"/>
        </w:rPr>
        <w:t xml:space="preserve"> If your employment terminates because of your death or Disability, then you will receive the Accrued Benefits and no other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amounts.</w:t>
      </w:r>
    </w:p>
    <w:p>
      <w:pPr>
        <w:spacing w:after="0" w:line="162" w:lineRule="exact"/>
        <w:rPr>
          <w:sz w:val="20"/>
          <w:szCs w:val="20"/>
          <w:color w:val="auto"/>
        </w:rPr>
      </w:pPr>
    </w:p>
    <w:p>
      <w:pPr>
        <w:jc w:val="both"/>
        <w:ind w:firstLine="1055"/>
        <w:spacing w:after="0" w:line="253" w:lineRule="auto"/>
        <w:rPr>
          <w:sz w:val="20"/>
          <w:szCs w:val="20"/>
          <w:color w:val="auto"/>
        </w:rPr>
      </w:pPr>
      <w:r>
        <w:rPr>
          <w:rFonts w:ascii="Times New Roman" w:cs="Times New Roman" w:eastAsia="Times New Roman" w:hAnsi="Times New Roman"/>
          <w:sz w:val="15"/>
          <w:szCs w:val="15"/>
          <w:color w:val="auto"/>
        </w:rPr>
        <w:t xml:space="preserve">e.               </w:t>
      </w:r>
      <w:r>
        <w:rPr>
          <w:rFonts w:ascii="Times New Roman" w:cs="Times New Roman" w:eastAsia="Times New Roman" w:hAnsi="Times New Roman"/>
          <w:sz w:val="15"/>
          <w:szCs w:val="15"/>
          <w:i w:val="1"/>
          <w:iCs w:val="1"/>
          <w:color w:val="auto"/>
        </w:rPr>
        <w:t>Release.</w:t>
      </w:r>
      <w:r>
        <w:rPr>
          <w:rFonts w:ascii="Times New Roman" w:cs="Times New Roman" w:eastAsia="Times New Roman" w:hAnsi="Times New Roman"/>
          <w:sz w:val="15"/>
          <w:szCs w:val="15"/>
          <w:color w:val="auto"/>
        </w:rPr>
        <w:t xml:space="preserve"> Eligibility for receipt of the items in </w:t>
      </w:r>
      <w:r>
        <w:rPr>
          <w:rFonts w:ascii="Times New Roman" w:cs="Times New Roman" w:eastAsia="Times New Roman" w:hAnsi="Times New Roman"/>
          <w:sz w:val="15"/>
          <w:szCs w:val="15"/>
          <w:u w:val="single" w:color="auto"/>
          <w:color w:val="auto"/>
        </w:rPr>
        <w:t>Sections 8(a)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(other than the Accrued Benefits) shall be conditioned on your (i) returning to the Company promptly upon the termination of your employment all of its property, including confidential information and all electronically stored information, and (i) signing and not revoking a release of any and all claims, in a form acceptable to the Company (which release shall be provided to you by the Company within 7 days of your employment termination date),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such release shall contain the following provisions in substantially the following form:</w:t>
      </w:r>
    </w:p>
    <w:p>
      <w:pPr>
        <w:spacing w:after="0" w:line="154" w:lineRule="exact"/>
        <w:rPr>
          <w:sz w:val="20"/>
          <w:szCs w:val="20"/>
          <w:color w:val="auto"/>
        </w:rPr>
      </w:pPr>
    </w:p>
    <w:p>
      <w:pPr>
        <w:jc w:val="both"/>
        <w:ind w:firstLine="1582"/>
        <w:spacing w:after="0" w:line="250" w:lineRule="auto"/>
        <w:rPr>
          <w:sz w:val="20"/>
          <w:szCs w:val="20"/>
          <w:color w:val="auto"/>
        </w:rPr>
      </w:pPr>
      <w:r>
        <w:rPr>
          <w:rFonts w:ascii="Times New Roman" w:cs="Times New Roman" w:eastAsia="Times New Roman" w:hAnsi="Times New Roman"/>
          <w:sz w:val="15"/>
          <w:szCs w:val="15"/>
          <w:color w:val="auto"/>
        </w:rPr>
        <w:t>  (i)           For a period of one year following such termination of employment, you agree that you shall not, directly or indirectly, individually or on behalf of any other person, firm, corporation or other entity, solicit, aid or induce any employee of the Company to leave such employment or to accept employment with any other person, firm, corporation or other entity unaffiliated with the Company or hire any such employee or take any action to materially assist or aid any other person, firm, corporation or other entity in identifying, hiring or soliciting any such employee. This paragraph shall not be violated by (1) general advertising or solicitation not specifically targeted at Company-related persons or entities or (2) you serving as a reference, upon request, for any employee of the Company, other than such a reference to a company with whom you are then affiliated; and</w:t>
      </w:r>
    </w:p>
    <w:p>
      <w:pPr>
        <w:spacing w:after="0" w:line="156" w:lineRule="exact"/>
        <w:rPr>
          <w:sz w:val="20"/>
          <w:szCs w:val="20"/>
          <w:color w:val="auto"/>
        </w:rPr>
      </w:pPr>
    </w:p>
    <w:p>
      <w:pPr>
        <w:jc w:val="both"/>
        <w:ind w:firstLine="1582"/>
        <w:spacing w:after="0" w:line="250" w:lineRule="auto"/>
        <w:rPr>
          <w:sz w:val="20"/>
          <w:szCs w:val="20"/>
          <w:color w:val="auto"/>
        </w:rPr>
      </w:pPr>
      <w:r>
        <w:rPr>
          <w:rFonts w:ascii="Times New Roman" w:cs="Times New Roman" w:eastAsia="Times New Roman" w:hAnsi="Times New Roman"/>
          <w:sz w:val="15"/>
          <w:szCs w:val="15"/>
          <w:color w:val="auto"/>
        </w:rPr>
        <w:t>  (ii)          You agree that for the 3-year period following such termination of employment, you shall not, directly or indirectly, orally, in writing or through any medium (including, but not limited to, the press or other media, computer networks or bulletin boards, or any other form of communication) will disparage or defame the goodwill or reputation of the Company or its directors, officers, stockholders, agents and/or employees. Nothing herein shall prohibit you (1) from disclosing that you are no longer employed by the Company, (2) from responding truthfully to any governmental investigation or inquiry by a governmental entity or any other law, subpoena, court order or other compulsory legal process or (3) from rebutting in good faith statements made by the Company that are untrue or misleading.</w:t>
      </w:r>
    </w:p>
    <w:p>
      <w:pPr>
        <w:spacing w:after="0" w:line="154" w:lineRule="exact"/>
        <w:rPr>
          <w:sz w:val="20"/>
          <w:szCs w:val="20"/>
          <w:color w:val="auto"/>
        </w:rPr>
      </w:pPr>
    </w:p>
    <w:p>
      <w:pPr>
        <w:jc w:val="both"/>
        <w:ind w:firstLine="1055"/>
        <w:spacing w:after="0" w:line="268" w:lineRule="auto"/>
        <w:rPr>
          <w:sz w:val="20"/>
          <w:szCs w:val="20"/>
          <w:color w:val="auto"/>
        </w:rPr>
      </w:pPr>
      <w:r>
        <w:rPr>
          <w:rFonts w:ascii="Times New Roman" w:cs="Times New Roman" w:eastAsia="Times New Roman" w:hAnsi="Times New Roman"/>
          <w:sz w:val="14"/>
          <w:szCs w:val="14"/>
          <w:color w:val="auto"/>
        </w:rPr>
        <w:t xml:space="preserve">f.               </w:t>
      </w:r>
      <w:r>
        <w:rPr>
          <w:rFonts w:ascii="Times New Roman" w:cs="Times New Roman" w:eastAsia="Times New Roman" w:hAnsi="Times New Roman"/>
          <w:sz w:val="14"/>
          <w:szCs w:val="14"/>
          <w:i w:val="1"/>
          <w:iCs w:val="1"/>
          <w:color w:val="auto"/>
        </w:rPr>
        <w:t>Code Section 280G</w:t>
      </w:r>
      <w:r>
        <w:rPr>
          <w:rFonts w:ascii="Times New Roman" w:cs="Times New Roman" w:eastAsia="Times New Roman" w:hAnsi="Times New Roman"/>
          <w:sz w:val="14"/>
          <w:szCs w:val="14"/>
          <w:color w:val="auto"/>
        </w:rPr>
        <w:t>. If any of the payments or benefits received or to be received by you (including, without limitation, any payment or benefits received in connection with a change in control or your termination of employment, whether pursuant to the terms of this Agreement or any other plan, arrangement or agreement, or otherwise (the “</w:t>
      </w:r>
      <w:r>
        <w:rPr>
          <w:rFonts w:ascii="Times New Roman" w:cs="Times New Roman" w:eastAsia="Times New Roman" w:hAnsi="Times New Roman"/>
          <w:sz w:val="14"/>
          <w:szCs w:val="14"/>
          <w:b w:val="1"/>
          <w:bCs w:val="1"/>
          <w:color w:val="auto"/>
        </w:rPr>
        <w:t>Benefit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14"/>
          <w:szCs w:val="14"/>
          <w:color w:val="auto"/>
        </w:rPr>
        <w:t>”)) (all such payments collectively referred to herein as the “</w:t>
      </w:r>
      <w:r>
        <w:rPr>
          <w:rFonts w:ascii="Times New Roman" w:cs="Times New Roman" w:eastAsia="Times New Roman" w:hAnsi="Times New Roman"/>
          <w:sz w:val="14"/>
          <w:szCs w:val="14"/>
          <w:b w:val="1"/>
          <w:bCs w:val="1"/>
          <w:color w:val="auto"/>
        </w:rPr>
        <w:t>280G Payments</w:t>
      </w:r>
      <w:r>
        <w:rPr>
          <w:rFonts w:ascii="Times New Roman" w:cs="Times New Roman" w:eastAsia="Times New Roman" w:hAnsi="Times New Roman"/>
          <w:sz w:val="14"/>
          <w:szCs w:val="14"/>
          <w:color w:val="auto"/>
        </w:rPr>
        <w:t>”) constitute “parachute payments” within the meaning of Section 280G of the Internal Revenue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Code (the “</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 and would, but for this Section 8(f), be subject to the excise tax imposed under Code Section 4999, then such 280G Payments shall be reduced by the Company (by the minimum possible amounts) by first reducing or eliminating payments which are payable in cash and then by reducing or eliminating payments, rights and benefits which are not payable in cash, in each case in reverse order beginning with payments, rights or benefits which are to be paid the farthest in time from the change in control so that you will not be considered to have received a parachute payment, unless you would receive a greater after-tax amount by receiving all such 280G Payments without reduction pursuant to the foregoing provisions of this sentence. If two economically equivalent amounts are subject to reduction but are payable at different times, the amounts shall be reduced (but not below zero) on a pro-rata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57720" cy="698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47" w:name="page548"/>
    <w:bookmarkEnd w:id="547"/>
    <w:p>
      <w:pPr>
        <w:jc w:val="both"/>
        <w:ind w:firstLine="527"/>
        <w:spacing w:after="0" w:line="257" w:lineRule="auto"/>
        <w:rPr>
          <w:sz w:val="20"/>
          <w:szCs w:val="20"/>
          <w:color w:val="auto"/>
        </w:rPr>
      </w:pPr>
      <w:r>
        <w:rPr>
          <w:rFonts w:ascii="Times New Roman" w:cs="Times New Roman" w:eastAsia="Times New Roman" w:hAnsi="Times New Roman"/>
          <w:sz w:val="15"/>
          <w:szCs w:val="15"/>
          <w:color w:val="auto"/>
        </w:rPr>
        <w:t>9.            </w:t>
      </w:r>
      <w:r>
        <w:rPr>
          <w:rFonts w:ascii="Times New Roman" w:cs="Times New Roman" w:eastAsia="Times New Roman" w:hAnsi="Times New Roman"/>
          <w:sz w:val="15"/>
          <w:szCs w:val="15"/>
          <w:u w:val="single" w:color="auto"/>
          <w:color w:val="auto"/>
        </w:rPr>
        <w:t>  Employee Confidentiality Agreement</w:t>
      </w:r>
      <w:r>
        <w:rPr>
          <w:rFonts w:ascii="Times New Roman" w:cs="Times New Roman" w:eastAsia="Times New Roman" w:hAnsi="Times New Roman"/>
          <w:sz w:val="15"/>
          <w:szCs w:val="15"/>
          <w:color w:val="auto"/>
        </w:rPr>
        <w:t>. As an employee of the Company, you have and will have access to certain Company and third-party confidential information and you may during the course of your employment develop certain information or inventions, which will be the property of the Company. To protect the interest of the Company, you will sign a “Confidentiality and Proprietary Rights Agreement” as a condition of your employment, which shall remain in effect by its terms.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10.          </w:t>
      </w:r>
      <w:r>
        <w:rPr>
          <w:rFonts w:ascii="Times New Roman" w:cs="Times New Roman" w:eastAsia="Times New Roman" w:hAnsi="Times New Roman"/>
          <w:sz w:val="15"/>
          <w:szCs w:val="15"/>
          <w:u w:val="single" w:color="auto"/>
          <w:color w:val="auto"/>
        </w:rPr>
        <w:t>  Delayed Commencement Date for Payments and Benefits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both"/>
        <w:ind w:firstLine="1055"/>
        <w:spacing w:after="0" w:line="248" w:lineRule="auto"/>
        <w:rPr>
          <w:sz w:val="20"/>
          <w:szCs w:val="20"/>
          <w:color w:val="auto"/>
        </w:rPr>
      </w:pPr>
      <w:r>
        <w:rPr>
          <w:rFonts w:ascii="Times New Roman" w:cs="Times New Roman" w:eastAsia="Times New Roman" w:hAnsi="Times New Roman"/>
          <w:sz w:val="15"/>
          <w:szCs w:val="15"/>
          <w:color w:val="auto"/>
        </w:rPr>
        <w:t>a.              The intent of the parties is that payments and benefits under this letter agreement comply with, or be exempt from, Code Section 409A and the regulations and guidance promulgated thereunder (collectively “</w:t>
      </w:r>
      <w:r>
        <w:rPr>
          <w:rFonts w:ascii="Times New Roman" w:cs="Times New Roman" w:eastAsia="Times New Roman" w:hAnsi="Times New Roman"/>
          <w:sz w:val="15"/>
          <w:szCs w:val="15"/>
          <w:b w:val="1"/>
          <w:bCs w:val="1"/>
          <w:color w:val="auto"/>
        </w:rPr>
        <w:t>Code Section 409A</w:t>
      </w:r>
      <w:r>
        <w:rPr>
          <w:rFonts w:ascii="Times New Roman" w:cs="Times New Roman" w:eastAsia="Times New Roman" w:hAnsi="Times New Roman"/>
          <w:sz w:val="15"/>
          <w:szCs w:val="15"/>
          <w:color w:val="auto"/>
        </w:rPr>
        <w:t>”) and, accordingly, to the maximum extent permitted, this letter agreement shall be interpreted to be in compliance therewith or exempt therefrom. If you notify the Company (with specificity as to the reason therefor) that you believe that any provision of this letter agreement (or of any award of compensation, including equity compensation or benefits) would cause you to incur any additional tax or interest under Code Section 409A and the Company concurs with such belief or the Company independently makes such determination, the Company shall, after consulting with you, reform such provision to try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you and the Company of the applicable provision without violating the provisions of Code Section 409A.</w:t>
      </w:r>
    </w:p>
    <w:p>
      <w:pPr>
        <w:spacing w:after="0" w:line="156" w:lineRule="exact"/>
        <w:rPr>
          <w:sz w:val="20"/>
          <w:szCs w:val="20"/>
          <w:color w:val="auto"/>
        </w:rPr>
      </w:pPr>
    </w:p>
    <w:p>
      <w:pPr>
        <w:jc w:val="both"/>
        <w:ind w:firstLine="1055"/>
        <w:spacing w:after="0" w:line="266" w:lineRule="auto"/>
        <w:rPr>
          <w:sz w:val="20"/>
          <w:szCs w:val="20"/>
          <w:color w:val="auto"/>
        </w:rPr>
      </w:pPr>
      <w:r>
        <w:rPr>
          <w:rFonts w:ascii="Times New Roman" w:cs="Times New Roman" w:eastAsia="Times New Roman" w:hAnsi="Times New Roman"/>
          <w:sz w:val="14"/>
          <w:szCs w:val="14"/>
          <w:color w:val="auto"/>
        </w:rPr>
        <w:t xml:space="preserve">b.              A termination of employment shall not be deemed to have occurred for purposes of any provision of this letter agreement providing for the payment of any amounts or benefits upon or following a termination of employment that are considered “nonqualified deferred compensation” under Code Section 409A unless such termination is also a “separation from service” within the meaning of Code Section 409A and, for purposes of any such provision of this letter agreement, references to a “termination,” “termination of employment” or like terms shall mean “separation from service.” Notwithstanding any provision to the contrary in this letter agreement, no payments or benefits that are considered “nonqualified deferred compensation” under Code Section 409A to which you otherwise become entitled under this letter agreement in connection with your termination of employment, shall be made or provided to you prior to the earlier of (i) the expiration of the six 6 month period measured from the date of your “separation from service” with the Company (as such term is defined in Code Section 409A) or (ii) the date of your death, if you are deemed at the time of such separation from service to be a “specified employee” under Code Section 409A and if, in the absence of such delay, the payments would be subject to additional tax under Code Section 409A. Upon the expiration of the applicable Code Section 409A (a)(2) deferral period, all payments and benefits deferred pursuant to this </w:t>
      </w:r>
      <w:r>
        <w:rPr>
          <w:rFonts w:ascii="Times New Roman" w:cs="Times New Roman" w:eastAsia="Times New Roman" w:hAnsi="Times New Roman"/>
          <w:sz w:val="14"/>
          <w:szCs w:val="14"/>
          <w:u w:val="single" w:color="auto"/>
          <w:color w:val="auto"/>
        </w:rPr>
        <w:t>Section 10(b)</w:t>
      </w:r>
      <w:r>
        <w:rPr>
          <w:rFonts w:ascii="Times New Roman" w:cs="Times New Roman" w:eastAsia="Times New Roman" w:hAnsi="Times New Roman"/>
          <w:sz w:val="14"/>
          <w:szCs w:val="14"/>
          <w:color w:val="auto"/>
        </w:rPr>
        <w:t xml:space="preserve"> (whether they would have otherwise been payable in a single sum or in installments in the absence of such deferral) shall be paid or reimbursed to you in a lump sum, and any remaining payments and benefits due under this letter agreement shall be paid or provided in accordance with the normal payment dates specified for them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57720" cy="698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48" w:name="page549"/>
    <w:bookmarkEnd w:id="548"/>
    <w:p>
      <w:pPr>
        <w:jc w:val="both"/>
        <w:ind w:firstLine="1055"/>
        <w:spacing w:after="0" w:line="249" w:lineRule="auto"/>
        <w:rPr>
          <w:sz w:val="20"/>
          <w:szCs w:val="20"/>
          <w:color w:val="auto"/>
        </w:rPr>
      </w:pPr>
      <w:r>
        <w:rPr>
          <w:rFonts w:ascii="Times New Roman" w:cs="Times New Roman" w:eastAsia="Times New Roman" w:hAnsi="Times New Roman"/>
          <w:sz w:val="15"/>
          <w:szCs w:val="15"/>
          <w:color w:val="auto"/>
        </w:rPr>
        <w:t xml:space="preserve">c.               All expenses or other reimbursements under this letter agreement shall be made promptly following submission of required documentation, and in any case on or prior to the last day of the taxable year following the taxable year in which such expenses were incurred by you (provided that if any such reimbursements constitute taxable income to you, such reimbursements shall be paid no later than March 15th of the calendar year following the calendar year in which the expenses to be reimbursed were incurred), and (i) the right to reimbursement or in-kind benefits shall not be subject to liquidation or exchange for another benefit and (ii) no such reimbursement or expenses eligible for reimbursement in any taxable year shall in any way affect the expenses eligible for reimbursement in any other taxable year,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foregoing clause (iii) shall not be violated with regard to expenses reimbursed under any arrangement covered by Code Section 105(b) solely because such expenses are subject to a limit related to the period the arrangement is in effect.</w:t>
      </w:r>
    </w:p>
    <w:p>
      <w:pPr>
        <w:spacing w:after="0" w:line="157" w:lineRule="exact"/>
        <w:rPr>
          <w:sz w:val="20"/>
          <w:szCs w:val="20"/>
          <w:color w:val="auto"/>
        </w:rPr>
      </w:pPr>
    </w:p>
    <w:p>
      <w:pPr>
        <w:jc w:val="both"/>
        <w:ind w:firstLine="1055"/>
        <w:spacing w:after="0" w:line="250" w:lineRule="auto"/>
        <w:rPr>
          <w:sz w:val="20"/>
          <w:szCs w:val="20"/>
          <w:color w:val="auto"/>
        </w:rPr>
      </w:pPr>
      <w:r>
        <w:rPr>
          <w:rFonts w:ascii="Times New Roman" w:cs="Times New Roman" w:eastAsia="Times New Roman" w:hAnsi="Times New Roman"/>
          <w:sz w:val="15"/>
          <w:szCs w:val="15"/>
          <w:color w:val="auto"/>
        </w:rPr>
        <w:t xml:space="preserve">d.               For purposes of Code Section 409A, your right to receive any installment payment pursuant to this letter agreement shall be treated as a right to receive a series of separate and distinct payments. Whenever a payment under this letter agreement specifies a payment period with reference to a number of days </w:t>
      </w:r>
      <w:r>
        <w:rPr>
          <w:rFonts w:ascii="Times New Roman" w:cs="Times New Roman" w:eastAsia="Times New Roman" w:hAnsi="Times New Roman"/>
          <w:sz w:val="15"/>
          <w:szCs w:val="15"/>
          <w:u w:val="single" w:color="auto"/>
          <w:color w:val="auto"/>
        </w:rPr>
        <w:t>(e.g.,</w:t>
      </w:r>
      <w:r>
        <w:rPr>
          <w:rFonts w:ascii="Times New Roman" w:cs="Times New Roman" w:eastAsia="Times New Roman" w:hAnsi="Times New Roman"/>
          <w:sz w:val="15"/>
          <w:szCs w:val="15"/>
          <w:color w:val="auto"/>
        </w:rPr>
        <w:t xml:space="preserve"> “payment shall be made within 30 days following the date of termination”), the actual date of payment within the specified period shall be within the sole discretion of the Company. Notwithstanding any other provision of this letter agreement to the contrary, in no event shall any payment under this letter agreement that constitutes “nonqualified deferred compensation” for purposes of Code Section 409A be subject to offset, counterclaim or recoupment by any other amount payable to you unless otherwise permitted by Code Section 409A.</w:t>
      </w:r>
    </w:p>
    <w:p>
      <w:pPr>
        <w:spacing w:after="0" w:line="156" w:lineRule="exact"/>
        <w:rPr>
          <w:sz w:val="20"/>
          <w:szCs w:val="20"/>
          <w:color w:val="auto"/>
        </w:rPr>
      </w:pPr>
    </w:p>
    <w:p>
      <w:pPr>
        <w:jc w:val="both"/>
        <w:ind w:firstLine="535"/>
        <w:spacing w:after="0" w:line="248" w:lineRule="auto"/>
        <w:tabs>
          <w:tab w:leader="none" w:pos="753"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auto"/>
        </w:rPr>
        <w:t>  Resolution of Disputes</w:t>
      </w:r>
      <w:r>
        <w:rPr>
          <w:rFonts w:ascii="Times New Roman" w:cs="Times New Roman" w:eastAsia="Times New Roman" w:hAnsi="Times New Roman"/>
          <w:sz w:val="15"/>
          <w:szCs w:val="15"/>
          <w:color w:val="auto"/>
        </w:rPr>
        <w:t>. Any controversy or claim arising out of or relating to your employment, this letter agreement, its enforcement or interpretation, or because of an alleged breach, default, or misrepresentation in connection with any of its provisions, shall be submitted to arbitration in New York, NY before a single arbitrator (applying New York law), in accordance with the National Rules for the Resolution of Employment Disputes then in effect of the American Arbitration Association (“</w:t>
      </w:r>
      <w:r>
        <w:rPr>
          <w:rFonts w:ascii="Times New Roman" w:cs="Times New Roman" w:eastAsia="Times New Roman" w:hAnsi="Times New Roman"/>
          <w:sz w:val="15"/>
          <w:szCs w:val="15"/>
          <w:b w:val="1"/>
          <w:bCs w:val="1"/>
          <w:color w:val="auto"/>
        </w:rPr>
        <w:t>AAA</w:t>
      </w:r>
      <w:r>
        <w:rPr>
          <w:rFonts w:ascii="Times New Roman" w:cs="Times New Roman" w:eastAsia="Times New Roman" w:hAnsi="Times New Roman"/>
          <w:sz w:val="15"/>
          <w:szCs w:val="15"/>
          <w:color w:val="auto"/>
        </w:rPr>
        <w:t xml:space="preserve">”) as modified by the terms and conditions of this </w:t>
      </w:r>
      <w:r>
        <w:rPr>
          <w:rFonts w:ascii="Times New Roman" w:cs="Times New Roman" w:eastAsia="Times New Roman" w:hAnsi="Times New Roman"/>
          <w:sz w:val="15"/>
          <w:szCs w:val="15"/>
          <w:u w:val="single" w:color="auto"/>
          <w:color w:val="auto"/>
        </w:rPr>
        <w:t>Section 11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 however,</w:t>
      </w:r>
      <w:r>
        <w:rPr>
          <w:rFonts w:ascii="Times New Roman" w:cs="Times New Roman" w:eastAsia="Times New Roman" w:hAnsi="Times New Roman"/>
          <w:sz w:val="15"/>
          <w:szCs w:val="15"/>
          <w:color w:val="auto"/>
        </w:rPr>
        <w:t xml:space="preserve"> that provisional injunctive relief may, but need not, be sought in a court of law while arbitration proceedings are pending, and any provisional injunctive relief granted by such court shall remain effective until the underlying matter is finally determined by the arbitrator. The arbitrator shall be selected by mutual agreement of the parties or, if the parties cannot agree, by striking from a list of arbitrators supplied by AAA. The arbitrator shall issue a written opinion revealing, however briefly, the essential findings and conclusions upon which the award is based. Final resolution of any dispute through arbitration may include any remedy or relief which the arbitrator deems just and equitable. Any award or relief granted by the arbitrator hereunder shall be final and binding on the parties hereto and may be enforced by any court of competent jurisdiction.</w:t>
      </w:r>
    </w:p>
    <w:p>
      <w:pPr>
        <w:spacing w:after="0" w:line="156" w:lineRule="exact"/>
        <w:rPr>
          <w:sz w:val="20"/>
          <w:szCs w:val="20"/>
          <w:color w:val="auto"/>
        </w:rPr>
      </w:pPr>
    </w:p>
    <w:p>
      <w:pPr>
        <w:jc w:val="both"/>
        <w:ind w:right="20" w:firstLine="527"/>
        <w:spacing w:after="0" w:line="269" w:lineRule="auto"/>
        <w:rPr>
          <w:sz w:val="20"/>
          <w:szCs w:val="20"/>
          <w:color w:val="auto"/>
        </w:rPr>
      </w:pPr>
      <w:r>
        <w:rPr>
          <w:rFonts w:ascii="Times New Roman" w:cs="Times New Roman" w:eastAsia="Times New Roman" w:hAnsi="Times New Roman"/>
          <w:sz w:val="15"/>
          <w:szCs w:val="15"/>
          <w:color w:val="auto"/>
        </w:rPr>
        <w:t>The parties acknowledge that they are hereby waiving any rights to trial by jury in any action, proceeding or counterclaim brought by either of the parties against the other in connection with any matter whatsoever arising out of or in any way connected with this letter agreement or your employment.</w:t>
      </w:r>
    </w:p>
    <w:p>
      <w:pPr>
        <w:spacing w:after="0" w:line="141" w:lineRule="exact"/>
        <w:rPr>
          <w:sz w:val="20"/>
          <w:szCs w:val="20"/>
          <w:color w:val="auto"/>
        </w:rPr>
      </w:pPr>
    </w:p>
    <w:p>
      <w:pPr>
        <w:jc w:val="both"/>
        <w:ind w:firstLine="527"/>
        <w:spacing w:after="0" w:line="252" w:lineRule="auto"/>
        <w:rPr>
          <w:sz w:val="20"/>
          <w:szCs w:val="20"/>
          <w:color w:val="auto"/>
        </w:rPr>
      </w:pPr>
      <w:r>
        <w:rPr>
          <w:rFonts w:ascii="Times New Roman" w:cs="Times New Roman" w:eastAsia="Times New Roman" w:hAnsi="Times New Roman"/>
          <w:sz w:val="15"/>
          <w:szCs w:val="15"/>
          <w:color w:val="auto"/>
        </w:rPr>
        <w:t>The Company shall be responsible for and pay the arbitrator’s fees and arbitration expenses and any other costs associated with the arbitration or arbitration hearing that are unique to arbitration. The Company and you each shall separately pay its or your own deposition, witness, expert and attorneys’ fees and other expenses as and to the same extent as if the matter were being held in court unless otherwise provided by law. The arbitrator shall have the sole and exclusive power and authority to decide any and all issues of or related to whether this letter agreement or any provision of this letter agreement is subject to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57720" cy="698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49" w:name="page550"/>
    <w:bookmarkEnd w:id="549"/>
    <w:p>
      <w:pPr>
        <w:jc w:val="both"/>
        <w:ind w:firstLine="527"/>
        <w:spacing w:after="0" w:line="257" w:lineRule="auto"/>
        <w:rPr>
          <w:sz w:val="20"/>
          <w:szCs w:val="20"/>
          <w:color w:val="auto"/>
        </w:rPr>
      </w:pPr>
      <w:r>
        <w:rPr>
          <w:rFonts w:ascii="Times New Roman" w:cs="Times New Roman" w:eastAsia="Times New Roman" w:hAnsi="Times New Roman"/>
          <w:sz w:val="15"/>
          <w:szCs w:val="15"/>
          <w:color w:val="auto"/>
        </w:rPr>
        <w:t>12.            </w:t>
      </w:r>
      <w:r>
        <w:rPr>
          <w:rFonts w:ascii="Times New Roman" w:cs="Times New Roman" w:eastAsia="Times New Roman" w:hAnsi="Times New Roman"/>
          <w:sz w:val="15"/>
          <w:szCs w:val="15"/>
          <w:u w:val="single" w:color="auto"/>
          <w:color w:val="auto"/>
        </w:rPr>
        <w:t>  No Inconsistent Obligations</w:t>
      </w:r>
      <w:r>
        <w:rPr>
          <w:rFonts w:ascii="Times New Roman" w:cs="Times New Roman" w:eastAsia="Times New Roman" w:hAnsi="Times New Roman"/>
          <w:sz w:val="15"/>
          <w:szCs w:val="15"/>
          <w:color w:val="auto"/>
        </w:rPr>
        <w:t>. By accepting this offer of employment, you represent and warrant to the Company that you are under no obligations or commitments, whether contractual or otherwise, that are inconsistent with your obligations set forth in this letter agreement or that would be violated by your employment by the Company. You agree that you will not take any action on behalf of the Company or cause the Company to take any action that will violate any agreement that you have with a prior employer.</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13.            </w:t>
      </w:r>
      <w:r>
        <w:rPr>
          <w:rFonts w:ascii="Times New Roman" w:cs="Times New Roman" w:eastAsia="Times New Roman" w:hAnsi="Times New Roman"/>
          <w:sz w:val="15"/>
          <w:szCs w:val="15"/>
          <w:u w:val="single" w:color="auto"/>
          <w:color w:val="auto"/>
        </w:rPr>
        <w:t>  Miscellaneous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   a.               This letter agreement may be executed in several counterparts, each of which shall be deemed to be an original but all of which together will constitute one and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same instrument.</w:t>
      </w:r>
    </w:p>
    <w:p>
      <w:pPr>
        <w:spacing w:after="0" w:line="164" w:lineRule="exact"/>
        <w:rPr>
          <w:sz w:val="20"/>
          <w:szCs w:val="20"/>
          <w:color w:val="auto"/>
        </w:rPr>
      </w:pPr>
    </w:p>
    <w:p>
      <w:pPr>
        <w:jc w:val="both"/>
        <w:ind w:firstLine="1055"/>
        <w:spacing w:after="0" w:line="257" w:lineRule="auto"/>
        <w:rPr>
          <w:sz w:val="20"/>
          <w:szCs w:val="20"/>
          <w:color w:val="auto"/>
        </w:rPr>
      </w:pPr>
      <w:r>
        <w:rPr>
          <w:rFonts w:ascii="Times New Roman" w:cs="Times New Roman" w:eastAsia="Times New Roman" w:hAnsi="Times New Roman"/>
          <w:sz w:val="15"/>
          <w:szCs w:val="15"/>
          <w:color w:val="auto"/>
        </w:rPr>
        <w:t>   b.               Neither this letter agreement nor any of your rights or obligations hereunder shall be assignable by you. The Company may assign this letter agreement or any of its obligations hereunder to any subsidiary of the Company, or to any successor (whether by merger, purchase or otherwise) to all or substantially all of the equity, assets or businesses of the Company. This letter agreement is intended to bind and inure to the benefit of and be enforceable to you and the Company and its permitted successors and assigns.</w:t>
      </w:r>
    </w:p>
    <w:p>
      <w:pPr>
        <w:spacing w:after="0" w:line="149" w:lineRule="exact"/>
        <w:rPr>
          <w:sz w:val="20"/>
          <w:szCs w:val="20"/>
          <w:color w:val="auto"/>
        </w:rPr>
      </w:pPr>
    </w:p>
    <w:p>
      <w:pPr>
        <w:jc w:val="both"/>
        <w:ind w:firstLine="1055"/>
        <w:spacing w:after="0" w:line="284" w:lineRule="auto"/>
        <w:rPr>
          <w:sz w:val="20"/>
          <w:szCs w:val="20"/>
          <w:color w:val="auto"/>
        </w:rPr>
      </w:pPr>
      <w:r>
        <w:rPr>
          <w:rFonts w:ascii="Times New Roman" w:cs="Times New Roman" w:eastAsia="Times New Roman" w:hAnsi="Times New Roman"/>
          <w:sz w:val="14"/>
          <w:szCs w:val="14"/>
          <w:color w:val="auto"/>
        </w:rPr>
        <w:t>   c.               No provision of this letter agreement may be modified, waived or discharged unless such waiver, modification or discharge is agreed to in writing and signed by you and such officer or director as may be designated by the Board. No waiver by either party hereto at any time of any breach by the other party hereto of, or compliance with, any condition or provision of this letter agreement to be performed by such other party shall be deemed a waiver of similar or dissimilar provisions or conditions at the same or at any prior or subsequent time.</w:t>
      </w:r>
    </w:p>
    <w:p>
      <w:pPr>
        <w:spacing w:after="0" w:line="132" w:lineRule="exact"/>
        <w:rPr>
          <w:sz w:val="20"/>
          <w:szCs w:val="20"/>
          <w:color w:val="auto"/>
        </w:rPr>
      </w:pPr>
    </w:p>
    <w:p>
      <w:pPr>
        <w:jc w:val="both"/>
        <w:ind w:firstLine="1055"/>
        <w:spacing w:after="0" w:line="269" w:lineRule="auto"/>
        <w:rPr>
          <w:sz w:val="20"/>
          <w:szCs w:val="20"/>
          <w:color w:val="auto"/>
        </w:rPr>
      </w:pPr>
      <w:r>
        <w:rPr>
          <w:rFonts w:ascii="Times New Roman" w:cs="Times New Roman" w:eastAsia="Times New Roman" w:hAnsi="Times New Roman"/>
          <w:sz w:val="15"/>
          <w:szCs w:val="15"/>
          <w:color w:val="auto"/>
        </w:rPr>
        <w:t>  d.               The validity, interpretation, construction and performance of this letter agreement shall be governed by the laws of the State of New York without regard to the choice of law principles thereof.</w:t>
      </w:r>
    </w:p>
    <w:p>
      <w:pPr>
        <w:spacing w:after="0" w:line="1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Sincerely,</w:t>
      </w:r>
    </w:p>
    <w:p>
      <w:pPr>
        <w:spacing w:after="0" w:line="1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ZENAS BIOPHARMA</w:t>
      </w:r>
    </w:p>
    <w:p>
      <w:pPr>
        <w:spacing w:after="0" w:line="1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/s/ Leon O. Moulder,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11430</wp:posOffset>
            </wp:positionV>
            <wp:extent cx="3578860" cy="698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5"/>
          <w:szCs w:val="15"/>
          <w:color w:val="auto"/>
        </w:rPr>
        <w:t>Leon O. Moulder, Jr.</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57720" cy="698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50" w:name="page551"/>
    <w:bookmarkEnd w:id="550"/>
    <w:p>
      <w:pPr>
        <w:ind w:left="4520"/>
        <w:spacing w:after="0"/>
        <w:rPr>
          <w:sz w:val="20"/>
          <w:szCs w:val="20"/>
          <w:color w:val="auto"/>
        </w:rPr>
      </w:pPr>
      <w:r>
        <w:rPr>
          <w:rFonts w:ascii="Times New Roman" w:cs="Times New Roman" w:eastAsia="Times New Roman" w:hAnsi="Times New Roman"/>
          <w:sz w:val="15"/>
          <w:szCs w:val="15"/>
          <w:b w:val="1"/>
          <w:bCs w:val="1"/>
          <w:color w:val="auto"/>
        </w:rPr>
        <w:t>Acceptance and Acknowledgement: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confirm your acceptance of this offer by signing this letter and emailing the signed letter to Caroline Chevalier at [***] by close of business on September 22, 2023.</w:t>
      </w:r>
    </w:p>
    <w:p>
      <w:pPr>
        <w:spacing w:after="0" w:line="19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color w:val="auto"/>
        </w:rPr>
        <w:t>/s/ Tanya Zaremba Fischer,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11430</wp:posOffset>
            </wp:positionV>
            <wp:extent cx="3362960" cy="698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336296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Tanya Zaremba Fischer, M.D., Ph.D.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September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57720" cy="698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159"/>
          </w:cols>
          <w:pgMar w:left="300" w:top="760" w:right="1440" w:bottom="1440" w:gutter="0" w:footer="0" w:header="0"/>
        </w:sectPr>
      </w:pPr>
    </w:p>
    <w:bookmarkStart w:id="551" w:name="page552"/>
    <w:bookmarkEnd w:id="551"/>
    <w:p>
      <w:pPr>
        <w:jc w:val="right"/>
        <w:spacing w:after="0"/>
        <w:rPr>
          <w:sz w:val="20"/>
          <w:szCs w:val="20"/>
          <w:color w:val="auto"/>
        </w:rPr>
      </w:pPr>
      <w:r>
        <w:rPr>
          <w:rFonts w:ascii="Times New Roman" w:cs="Times New Roman" w:eastAsia="Times New Roman" w:hAnsi="Times New Roman"/>
          <w:sz w:val="15"/>
          <w:szCs w:val="15"/>
          <w:b w:val="1"/>
          <w:bCs w:val="1"/>
          <w:color w:val="auto"/>
        </w:rPr>
        <w:t>Exhibit 10.24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CONFIDENTIAL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June 29,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Via Email Delivery - Personal and Confidential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Hua Mu, M.D., Ph.D.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Dear Hua,</w:t>
      </w:r>
    </w:p>
    <w:p>
      <w:pPr>
        <w:spacing w:after="0" w:line="1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This letter agreement (the “Agreement”) summarizes the terms of your transition and separation from employment and establishes an amicable arrangement under which you release the Company from any claims, and, in return, you receive severance pay.</w:t>
      </w:r>
    </w:p>
    <w:p>
      <w:pPr>
        <w:spacing w:after="0" w:line="139" w:lineRule="exact"/>
        <w:rPr>
          <w:sz w:val="20"/>
          <w:szCs w:val="20"/>
          <w:color w:val="auto"/>
        </w:rPr>
      </w:pPr>
    </w:p>
    <w:p>
      <w:pPr>
        <w:ind w:firstLine="527"/>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This Agreement should be reviewed by you at your leisure but must be executed by you and returned to the Company no later than July 20, 2023. </w:t>
      </w:r>
      <w:r>
        <w:rPr>
          <w:rFonts w:ascii="Times New Roman" w:cs="Times New Roman" w:eastAsia="Times New Roman" w:hAnsi="Times New Roman"/>
          <w:sz w:val="15"/>
          <w:szCs w:val="15"/>
          <w:color w:val="auto"/>
        </w:rPr>
        <w:t>Please do not hesitate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contact me with any questions after you have had a chance to review it.</w:t>
      </w:r>
    </w:p>
    <w:p>
      <w:pPr>
        <w:spacing w:after="0" w:line="136" w:lineRule="exact"/>
        <w:rPr>
          <w:sz w:val="20"/>
          <w:szCs w:val="20"/>
          <w:color w:val="auto"/>
        </w:rPr>
      </w:pPr>
    </w:p>
    <w:p>
      <w:pPr>
        <w:ind w:left="540" w:hanging="532"/>
        <w:spacing w:after="0"/>
        <w:tabs>
          <w:tab w:leader="none" w:pos="540" w:val="left"/>
        </w:tabs>
        <w:numPr>
          <w:ilvl w:val="0"/>
          <w:numId w:val="32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Employment Status; Transition Period; Final Payments; Benefits Cessation</w:t>
      </w:r>
      <w:r>
        <w:rPr>
          <w:rFonts w:ascii="Times New Roman" w:cs="Times New Roman" w:eastAsia="Times New Roman" w:hAnsi="Times New Roman"/>
          <w:sz w:val="15"/>
          <w:szCs w:val="15"/>
          <w:b w:val="1"/>
          <w:bCs w:val="1"/>
          <w:color w:val="auto"/>
        </w:rPr>
        <w:t>:</w:t>
      </w:r>
    </w:p>
    <w:p>
      <w:pPr>
        <w:spacing w:after="0" w:line="181" w:lineRule="exact"/>
        <w:rPr>
          <w:rFonts w:ascii="Times New Roman" w:cs="Times New Roman" w:eastAsia="Times New Roman" w:hAnsi="Times New Roman"/>
          <w:sz w:val="15"/>
          <w:szCs w:val="15"/>
          <w:b w:val="1"/>
          <w:bCs w:val="1"/>
          <w:color w:val="auto"/>
        </w:rPr>
      </w:pPr>
    </w:p>
    <w:p>
      <w:pPr>
        <w:jc w:val="both"/>
        <w:ind w:firstLine="535"/>
        <w:spacing w:after="0" w:line="267" w:lineRule="auto"/>
        <w:tabs>
          <w:tab w:leader="none" w:pos="763" w:val="left"/>
        </w:tabs>
        <w:numPr>
          <w:ilvl w:val="1"/>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Employment Status and Transition Period</w:t>
      </w:r>
      <w:r>
        <w:rPr>
          <w:rFonts w:ascii="Times New Roman" w:cs="Times New Roman" w:eastAsia="Times New Roman" w:hAnsi="Times New Roman"/>
          <w:sz w:val="14"/>
          <w:szCs w:val="14"/>
          <w:color w:val="auto"/>
        </w:rPr>
        <w:t>: Subject to your execution of this Agreement, you agree that, effective as of June 28, 2023, you shall step down as the Company’s Chief Executive Officer (“CEO”) and resign from the Company’s Board of Directors. From June 29, 2023 through December 31, 2023 (the “Separation Date”), you will remain employed by the Company as the Head of China and interim Chief Medical Officer. You will receive a base salary of $49,163 (Forty-Nine Thousand One Hundred and Sixty-Three Dollars) per month and be eligible to participate in the Company’s standard benefits. In the position of Head of China and interim Chief Medical Officer, you agree to continue to work on a full-time basis reporting to the Chief Executive Officer. During the period from June 29, 2023 through the Separation Date (the “Transition Period”), you will remain employed at-will, and will be expected to put forth your best efforts in performing all of your duties and responsibilities on behalf of the Company. In the event that you terminate your employment prior to December 31, 2023, you will not be eligible for any payments from and after the date of termination, other than the payments under Section 2(a) and the benefits under Section 2(b). In the event that the Company terminates your employment for Cause on or before December 31, 2023, you will not be eligible for any payments from and after the date of termination, including the payments and benefits provided to you in Section 2(a), (b) and (c) below and the Option Exercise Extension. Notwithstanding the foregoing, you and the Company can agree to extend the Separation Date upon mutual agreement.</w:t>
      </w:r>
    </w:p>
    <w:p>
      <w:pPr>
        <w:spacing w:after="0" w:line="145" w:lineRule="exact"/>
        <w:rPr>
          <w:rFonts w:ascii="Times New Roman" w:cs="Times New Roman" w:eastAsia="Times New Roman" w:hAnsi="Times New Roman"/>
          <w:sz w:val="14"/>
          <w:szCs w:val="14"/>
          <w:color w:val="auto"/>
        </w:rPr>
      </w:pPr>
    </w:p>
    <w:p>
      <w:pPr>
        <w:jc w:val="both"/>
        <w:ind w:firstLine="535"/>
        <w:spacing w:after="0" w:line="257" w:lineRule="auto"/>
        <w:tabs>
          <w:tab w:leader="none" w:pos="815" w:val="left"/>
        </w:tabs>
        <w:numPr>
          <w:ilvl w:val="1"/>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Final Wage Payments</w:t>
      </w:r>
      <w:r>
        <w:rPr>
          <w:rFonts w:ascii="Times New Roman" w:cs="Times New Roman" w:eastAsia="Times New Roman" w:hAnsi="Times New Roman"/>
          <w:sz w:val="15"/>
          <w:szCs w:val="15"/>
          <w:color w:val="auto"/>
        </w:rPr>
        <w:t>: As of the Separation Date, your salary shall cease and you will no longer be entitled to the payment of a base salary, bonus or any other form of compensation, except as set forth in this Agreement. On the Separation Date, the Company shall pay to you all earned but unpaid base salary and accrued but unused vacation up to the Separation Date (regardless of whether you sign this Agreement). You will receive this payment regardless of whether you execute this Agreement.</w:t>
      </w:r>
    </w:p>
    <w:p>
      <w:pPr>
        <w:spacing w:after="0" w:line="149" w:lineRule="exact"/>
        <w:rPr>
          <w:rFonts w:ascii="Times New Roman" w:cs="Times New Roman" w:eastAsia="Times New Roman" w:hAnsi="Times New Roman"/>
          <w:sz w:val="15"/>
          <w:szCs w:val="15"/>
          <w:color w:val="auto"/>
        </w:rPr>
      </w:pPr>
    </w:p>
    <w:p>
      <w:pPr>
        <w:jc w:val="both"/>
        <w:ind w:firstLine="535"/>
        <w:spacing w:after="0" w:line="257" w:lineRule="auto"/>
        <w:tabs>
          <w:tab w:leader="none" w:pos="726" w:val="left"/>
        </w:tabs>
        <w:numPr>
          <w:ilvl w:val="1"/>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Expense Reimbursement</w:t>
      </w:r>
      <w:r>
        <w:rPr>
          <w:rFonts w:ascii="Times New Roman" w:cs="Times New Roman" w:eastAsia="Times New Roman" w:hAnsi="Times New Roman"/>
          <w:sz w:val="15"/>
          <w:szCs w:val="15"/>
          <w:color w:val="auto"/>
        </w:rPr>
        <w:t>: The Company will reimburse you for appropriately documented business expenses per Company policy that you have incurred up to the Separation Date, provided that you submit all documentation of any such expenses within five days of the Separation Date and in accordance with applicable Company policy (regardless of whether you sign this Agreement).</w:t>
      </w:r>
    </w:p>
    <w:p>
      <w:pPr>
        <w:spacing w:after="0" w:line="149" w:lineRule="exact"/>
        <w:rPr>
          <w:rFonts w:ascii="Times New Roman" w:cs="Times New Roman" w:eastAsia="Times New Roman" w:hAnsi="Times New Roman"/>
          <w:sz w:val="15"/>
          <w:szCs w:val="15"/>
          <w:color w:val="auto"/>
        </w:rPr>
      </w:pPr>
    </w:p>
    <w:p>
      <w:pPr>
        <w:jc w:val="both"/>
        <w:ind w:firstLine="535"/>
        <w:spacing w:after="0" w:line="252" w:lineRule="auto"/>
        <w:tabs>
          <w:tab w:leader="none" w:pos="746" w:val="left"/>
        </w:tabs>
        <w:numPr>
          <w:ilvl w:val="1"/>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Benefits Cessation</w:t>
      </w:r>
      <w:r>
        <w:rPr>
          <w:rFonts w:ascii="Times New Roman" w:cs="Times New Roman" w:eastAsia="Times New Roman" w:hAnsi="Times New Roman"/>
          <w:sz w:val="15"/>
          <w:szCs w:val="15"/>
          <w:color w:val="auto"/>
        </w:rPr>
        <w:t>: As of the Separation Date, any entitlement you have or might have under a Company-provided benefit plan, program or practice shall terminate, except as required by law or as otherwise described below. Your rights to benefits, if any, are governed by the terms of the respective benefit plans and programs. The Separation Date shall be the date of the “qualifying event” under the Consolidated Omnibus Budget Reconciliation Act of 1985, as amended (“COBRA”). You may, upon timely completion of the required forms, continue your medical and dental insurance coverage to the extent permitted by COBRA (and will receive COBRA information under separate 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57720" cy="698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321" w:right="319" w:bottom="1440" w:gutter="0" w:footer="0" w:header="0"/>
        </w:sectPr>
      </w:pPr>
    </w:p>
    <w:bookmarkStart w:id="552" w:name="page553"/>
    <w:bookmarkEnd w:id="552"/>
    <w:p>
      <w:pPr>
        <w:ind w:firstLine="535"/>
        <w:spacing w:after="0" w:line="269" w:lineRule="auto"/>
        <w:tabs>
          <w:tab w:leader="none" w:pos="726" w:val="left"/>
        </w:tabs>
        <w:numPr>
          <w:ilvl w:val="0"/>
          <w:numId w:val="3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Unemployment</w:t>
      </w:r>
      <w:r>
        <w:rPr>
          <w:rFonts w:ascii="Times New Roman" w:cs="Times New Roman" w:eastAsia="Times New Roman" w:hAnsi="Times New Roman"/>
          <w:sz w:val="15"/>
          <w:szCs w:val="15"/>
          <w:color w:val="auto"/>
        </w:rPr>
        <w:t>: For information on unemployment benefits and to file a claim in Washington, please see WA Unemployment - How to Apply. The Company agrees that if you decide to apply for unemployment compensation benefits, it will not contest your application for such benefit, though it is not the arbiter with respect to same.</w:t>
      </w:r>
    </w:p>
    <w:p>
      <w:pPr>
        <w:spacing w:after="0" w:line="140" w:lineRule="exact"/>
        <w:rPr>
          <w:rFonts w:ascii="Times New Roman" w:cs="Times New Roman" w:eastAsia="Times New Roman" w:hAnsi="Times New Roman"/>
          <w:sz w:val="15"/>
          <w:szCs w:val="15"/>
          <w:color w:val="auto"/>
        </w:rPr>
      </w:pPr>
    </w:p>
    <w:p>
      <w:pPr>
        <w:jc w:val="both"/>
        <w:ind w:firstLine="535"/>
        <w:spacing w:after="0" w:line="270" w:lineRule="auto"/>
        <w:tabs>
          <w:tab w:leader="none" w:pos="710"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Equity</w:t>
      </w:r>
      <w:r>
        <w:rPr>
          <w:rFonts w:ascii="Times New Roman" w:cs="Times New Roman" w:eastAsia="Times New Roman" w:hAnsi="Times New Roman"/>
          <w:sz w:val="14"/>
          <w:szCs w:val="14"/>
          <w:color w:val="auto"/>
        </w:rPr>
        <w:t>: Under the terms of your existing equity award agreements and the Company’s 2020 Equity Incentive Plan, as amended (the “Equity Documents”), all unvested equity held by you will be forfeited upon termination of employment. Subject to your execution of this Agreement and provided that you remain employed through December 31, 2023 (except as otherwise provided in Section 1(a), the Company will extend your Exercise Period with respect to your vested options until the sooner of twelve months following the date of the Company’s Initial Public Offering or eighteen months following the Separation Date, whichever occurs first (the "Option Exercise Extension"). Otherwise, any vested equity held by you will remain exercisable for the earlier of three months from the last day of employment or the maximum term of the grant in accordance with the terms of the Equity Documents . If you would like to accept the Option Exercise Extension, simply sign this Agreement on the signature line at the end of the Agreement and Exhibit A on or promptly following the Separation Date.</w:t>
      </w:r>
    </w:p>
    <w:p>
      <w:pPr>
        <w:spacing w:after="0" w:line="144" w:lineRule="exact"/>
        <w:rPr>
          <w:sz w:val="20"/>
          <w:szCs w:val="20"/>
          <w:color w:val="auto"/>
        </w:rPr>
      </w:pPr>
    </w:p>
    <w:p>
      <w:pPr>
        <w:jc w:val="both"/>
        <w:ind w:firstLine="527"/>
        <w:spacing w:after="0" w:line="257" w:lineRule="auto"/>
        <w:rPr>
          <w:sz w:val="20"/>
          <w:szCs w:val="20"/>
          <w:color w:val="auto"/>
        </w:rPr>
      </w:pPr>
      <w:r>
        <w:rPr>
          <w:rFonts w:ascii="Times New Roman" w:cs="Times New Roman" w:eastAsia="Times New Roman" w:hAnsi="Times New Roman"/>
          <w:sz w:val="15"/>
          <w:szCs w:val="15"/>
          <w:color w:val="auto"/>
        </w:rPr>
        <w:t>You acknowledge that as a result of the Option Exercise Extension, if your options are incentive stock options presently, they would convert to nonqualified stock options, consistent with the Equity Documents and applicable law. You are advised to seek tax guidance from your personal tax advisors with regard to the potential change in tax treatment of your vested options (if they are incentive stock options presently) if you agree to the extension of the Exercise Period.</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Equity Documents shall otherwise remain in full force and effect.</w:t>
      </w:r>
    </w:p>
    <w:p>
      <w:pPr>
        <w:spacing w:after="0" w:line="177" w:lineRule="exact"/>
        <w:rPr>
          <w:sz w:val="20"/>
          <w:szCs w:val="20"/>
          <w:color w:val="auto"/>
        </w:rPr>
      </w:pPr>
    </w:p>
    <w:p>
      <w:pPr>
        <w:jc w:val="both"/>
        <w:ind w:firstLine="8"/>
        <w:spacing w:after="0" w:line="258" w:lineRule="auto"/>
        <w:tabs>
          <w:tab w:leader="none" w:pos="560" w:val="left"/>
        </w:tabs>
        <w:numPr>
          <w:ilvl w:val="0"/>
          <w:numId w:val="32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Consideration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 set forth in Section 8 of your Employment Agreement, in exchange for, and in consideration of, your execution of and compliance with this Agreement, including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the Certificate attached as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(the “Certificate”), and any other agreement with the Company that survives the termination of your employment, and provided this Agreement becomes effective no later than July 28, 2023, the Company will provide you with the following after the Effective Date of the Certificate (defined in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w:t>
      </w:r>
    </w:p>
    <w:p>
      <w:pPr>
        <w:spacing w:after="0" w:line="148" w:lineRule="exact"/>
        <w:rPr>
          <w:rFonts w:ascii="Times New Roman" w:cs="Times New Roman" w:eastAsia="Times New Roman" w:hAnsi="Times New Roman"/>
          <w:sz w:val="15"/>
          <w:szCs w:val="15"/>
          <w:b w:val="1"/>
          <w:bCs w:val="1"/>
          <w:color w:val="auto"/>
        </w:rPr>
      </w:pPr>
    </w:p>
    <w:p>
      <w:pPr>
        <w:jc w:val="both"/>
        <w:ind w:firstLine="535"/>
        <w:spacing w:after="0" w:line="257" w:lineRule="auto"/>
        <w:tabs>
          <w:tab w:leader="none" w:pos="1217" w:val="left"/>
        </w:tabs>
        <w:numPr>
          <w:ilvl w:val="1"/>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Severance Payment:</w:t>
      </w:r>
      <w:r>
        <w:rPr>
          <w:rFonts w:ascii="Times New Roman" w:cs="Times New Roman" w:eastAsia="Times New Roman" w:hAnsi="Times New Roman"/>
          <w:sz w:val="15"/>
          <w:szCs w:val="15"/>
          <w:color w:val="auto"/>
        </w:rPr>
        <w:t xml:space="preserve"> The Company will pay to you your base salary for the period of six months (the “Severance Period”), totaling $294,975 (Two Hundred and Ninety-Four Thousand Nine Hundred and Seventy-Five Dollars). The first payment will be made to you on the first regularly scheduled payday following the Effective Date of the Certificate, and payments thereafter shall continue on the Company’s normally scheduled payroll dates until completed.</w:t>
      </w:r>
    </w:p>
    <w:p>
      <w:pPr>
        <w:spacing w:after="0" w:line="149" w:lineRule="exact"/>
        <w:rPr>
          <w:rFonts w:ascii="Times New Roman" w:cs="Times New Roman" w:eastAsia="Times New Roman" w:hAnsi="Times New Roman"/>
          <w:sz w:val="15"/>
          <w:szCs w:val="15"/>
          <w:color w:val="auto"/>
        </w:rPr>
      </w:pPr>
    </w:p>
    <w:p>
      <w:pPr>
        <w:jc w:val="both"/>
        <w:ind w:firstLine="535"/>
        <w:spacing w:after="0" w:line="247" w:lineRule="auto"/>
        <w:tabs>
          <w:tab w:leader="none" w:pos="1137" w:val="left"/>
        </w:tabs>
        <w:numPr>
          <w:ilvl w:val="1"/>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COBRA Premium Payment</w:t>
      </w:r>
      <w:r>
        <w:rPr>
          <w:rFonts w:ascii="Times New Roman" w:cs="Times New Roman" w:eastAsia="Times New Roman" w:hAnsi="Times New Roman"/>
          <w:sz w:val="15"/>
          <w:szCs w:val="15"/>
          <w:color w:val="auto"/>
        </w:rPr>
        <w:t>: Your rights and obligations under COBRA will be explained in a separate letter to you describing your health and dental insurance continuation rights under COBRA. To continue your health and dental insurance coverage (as applicable) after the Separation Date, you must elect COBRA continuation coverage. To assist with health and dental insurance coverage, the Company will subsidize the COBRA premiums to maintain your current out-of-pocket premium expense until the earlier of (i) twelve months following the Separation Date or (b) the date upon which you commence full-time employment (or employment that provides you with eligibility for health and dental benefits substantially similar to those provided by the Company) with an entity other than the Company. You agree promptly to notify the Company should you commence such employment. Notwithstanding the foregoing, if at any time the Company determines, in its sole discretion, that subsidizing the COBRA premiums would result in a violation of the non-discrimination rules of Section 105(h)(2) of the Internal Revenue Code or any statute or regulation of similar effect (including but not limited to the 2010 Patient Protection and Affordable Care Act, as amended by the 2010 Health Care and Education Reconciliation Act), then in lieu of providing the COBRA subsidy, the Company will instead pay you a fully taxable cash payment equal to the COBRA subsidy for the period in which it was going to provide COBRA premium assistance.</w:t>
      </w:r>
    </w:p>
    <w:p>
      <w:pPr>
        <w:spacing w:after="0" w:line="160" w:lineRule="exact"/>
        <w:rPr>
          <w:rFonts w:ascii="Times New Roman" w:cs="Times New Roman" w:eastAsia="Times New Roman" w:hAnsi="Times New Roman"/>
          <w:sz w:val="15"/>
          <w:szCs w:val="15"/>
          <w:color w:val="auto"/>
        </w:rPr>
      </w:pPr>
    </w:p>
    <w:p>
      <w:pPr>
        <w:jc w:val="both"/>
        <w:ind w:firstLine="535"/>
        <w:spacing w:after="0" w:line="257" w:lineRule="auto"/>
        <w:tabs>
          <w:tab w:leader="none" w:pos="1294" w:val="left"/>
        </w:tabs>
        <w:numPr>
          <w:ilvl w:val="1"/>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Bonus</w:t>
      </w:r>
      <w:r>
        <w:rPr>
          <w:rFonts w:ascii="Times New Roman" w:cs="Times New Roman" w:eastAsia="Times New Roman" w:hAnsi="Times New Roman"/>
          <w:sz w:val="15"/>
          <w:szCs w:val="15"/>
          <w:color w:val="auto"/>
        </w:rPr>
        <w:t>: In addition to the consideration set forth in your Employment Agreement, the Company will pay you your full annual bonus for 2023 in the gross amount of $353,970 (Three Hundred and Fifty-Three Thousand Nine Hundred and Seventy Dollars), less applicable taxes and withholdings, no later than March 15, 2024 or on or around the same date that the Company pays annual bonuses to other executives of the Company.</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553" w:name="page554"/>
    <w:bookmarkEnd w:id="553"/>
    <w:p>
      <w:pPr>
        <w:jc w:val="both"/>
        <w:spacing w:after="0" w:line="258" w:lineRule="auto"/>
        <w:rPr>
          <w:sz w:val="20"/>
          <w:szCs w:val="20"/>
          <w:color w:val="auto"/>
        </w:rPr>
      </w:pPr>
      <w:r>
        <w:rPr>
          <w:rFonts w:ascii="Times New Roman" w:cs="Times New Roman" w:eastAsia="Times New Roman" w:hAnsi="Times New Roman"/>
          <w:sz w:val="15"/>
          <w:szCs w:val="15"/>
          <w:b w:val="1"/>
          <w:bCs w:val="1"/>
          <w:color w:val="auto"/>
        </w:rPr>
        <w:t>You expressly acknowledge and agree that you are not otherwise entitled to the payments and benefits provided to you in Section 2 and are being given to you solely in exchange for your promise to be bound by the terms of this Agreement. Further, should the Transition Period be mutually extended beyond December 31, 2023 the payments and benefits under Sections 2(a) and 2(b) shall be renegotiated.</w:t>
      </w:r>
    </w:p>
    <w:p>
      <w:pPr>
        <w:spacing w:after="0" w:line="147" w:lineRule="exact"/>
        <w:rPr>
          <w:sz w:val="20"/>
          <w:szCs w:val="20"/>
          <w:color w:val="auto"/>
        </w:rPr>
      </w:pPr>
    </w:p>
    <w:p>
      <w:pPr>
        <w:ind w:left="560" w:hanging="552"/>
        <w:spacing w:after="0"/>
        <w:tabs>
          <w:tab w:leader="none" w:pos="560" w:val="left"/>
        </w:tabs>
        <w:numPr>
          <w:ilvl w:val="0"/>
          <w:numId w:val="32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Taxes; Code Section 409A</w:t>
      </w:r>
      <w:r>
        <w:rPr>
          <w:rFonts w:ascii="Times New Roman" w:cs="Times New Roman" w:eastAsia="Times New Roman" w:hAnsi="Times New Roman"/>
          <w:sz w:val="15"/>
          <w:szCs w:val="15"/>
          <w:b w:val="1"/>
          <w:bCs w:val="1"/>
          <w:color w:val="auto"/>
        </w:rPr>
        <w:t>:</w:t>
      </w:r>
    </w:p>
    <w:p>
      <w:pPr>
        <w:spacing w:after="0" w:line="181" w:lineRule="exact"/>
        <w:rPr>
          <w:rFonts w:ascii="Times New Roman" w:cs="Times New Roman" w:eastAsia="Times New Roman" w:hAnsi="Times New Roman"/>
          <w:sz w:val="15"/>
          <w:szCs w:val="15"/>
          <w:b w:val="1"/>
          <w:bCs w:val="1"/>
          <w:color w:val="auto"/>
        </w:rPr>
      </w:pPr>
    </w:p>
    <w:p>
      <w:pPr>
        <w:jc w:val="both"/>
        <w:ind w:firstLine="535"/>
        <w:spacing w:after="0" w:line="249" w:lineRule="auto"/>
        <w:tabs>
          <w:tab w:leader="none" w:pos="782" w:val="left"/>
        </w:tabs>
        <w:numPr>
          <w:ilvl w:val="1"/>
          <w:numId w:val="3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noted herein, all payments set forth in this Agreement shall be subject to all applicable federal, state and/or local withholding and/or payroll taxes, and the Company may withhold from any amounts payable to you (including any amounts payable pursuant to this Agreement) in order to comply with such withholding obligations. The Company shall undertake to make deductions, withholdings and tax reports with respect to the payments and benefits under this Agreement to the extent that it reasonably and in good faith determines that it is required to make such deductions, withholdings and tax reports. Payments under this Agreement shall be in amounts net of any such deductions or withholdings. Nothing in this Agreement shall be construed to require the Company to make any payments to compensate you for any adverse tax effect associated with any payments or benefits or for any deduction or withholding from any payment or benefit.</w:t>
      </w:r>
    </w:p>
    <w:p>
      <w:pPr>
        <w:spacing w:after="0" w:line="156" w:lineRule="exact"/>
        <w:rPr>
          <w:rFonts w:ascii="Times New Roman" w:cs="Times New Roman" w:eastAsia="Times New Roman" w:hAnsi="Times New Roman"/>
          <w:sz w:val="15"/>
          <w:szCs w:val="15"/>
          <w:color w:val="auto"/>
        </w:rPr>
      </w:pPr>
    </w:p>
    <w:p>
      <w:pPr>
        <w:jc w:val="both"/>
        <w:ind w:firstLine="535"/>
        <w:spacing w:after="0" w:line="257" w:lineRule="auto"/>
        <w:tabs>
          <w:tab w:leader="none" w:pos="789" w:val="left"/>
        </w:tabs>
        <w:numPr>
          <w:ilvl w:val="1"/>
          <w:numId w:val="3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you shall have the right to accelerate or defer the delivery of any such payments or benefits except to the extent specifically permitted or required by Section 409A of the Internal Revenue Code of 1986, as amended. The Company makes no representation or warranty and shall have no liability to you or any other person if any provision of this Agreement is determined to constitute deferred compensation subject to Section 409A, but do not satisfy an exemption from, or the conditions of, Section 409A.</w:t>
      </w:r>
    </w:p>
    <w:p>
      <w:pPr>
        <w:spacing w:after="0" w:line="147" w:lineRule="exact"/>
        <w:rPr>
          <w:rFonts w:ascii="Times New Roman" w:cs="Times New Roman" w:eastAsia="Times New Roman" w:hAnsi="Times New Roman"/>
          <w:sz w:val="15"/>
          <w:szCs w:val="15"/>
          <w:color w:val="auto"/>
        </w:rPr>
      </w:pPr>
    </w:p>
    <w:p>
      <w:pPr>
        <w:ind w:left="560" w:hanging="552"/>
        <w:spacing w:after="0"/>
        <w:tabs>
          <w:tab w:leader="none" w:pos="560" w:val="left"/>
        </w:tabs>
        <w:numPr>
          <w:ilvl w:val="0"/>
          <w:numId w:val="32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General Release of Claims; Accord and Satisfaction</w:t>
      </w:r>
      <w:r>
        <w:rPr>
          <w:rFonts w:ascii="Times New Roman" w:cs="Times New Roman" w:eastAsia="Times New Roman" w:hAnsi="Times New Roman"/>
          <w:sz w:val="15"/>
          <w:szCs w:val="15"/>
          <w:b w:val="1"/>
          <w:bCs w:val="1"/>
          <w:color w:val="auto"/>
        </w:rPr>
        <w:t>:</w:t>
      </w:r>
    </w:p>
    <w:p>
      <w:pPr>
        <w:spacing w:after="0" w:line="181" w:lineRule="exact"/>
        <w:rPr>
          <w:rFonts w:ascii="Times New Roman" w:cs="Times New Roman" w:eastAsia="Times New Roman" w:hAnsi="Times New Roman"/>
          <w:sz w:val="15"/>
          <w:szCs w:val="15"/>
          <w:b w:val="1"/>
          <w:bCs w:val="1"/>
          <w:color w:val="auto"/>
        </w:rPr>
      </w:pPr>
    </w:p>
    <w:p>
      <w:pPr>
        <w:jc w:val="both"/>
        <w:ind w:firstLine="535"/>
        <w:spacing w:after="0" w:line="252" w:lineRule="auto"/>
        <w:tabs>
          <w:tab w:leader="none" w:pos="737" w:val="left"/>
        </w:tabs>
        <w:numPr>
          <w:ilvl w:val="1"/>
          <w:numId w:val="3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 Release</w:t>
      </w:r>
      <w:r>
        <w:rPr>
          <w:rFonts w:ascii="Times New Roman" w:cs="Times New Roman" w:eastAsia="Times New Roman" w:hAnsi="Times New Roman"/>
          <w:sz w:val="15"/>
          <w:szCs w:val="15"/>
          <w:color w:val="auto"/>
        </w:rPr>
        <w:t>: In exchange for the amounts described in Section 2, and other good and valuable consideration, the receipt of which you hereby acknowledge, you and your representatives, agents, estate, heirs, successors and assigns (“You”), absolutely and unconditionally hereby release, discharge, and hold harmless the Released Parties (defined in Section 4(g) below), from any and all actions or causes of action, suits, claims, complaints, contracts, liabilities, agreements, promises, torts, debts, damages, controversies, judgments, rights and demands, whether existing or contingent, known or unknown, suspected or unsuspected, arising on or before the Effective Date (the “Claims”).</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This general release includes, without limitation, any and all Claims arising out of or in connection with:</w:t>
      </w:r>
    </w:p>
    <w:p>
      <w:pPr>
        <w:spacing w:after="0" w:line="179" w:lineRule="exact"/>
        <w:rPr>
          <w:sz w:val="20"/>
          <w:szCs w:val="20"/>
          <w:color w:val="auto"/>
        </w:rPr>
      </w:pPr>
    </w:p>
    <w:p>
      <w:pPr>
        <w:ind w:left="720" w:hanging="185"/>
        <w:spacing w:after="0"/>
        <w:tabs>
          <w:tab w:leader="none" w:pos="720" w:val="left"/>
        </w:tabs>
        <w:numPr>
          <w:ilvl w:val="0"/>
          <w:numId w:val="3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your employment, change in employment status, and/or termination of employment with the Company;</w:t>
      </w:r>
    </w:p>
    <w:p>
      <w:pPr>
        <w:spacing w:after="0" w:line="179" w:lineRule="exact"/>
        <w:rPr>
          <w:rFonts w:ascii="Times New Roman" w:cs="Times New Roman" w:eastAsia="Times New Roman" w:hAnsi="Times New Roman"/>
          <w:sz w:val="15"/>
          <w:szCs w:val="15"/>
          <w:color w:val="auto"/>
        </w:rPr>
      </w:pPr>
    </w:p>
    <w:p>
      <w:pPr>
        <w:jc w:val="both"/>
        <w:ind w:firstLine="535"/>
        <w:spacing w:after="0" w:line="247" w:lineRule="auto"/>
        <w:tabs>
          <w:tab w:leader="none" w:pos="753" w:val="left"/>
        </w:tabs>
        <w:numPr>
          <w:ilvl w:val="0"/>
          <w:numId w:val="3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federal, state or local law, constitution or regulation regarding either employment, employment benefits, or employment discrimination and/or retaliation including, without limitation, the National Labor Relations Act, as amended; Title VII of the Civil Rights Act of 1964, as amended, 42 U.S.C. 2000e </w:t>
      </w:r>
      <w:r>
        <w:rPr>
          <w:rFonts w:ascii="Times New Roman" w:cs="Times New Roman" w:eastAsia="Times New Roman" w:hAnsi="Times New Roman"/>
          <w:sz w:val="15"/>
          <w:szCs w:val="15"/>
          <w:u w:val="single" w:color="auto"/>
          <w:color w:val="auto"/>
        </w:rPr>
        <w:t>et seq.</w:t>
      </w:r>
      <w:r>
        <w:rPr>
          <w:rFonts w:ascii="Times New Roman" w:cs="Times New Roman" w:eastAsia="Times New Roman" w:hAnsi="Times New Roman"/>
          <w:sz w:val="15"/>
          <w:szCs w:val="15"/>
          <w:color w:val="auto"/>
        </w:rPr>
        <w:t xml:space="preserve">; Sections 1981 through 1988 of Title 42 of the United States Code, as amended; the Employee Retirement Income Security Act of 1974, as amended, 29 U.S.C. 1001 </w:t>
      </w:r>
      <w:r>
        <w:rPr>
          <w:rFonts w:ascii="Times New Roman" w:cs="Times New Roman" w:eastAsia="Times New Roman" w:hAnsi="Times New Roman"/>
          <w:sz w:val="15"/>
          <w:szCs w:val="15"/>
          <w:u w:val="single" w:color="auto"/>
          <w:color w:val="auto"/>
        </w:rPr>
        <w:t>et seq.</w:t>
      </w:r>
      <w:r>
        <w:rPr>
          <w:rFonts w:ascii="Times New Roman" w:cs="Times New Roman" w:eastAsia="Times New Roman" w:hAnsi="Times New Roman"/>
          <w:sz w:val="15"/>
          <w:szCs w:val="15"/>
          <w:color w:val="auto"/>
        </w:rPr>
        <w:t xml:space="preserve">; the Workers Adjustment and Retraining Notification Act, 29 U.S.C. Section 2101 </w:t>
      </w:r>
      <w:r>
        <w:rPr>
          <w:rFonts w:ascii="Times New Roman" w:cs="Times New Roman" w:eastAsia="Times New Roman" w:hAnsi="Times New Roman"/>
          <w:sz w:val="15"/>
          <w:szCs w:val="15"/>
          <w:u w:val="single" w:color="auto"/>
          <w:color w:val="auto"/>
        </w:rPr>
        <w:t>et seq.</w:t>
      </w:r>
      <w:r>
        <w:rPr>
          <w:rFonts w:ascii="Times New Roman" w:cs="Times New Roman" w:eastAsia="Times New Roman" w:hAnsi="Times New Roman"/>
          <w:sz w:val="15"/>
          <w:szCs w:val="15"/>
          <w:color w:val="auto"/>
        </w:rPr>
        <w:t>; the Immigration Reform and Control Act, as amended; the Americans with Disabilities Act of 1990, as amended; the Fair Labor Standards Act, as amended; the Occupational Safety and Health Act, as amended; the Consolidated Omnibus Budget Reconciliation Act, as amended; the Age Discrimination in Employment Act and Older Workers Benefit Protection Act (29 U.S.C. § 621 et seq.); and laws relating to workers compensation, family and medical leave, retaliation, discrimination on the basis of race, color, religion, creed, sex, sex harassment, sexual orientation, marital status, pregnancy, national origin, ancestry, handicap, disability, genetic carrier status, veteran’s status, alienage, blindness, present or past history of mental disorders or physical disability, candidacy for or activity in a general assembly or other public office, constitutionally protected acts of speech, whistleblower status, membership in any organization engaged in civil defense, veteran’s status, any military service, application for military service, or any other federal, state or local civil or human rights law or any other local, state or federal law, regulation or ordinance;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54" w:name="page555"/>
    <w:bookmarkEnd w:id="554"/>
    <w:p>
      <w:pPr>
        <w:jc w:val="both"/>
        <w:ind w:firstLine="535"/>
        <w:spacing w:after="0" w:line="246" w:lineRule="auto"/>
        <w:tabs>
          <w:tab w:leader="none" w:pos="805" w:val="left"/>
        </w:tabs>
        <w:numPr>
          <w:ilvl w:val="1"/>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Massachusetts or Washington state or local laws respecting employment, including but not limited to, the Massachusetts Wage Payment Act, M.G.L. c. 149 §148, the Massachusetts Minimum Fair Wages Act, M.G.L. c. 151 § 1 et. seq., the Massachusetts Fair Employment Practices Act, M.G.L. c. 151B et seq., the Massachusetts Parental Leave Law, M.G.L. c. 149, §105D, the Massachusetts Civil Rights Act, M.G.L. c. 12, §11H et seq., as amended, the Massachusetts Equal Rights Act, c. 93, §102 et seq., as amended, the Massachusetts Equal Pay Act, M.G.L. c. 149 §105A et seq., as amended, the Massachusetts law against sexual harassment, M.G.L. c. 214 §1C et seq., as amended, the Massachusetts law against retaliation, M.G.L. c. 19C, §11 et seq., as amended, the Massachusetts Privacy Statute, M.G.L. c. 214 § 1B, the Massachusetts Small Necessities Leave Act, M.G.L. c. 149, §52D, the Massachusetts Family and Medical Leave Act, M.G.L. c. 175M, et seq., the Washington Law Against Discrimination, Wash. Rev. Code §§ 49.44.090 and 49.60.180, et seq. and Wash. Admin. Code § 296-130-035, the Washington Equal Pay Act, Wash. Rev. Code § 49.12.175, the Washington Wage Payment Act, Wash. Rev. Code § 49.48, et seq., the Washington Paid Sick Leave Law, Wash. Rev. Code § 49.46.210, the Washington State Family Care Act, Wash. Rev. Code §§ 49.12.265 -49.12.295; Wash. Admin. Code 296-130, the Washington Family Leave Act, Wash. Rev. Code §§ 49.78, and the Washington Domestic Violence Leave Act, the Wash. Rev. Code §§ 49.76, et seq., all as amended. Please note that this section specifically includes a waiver and release of Claims that you have or may have regarding payments or amounts covered by the Massachusetts Wage Act and Massachusetts Minimum Fair Wages Act and the Washington Wage Payment Act (including, for instance, hourly wages, salary, overtime, minimum wages, commissions, vacation pay, holiday pay, sick leave pay, dismissal pay, bonus pay or severance pay), as well as Claims for retaliation under these Acts;</w:t>
      </w:r>
    </w:p>
    <w:p>
      <w:pPr>
        <w:spacing w:after="0" w:line="163" w:lineRule="exact"/>
        <w:rPr>
          <w:rFonts w:ascii="Times New Roman" w:cs="Times New Roman" w:eastAsia="Times New Roman" w:hAnsi="Times New Roman"/>
          <w:sz w:val="15"/>
          <w:szCs w:val="15"/>
          <w:color w:val="auto"/>
        </w:rPr>
      </w:pPr>
    </w:p>
    <w:p>
      <w:pPr>
        <w:ind w:left="780" w:hanging="245"/>
        <w:spacing w:after="0"/>
        <w:tabs>
          <w:tab w:leader="none" w:pos="780" w:val="left"/>
        </w:tabs>
        <w:numPr>
          <w:ilvl w:val="1"/>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breach of contract or breach of the implied covenant of good faith and fair dealing;</w:t>
      </w:r>
    </w:p>
    <w:p>
      <w:pPr>
        <w:spacing w:after="0" w:line="179" w:lineRule="exact"/>
        <w:rPr>
          <w:rFonts w:ascii="Times New Roman" w:cs="Times New Roman" w:eastAsia="Times New Roman" w:hAnsi="Times New Roman"/>
          <w:sz w:val="15"/>
          <w:szCs w:val="15"/>
          <w:color w:val="auto"/>
        </w:rPr>
      </w:pPr>
    </w:p>
    <w:p>
      <w:pPr>
        <w:jc w:val="both"/>
        <w:ind w:firstLine="535"/>
        <w:spacing w:after="0" w:line="257" w:lineRule="auto"/>
        <w:tabs>
          <w:tab w:leader="none" w:pos="739" w:val="left"/>
        </w:tabs>
        <w:numPr>
          <w:ilvl w:val="1"/>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Massachusetts, Washington (or any other state) or federal statute, regulation or executive order (as amended through the Effective Date) relating to whistleblower protections, violation of public policy, or any other form of retaliation or wrongful termination, or intentional or negligent infliction of emotional distress, negligent misrepresentation, intentional misrepresentation, fraud, defamation, promissory estoppel, false light invasion of privacy, conspiracy, violation of public policy; and</w:t>
      </w:r>
    </w:p>
    <w:p>
      <w:pPr>
        <w:spacing w:after="0" w:line="149" w:lineRule="exact"/>
        <w:rPr>
          <w:rFonts w:ascii="Times New Roman" w:cs="Times New Roman" w:eastAsia="Times New Roman" w:hAnsi="Times New Roman"/>
          <w:sz w:val="15"/>
          <w:szCs w:val="15"/>
          <w:color w:val="auto"/>
        </w:rPr>
      </w:pPr>
    </w:p>
    <w:p>
      <w:pPr>
        <w:ind w:left="780" w:hanging="245"/>
        <w:spacing w:after="0"/>
        <w:tabs>
          <w:tab w:leader="none" w:pos="780" w:val="left"/>
        </w:tabs>
        <w:numPr>
          <w:ilvl w:val="1"/>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tort, statutory or common law cause of action.</w:t>
      </w:r>
    </w:p>
    <w:p>
      <w:pPr>
        <w:spacing w:after="0" w:line="179" w:lineRule="exact"/>
        <w:rPr>
          <w:sz w:val="20"/>
          <w:szCs w:val="20"/>
          <w:color w:val="auto"/>
        </w:rPr>
      </w:pPr>
    </w:p>
    <w:p>
      <w:pPr>
        <w:jc w:val="both"/>
        <w:ind w:firstLine="535"/>
        <w:spacing w:after="0" w:line="257" w:lineRule="auto"/>
        <w:tabs>
          <w:tab w:leader="none" w:pos="735" w:val="left"/>
        </w:tabs>
        <w:numPr>
          <w:ilvl w:val="0"/>
          <w:numId w:val="3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Claims Through Others</w:t>
      </w:r>
      <w:r>
        <w:rPr>
          <w:rFonts w:ascii="Times New Roman" w:cs="Times New Roman" w:eastAsia="Times New Roman" w:hAnsi="Times New Roman"/>
          <w:sz w:val="15"/>
          <w:szCs w:val="15"/>
          <w:color w:val="auto"/>
        </w:rPr>
        <w:t>: You further agree to release and discharge the Released Parties from any and all claims which might be made by any other person or organization on your behalf and you specifically waive any right to become, and promise not to become, a member of any class in a case in which a claim or claims against the Company are made involving any matters subject to release pursuant to Sections 4(a) and (e).</w:t>
      </w:r>
    </w:p>
    <w:p>
      <w:pPr>
        <w:spacing w:after="0" w:line="149" w:lineRule="exact"/>
        <w:rPr>
          <w:rFonts w:ascii="Times New Roman" w:cs="Times New Roman" w:eastAsia="Times New Roman" w:hAnsi="Times New Roman"/>
          <w:sz w:val="15"/>
          <w:szCs w:val="15"/>
          <w:color w:val="auto"/>
        </w:rPr>
      </w:pPr>
    </w:p>
    <w:p>
      <w:pPr>
        <w:ind w:firstLine="535"/>
        <w:spacing w:after="0" w:line="269" w:lineRule="auto"/>
        <w:tabs>
          <w:tab w:leader="none" w:pos="726" w:val="left"/>
        </w:tabs>
        <w:numPr>
          <w:ilvl w:val="0"/>
          <w:numId w:val="3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Interpretation</w:t>
      </w:r>
      <w:r>
        <w:rPr>
          <w:rFonts w:ascii="Times New Roman" w:cs="Times New Roman" w:eastAsia="Times New Roman" w:hAnsi="Times New Roman"/>
          <w:sz w:val="15"/>
          <w:szCs w:val="15"/>
          <w:color w:val="auto"/>
        </w:rPr>
        <w:t>: The foregoing general release-of-claims provisions shall be given the broadest possible interpretation permitted by law. The listing of specific claims shall not be interpreted to exclude any other claims not specifically listed therein.</w:t>
      </w:r>
    </w:p>
    <w:p>
      <w:pPr>
        <w:spacing w:after="0" w:line="140" w:lineRule="exact"/>
        <w:rPr>
          <w:rFonts w:ascii="Times New Roman" w:cs="Times New Roman" w:eastAsia="Times New Roman" w:hAnsi="Times New Roman"/>
          <w:sz w:val="15"/>
          <w:szCs w:val="15"/>
          <w:color w:val="auto"/>
        </w:rPr>
      </w:pPr>
    </w:p>
    <w:p>
      <w:pPr>
        <w:jc w:val="both"/>
        <w:ind w:firstLine="535"/>
        <w:spacing w:after="0" w:line="257" w:lineRule="auto"/>
        <w:tabs>
          <w:tab w:leader="none" w:pos="746" w:val="left"/>
        </w:tabs>
        <w:numPr>
          <w:ilvl w:val="0"/>
          <w:numId w:val="3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Accord and Satisfaction</w:t>
      </w:r>
      <w:r>
        <w:rPr>
          <w:rFonts w:ascii="Times New Roman" w:cs="Times New Roman" w:eastAsia="Times New Roman" w:hAnsi="Times New Roman"/>
          <w:sz w:val="15"/>
          <w:szCs w:val="15"/>
          <w:color w:val="auto"/>
        </w:rPr>
        <w:t>: The payments set forth in Sections 1 and 2 shall be complete and unconditional payment, settlement, accord and/or satisfaction with respect to all obligations and liabilities of the Released Parties to You including, without limitation, all claims for back wages, salary, vacation pay, sick pay, bonuses, commissions, bonuses or other incentive compensation, severance pay, any and all other forms of compensation or benefits, attorney’s fees, or other costs or sums.</w:t>
      </w:r>
    </w:p>
    <w:p>
      <w:pPr>
        <w:spacing w:after="0" w:line="149" w:lineRule="exact"/>
        <w:rPr>
          <w:rFonts w:ascii="Times New Roman" w:cs="Times New Roman" w:eastAsia="Times New Roman" w:hAnsi="Times New Roman"/>
          <w:sz w:val="15"/>
          <w:szCs w:val="15"/>
          <w:color w:val="auto"/>
        </w:rPr>
      </w:pPr>
    </w:p>
    <w:p>
      <w:pPr>
        <w:ind w:firstLine="535"/>
        <w:spacing w:after="0" w:line="269" w:lineRule="auto"/>
        <w:tabs>
          <w:tab w:leader="none" w:pos="726" w:val="left"/>
        </w:tabs>
        <w:numPr>
          <w:ilvl w:val="0"/>
          <w:numId w:val="3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ADEA/OWBPA Release</w:t>
      </w:r>
      <w:r>
        <w:rPr>
          <w:rFonts w:ascii="Times New Roman" w:cs="Times New Roman" w:eastAsia="Times New Roman" w:hAnsi="Times New Roman"/>
          <w:sz w:val="15"/>
          <w:szCs w:val="15"/>
          <w:color w:val="auto"/>
        </w:rPr>
        <w:t>: Because you will be 40 years of age or older as of the Separation Date, you are hereby informed that you have or might have specific rights and/or claims under the Age Discrimination in Employment Act (ADEA) and the Older Workers Benefit Protection Act (OWBPA), and you agree and understand that:</w:t>
      </w:r>
    </w:p>
    <w:p>
      <w:pPr>
        <w:spacing w:after="0" w:line="140" w:lineRule="exact"/>
        <w:rPr>
          <w:rFonts w:ascii="Times New Roman" w:cs="Times New Roman" w:eastAsia="Times New Roman" w:hAnsi="Times New Roman"/>
          <w:sz w:val="15"/>
          <w:szCs w:val="15"/>
          <w:color w:val="auto"/>
        </w:rPr>
      </w:pPr>
    </w:p>
    <w:p>
      <w:pPr>
        <w:ind w:firstLine="1063"/>
        <w:spacing w:after="0" w:line="269" w:lineRule="auto"/>
        <w:tabs>
          <w:tab w:leader="none" w:pos="1232" w:val="left"/>
        </w:tabs>
        <w:numPr>
          <w:ilvl w:val="1"/>
          <w:numId w:val="3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consideration for the amounts described in Section 2, which you are not otherwise entitled to receive, you specifically waive such rights and/or claims under the ADEA and OWBPA to the extent that such rights and/or claims arose prior to or on the date this Agreement was executed;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55" w:name="page556"/>
    <w:bookmarkEnd w:id="555"/>
    <w:p>
      <w:pPr>
        <w:ind w:left="1280" w:hanging="217"/>
        <w:spacing w:after="0"/>
        <w:tabs>
          <w:tab w:leader="none" w:pos="1280" w:val="left"/>
        </w:tabs>
        <w:numPr>
          <w:ilvl w:val="1"/>
          <w:numId w:val="3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understand that rights or claims under the ADEA and OWBPA which may arise after the date this Agreement is executed are not waived by you;</w:t>
      </w:r>
    </w:p>
    <w:p>
      <w:pPr>
        <w:spacing w:after="0" w:line="179" w:lineRule="exact"/>
        <w:rPr>
          <w:rFonts w:ascii="Times New Roman" w:cs="Times New Roman" w:eastAsia="Times New Roman" w:hAnsi="Times New Roman"/>
          <w:sz w:val="15"/>
          <w:szCs w:val="15"/>
          <w:color w:val="auto"/>
        </w:rPr>
      </w:pPr>
    </w:p>
    <w:p>
      <w:pPr>
        <w:jc w:val="both"/>
        <w:ind w:firstLine="1063"/>
        <w:spacing w:after="0" w:line="257" w:lineRule="auto"/>
        <w:tabs>
          <w:tab w:leader="none" w:pos="1309" w:val="left"/>
        </w:tabs>
        <w:numPr>
          <w:ilvl w:val="1"/>
          <w:numId w:val="3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acknowledge that you have been advised of your right to consult with your counsel of choice prior to executing this Agreement, that you have twenty-one (21) days to review this Agreement and consider its terms before signing it, and you have not been subject to any undue or improper influence interfering with the exercise of your free will in deciding whether to consult with counsel;</w:t>
      </w:r>
    </w:p>
    <w:p>
      <w:pPr>
        <w:spacing w:after="0" w:line="149" w:lineRule="exact"/>
        <w:rPr>
          <w:rFonts w:ascii="Times New Roman" w:cs="Times New Roman" w:eastAsia="Times New Roman" w:hAnsi="Times New Roman"/>
          <w:sz w:val="15"/>
          <w:szCs w:val="15"/>
          <w:color w:val="auto"/>
        </w:rPr>
      </w:pPr>
    </w:p>
    <w:p>
      <w:pPr>
        <w:jc w:val="both"/>
        <w:ind w:firstLine="1063"/>
        <w:spacing w:after="0" w:line="257" w:lineRule="auto"/>
        <w:tabs>
          <w:tab w:leader="none" w:pos="1300" w:val="left"/>
        </w:tabs>
        <w:numPr>
          <w:ilvl w:val="1"/>
          <w:numId w:val="3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have carefully read and fully understand all of the provisions of this Agreement, you knowingly and voluntarily agree to all of the terms set forth in this Agreement, and you acknowledge that in entering into this Agreement, you are not relying on any representation, promise or inducement made by the Company or its attorneys with the exception of those promises contained in this document; and</w:t>
      </w:r>
    </w:p>
    <w:p>
      <w:pPr>
        <w:spacing w:after="0" w:line="149" w:lineRule="exact"/>
        <w:rPr>
          <w:rFonts w:ascii="Times New Roman" w:cs="Times New Roman" w:eastAsia="Times New Roman" w:hAnsi="Times New Roman"/>
          <w:sz w:val="15"/>
          <w:szCs w:val="15"/>
          <w:color w:val="auto"/>
        </w:rPr>
      </w:pPr>
    </w:p>
    <w:p>
      <w:pPr>
        <w:ind w:firstLine="1063"/>
        <w:spacing w:after="0" w:line="269" w:lineRule="auto"/>
        <w:tabs>
          <w:tab w:leader="none" w:pos="1264" w:val="left"/>
        </w:tabs>
        <w:numPr>
          <w:ilvl w:val="1"/>
          <w:numId w:val="3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revoke this Agreement for a period of seven (7) days following your execution hereof and all rights and obligations of both parties under this Agreement shall not become effective or enforceable until the seven (7) day revocation period has expired</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Please see Section 11 for more details.</w:t>
      </w:r>
    </w:p>
    <w:p>
      <w:pPr>
        <w:spacing w:after="0" w:line="140" w:lineRule="exact"/>
        <w:rPr>
          <w:rFonts w:ascii="Times New Roman" w:cs="Times New Roman" w:eastAsia="Times New Roman" w:hAnsi="Times New Roman"/>
          <w:sz w:val="15"/>
          <w:szCs w:val="15"/>
          <w:color w:val="auto"/>
        </w:rPr>
      </w:pPr>
    </w:p>
    <w:p>
      <w:pPr>
        <w:ind w:left="760" w:hanging="225"/>
        <w:spacing w:after="0"/>
        <w:tabs>
          <w:tab w:leader="none" w:pos="760"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Exclusions</w:t>
      </w:r>
      <w:r>
        <w:rPr>
          <w:rFonts w:ascii="Times New Roman" w:cs="Times New Roman" w:eastAsia="Times New Roman" w:hAnsi="Times New Roman"/>
          <w:sz w:val="15"/>
          <w:szCs w:val="15"/>
          <w:color w:val="auto"/>
        </w:rPr>
        <w:t>: Excluded from the General Release in Section 4(a) are:</w:t>
      </w:r>
    </w:p>
    <w:p>
      <w:pPr>
        <w:spacing w:after="0" w:line="179" w:lineRule="exact"/>
        <w:rPr>
          <w:rFonts w:ascii="Times New Roman" w:cs="Times New Roman" w:eastAsia="Times New Roman" w:hAnsi="Times New Roman"/>
          <w:sz w:val="15"/>
          <w:szCs w:val="15"/>
          <w:color w:val="auto"/>
        </w:rPr>
      </w:pPr>
    </w:p>
    <w:p>
      <w:pPr>
        <w:jc w:val="both"/>
        <w:ind w:firstLine="1063"/>
        <w:spacing w:after="0" w:line="250" w:lineRule="auto"/>
        <w:tabs>
          <w:tab w:leader="none" w:pos="1248" w:val="left"/>
        </w:tabs>
        <w:numPr>
          <w:ilvl w:val="1"/>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claims or rights that cannot be waived by law, including your right to file a charge with a government or regulatory agency, entity, or official or self-regulatory organization (“Government Agencies”), or assist or participate in any agency investigation, hearing or proceeding. You, however, are waiving your right to recover money from the Released Parties regarding any such agency charge or investigation, hearing or proceeding. You also are waiving your right to recover any money from the Released Parties in connection with a charge filed by any other individual or individuals, or by any Government Agency, on your behalf, except as permitted by applicable law or as prescribed by any specific Government Agency (e.g., the SEC).</w:t>
      </w:r>
    </w:p>
    <w:p>
      <w:pPr>
        <w:spacing w:after="0" w:line="156" w:lineRule="exact"/>
        <w:rPr>
          <w:sz w:val="20"/>
          <w:szCs w:val="20"/>
          <w:color w:val="auto"/>
        </w:rPr>
      </w:pPr>
    </w:p>
    <w:p>
      <w:pPr>
        <w:jc w:val="both"/>
        <w:ind w:firstLine="1055"/>
        <w:spacing w:after="0" w:line="250" w:lineRule="auto"/>
        <w:rPr>
          <w:sz w:val="20"/>
          <w:szCs w:val="20"/>
          <w:color w:val="auto"/>
        </w:rPr>
      </w:pPr>
      <w:r>
        <w:rPr>
          <w:rFonts w:ascii="Times New Roman" w:cs="Times New Roman" w:eastAsia="Times New Roman" w:hAnsi="Times New Roman"/>
          <w:sz w:val="15"/>
          <w:szCs w:val="15"/>
          <w:color w:val="auto"/>
        </w:rPr>
        <w:t>Nothing in this Agreement shall prohibit or restrict you from (i) communicating directly with, cooperating with, providing or causing to be provided information to, or otherwise assisting in an investigation by a Government Agency regarding a possible violation of any law, rule, or regulation; or (ii) responding to any inquiry or legal process directed to you individually (and not directed to the Company and/or its subsidiaries) from any such Government Agency, including an inquiry about the existence of this Agreement or its underlying facts or circumstances. Nor does this Agreement require you to obtain prior authorization from the Released Parties before engaging in any conduct described in this paragraph, or to notify the Released Parties that you have engaged in any such conduct;</w:t>
      </w:r>
    </w:p>
    <w:p>
      <w:pPr>
        <w:spacing w:after="0" w:line="156" w:lineRule="exact"/>
        <w:rPr>
          <w:sz w:val="20"/>
          <w:szCs w:val="20"/>
          <w:color w:val="auto"/>
        </w:rPr>
      </w:pPr>
    </w:p>
    <w:p>
      <w:pPr>
        <w:ind w:left="1280" w:hanging="217"/>
        <w:spacing w:after="0"/>
        <w:tabs>
          <w:tab w:leader="none" w:pos="1280" w:val="left"/>
        </w:tabs>
        <w:numPr>
          <w:ilvl w:val="1"/>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your right to enforce the terms of this Agreement, or to challenge the ADEA/OWBPA release; or</w:t>
      </w:r>
    </w:p>
    <w:p>
      <w:pPr>
        <w:spacing w:after="0" w:line="179" w:lineRule="exact"/>
        <w:rPr>
          <w:rFonts w:ascii="Times New Roman" w:cs="Times New Roman" w:eastAsia="Times New Roman" w:hAnsi="Times New Roman"/>
          <w:sz w:val="15"/>
          <w:szCs w:val="15"/>
          <w:color w:val="auto"/>
        </w:rPr>
      </w:pPr>
    </w:p>
    <w:p>
      <w:pPr>
        <w:ind w:left="1320" w:hanging="257"/>
        <w:spacing w:after="0"/>
        <w:tabs>
          <w:tab w:leader="none" w:pos="1320" w:val="left"/>
        </w:tabs>
        <w:numPr>
          <w:ilvl w:val="1"/>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your right to apply for unemployment compensation.</w:t>
      </w:r>
    </w:p>
    <w:p>
      <w:pPr>
        <w:spacing w:after="0" w:line="179" w:lineRule="exact"/>
        <w:rPr>
          <w:rFonts w:ascii="Times New Roman" w:cs="Times New Roman" w:eastAsia="Times New Roman" w:hAnsi="Times New Roman"/>
          <w:sz w:val="15"/>
          <w:szCs w:val="15"/>
          <w:color w:val="auto"/>
        </w:rPr>
      </w:pPr>
    </w:p>
    <w:p>
      <w:pPr>
        <w:jc w:val="both"/>
        <w:ind w:firstLine="535"/>
        <w:spacing w:after="0" w:line="250" w:lineRule="auto"/>
        <w:tabs>
          <w:tab w:leader="none" w:pos="735" w:val="left"/>
        </w:tabs>
        <w:numPr>
          <w:ilvl w:val="0"/>
          <w:numId w:val="3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Definition of Released Parties</w:t>
      </w:r>
      <w:r>
        <w:rPr>
          <w:rFonts w:ascii="Times New Roman" w:cs="Times New Roman" w:eastAsia="Times New Roman" w:hAnsi="Times New Roman"/>
          <w:sz w:val="15"/>
          <w:szCs w:val="15"/>
          <w:color w:val="auto"/>
        </w:rPr>
        <w:t>: As used in this Agreement, “Released Parties” shall mean: (i) the Company; (ii) all of the Company’s past, present, and future subsidiaries, parents, affiliates and divisions; (iii) all of the Company’s successors and/or assigns, as well as legal representatives; (iv) all of the Company’s past, present, and future officers, directors, managers, employees, shareholders, owners, attorneys, agents, insurers, employee benefit plans (including such plans’ administrators, trustees, fiduciaries, record-keepers, and insurers), and legal representatives (all individually, in their capacity acting on the Company’s behalf, and in their official capacities); and (v) all persons acting by, through, under, or in concert with any of the entities or persons listed in subsections (i)-(iv).</w:t>
      </w:r>
    </w:p>
    <w:p>
      <w:pPr>
        <w:spacing w:after="0" w:line="156" w:lineRule="exact"/>
        <w:rPr>
          <w:rFonts w:ascii="Times New Roman" w:cs="Times New Roman" w:eastAsia="Times New Roman" w:hAnsi="Times New Roman"/>
          <w:sz w:val="15"/>
          <w:szCs w:val="15"/>
          <w:color w:val="auto"/>
        </w:rPr>
      </w:pPr>
    </w:p>
    <w:p>
      <w:pPr>
        <w:jc w:val="both"/>
        <w:ind w:firstLine="535"/>
        <w:spacing w:after="0" w:line="250" w:lineRule="auto"/>
        <w:tabs>
          <w:tab w:leader="none" w:pos="735" w:val="left"/>
        </w:tabs>
        <w:numPr>
          <w:ilvl w:val="0"/>
          <w:numId w:val="3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Obligation to Update Release of Claims and Execute Certificate</w:t>
      </w:r>
      <w:r>
        <w:rPr>
          <w:rFonts w:ascii="Times New Roman" w:cs="Times New Roman" w:eastAsia="Times New Roman" w:hAnsi="Times New Roman"/>
          <w:sz w:val="15"/>
          <w:szCs w:val="15"/>
          <w:color w:val="auto"/>
        </w:rPr>
        <w:t xml:space="preserve">: You acknowledge and agree that one of the primary purposes of this Agreement is for the Company to pay certain benefits to you in exchange for your release of all claims against the Company Parties to the fullest extent allowed by law. Because you may execute this Agreement prior to the Separation Date, as a condition of receiving the payments and benefits in Section 2 above, you, within 21 days of the Separation Date, must execute the Certificate attached hereto as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in which you will extend the waiver and release of claims in Section 4(a) and (e) to any and all claims that arose from the date you signed this Agreement through the date you signs the Certificate. You acknowledge and agree that you will not be eligible for any of the payments and benefits in Section 2 unless you execute the Certificate.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56" w:name="page557"/>
    <w:bookmarkEnd w:id="556"/>
    <w:p>
      <w:pPr>
        <w:jc w:val="both"/>
        <w:ind w:firstLine="8"/>
        <w:spacing w:after="0" w:line="250" w:lineRule="auto"/>
        <w:tabs>
          <w:tab w:leader="none" w:pos="626" w:val="left"/>
        </w:tabs>
        <w:numPr>
          <w:ilvl w:val="0"/>
          <w:numId w:val="3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Covenant Not to Sue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 “covenant not to sue” is a legal term that means you promise not to file a lawsuit in court. It is different from the release of claims in Section 4. Besides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waiving and releasing the claims covered by Section 4, you agree never to sue the Released Parties in any forum based on the claims, laws or theories covered by the release language in Section 4. You represent and warrant that you have not filed any complaints, charges, or claims for relief against the Released Parties with any local, state or federal court or administrative agency, with the sole exception of your right to pursue a state unemployment claim. Notwithstanding this Covenant Not To Sue, you may bring a claim as permitted in Section 4(f). Except as set forth in Section 4(f) or as permitted pursuant to this Section 5, if you institute any other action, that claim shall be dismissed upon the presentation of this Agreement and you shall reimburse the Company for all legal fees and expenses incurred in defending such claim and obtaining its dismissal.</w:t>
      </w:r>
    </w:p>
    <w:p>
      <w:pPr>
        <w:spacing w:after="0" w:line="152" w:lineRule="exact"/>
        <w:rPr>
          <w:rFonts w:ascii="Times New Roman" w:cs="Times New Roman" w:eastAsia="Times New Roman" w:hAnsi="Times New Roman"/>
          <w:sz w:val="15"/>
          <w:szCs w:val="15"/>
          <w:b w:val="1"/>
          <w:bCs w:val="1"/>
          <w:color w:val="auto"/>
        </w:rPr>
      </w:pPr>
    </w:p>
    <w:p>
      <w:pPr>
        <w:jc w:val="both"/>
        <w:ind w:firstLine="8"/>
        <w:spacing w:after="0" w:line="251" w:lineRule="auto"/>
        <w:tabs>
          <w:tab w:leader="none" w:pos="571" w:val="left"/>
        </w:tabs>
        <w:numPr>
          <w:ilvl w:val="0"/>
          <w:numId w:val="3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Company Property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Within five days of the Separation Date, you agree to return to the Company all Company property and materials, including tangible copies of trade secrets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confidential information, and any and all other information or property previously or currently held or used by you that is or was related to your employment with the Company (“Property”). If you discover any other Property, including any proprietary materials, in your possession after the Separation Date, you immediately will notify the Company and arrange for their prompt return. You also must delete and finally purge any duplicates of files or documents that may contain Company information from any non-Company computer or other device that remains in your possession after the Separation Date. Failure to return immediately any such materials will be considered a breach of this Agreement.</w:t>
      </w:r>
    </w:p>
    <w:p>
      <w:pPr>
        <w:spacing w:after="0" w:line="152" w:lineRule="exact"/>
        <w:rPr>
          <w:rFonts w:ascii="Times New Roman" w:cs="Times New Roman" w:eastAsia="Times New Roman" w:hAnsi="Times New Roman"/>
          <w:sz w:val="15"/>
          <w:szCs w:val="15"/>
          <w:b w:val="1"/>
          <w:bCs w:val="1"/>
          <w:color w:val="auto"/>
        </w:rPr>
      </w:pPr>
    </w:p>
    <w:p>
      <w:pPr>
        <w:jc w:val="both"/>
        <w:ind w:firstLine="8"/>
        <w:spacing w:after="0" w:line="253" w:lineRule="auto"/>
        <w:tabs>
          <w:tab w:leader="none" w:pos="659" w:val="left"/>
        </w:tabs>
        <w:numPr>
          <w:ilvl w:val="0"/>
          <w:numId w:val="3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No Liability or Wrongdoing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You understand and agree that the release and accord and satisfaction provisions set forth in Section 4 constitute a final compromise of the claims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released thereby, and is not an admission by the Released Parties that any such claims exist and/or of liability by the Released Parties with respect to such claims. Nothing in this Agreement, nor any of the proceedings connected with it, is to be construed as, offered as, received as, or deemed to be evidence of an admission by the Released Parties of any liability or unlawful conduct whatsoever, and each of the Released Parties expressly deny any such liability or wrongdoing.</w:t>
      </w:r>
    </w:p>
    <w:p>
      <w:pPr>
        <w:spacing w:after="0" w:line="151" w:lineRule="exact"/>
        <w:rPr>
          <w:rFonts w:ascii="Times New Roman" w:cs="Times New Roman" w:eastAsia="Times New Roman" w:hAnsi="Times New Roman"/>
          <w:sz w:val="15"/>
          <w:szCs w:val="15"/>
          <w:b w:val="1"/>
          <w:bCs w:val="1"/>
          <w:color w:val="auto"/>
        </w:rPr>
      </w:pPr>
    </w:p>
    <w:p>
      <w:pPr>
        <w:ind w:left="560" w:hanging="552"/>
        <w:spacing w:after="0"/>
        <w:tabs>
          <w:tab w:leader="none" w:pos="560" w:val="left"/>
        </w:tabs>
        <w:numPr>
          <w:ilvl w:val="0"/>
          <w:numId w:val="3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Future Conduct</w:t>
      </w:r>
      <w:r>
        <w:rPr>
          <w:rFonts w:ascii="Times New Roman" w:cs="Times New Roman" w:eastAsia="Times New Roman" w:hAnsi="Times New Roman"/>
          <w:sz w:val="15"/>
          <w:szCs w:val="15"/>
          <w:b w:val="1"/>
          <w:bCs w:val="1"/>
          <w:color w:val="auto"/>
        </w:rPr>
        <w:t>:</w:t>
      </w:r>
    </w:p>
    <w:p>
      <w:pPr>
        <w:spacing w:after="0" w:line="181" w:lineRule="exact"/>
        <w:rPr>
          <w:rFonts w:ascii="Times New Roman" w:cs="Times New Roman" w:eastAsia="Times New Roman" w:hAnsi="Times New Roman"/>
          <w:sz w:val="15"/>
          <w:szCs w:val="15"/>
          <w:b w:val="1"/>
          <w:bCs w:val="1"/>
          <w:color w:val="auto"/>
        </w:rPr>
      </w:pPr>
    </w:p>
    <w:p>
      <w:pPr>
        <w:ind w:firstLine="535"/>
        <w:spacing w:after="0" w:line="269" w:lineRule="auto"/>
        <w:tabs>
          <w:tab w:leader="none" w:pos="726" w:val="left"/>
        </w:tabs>
        <w:numPr>
          <w:ilvl w:val="1"/>
          <w:numId w:val="3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Employee Confidentiality and Proprietary Rights Agreement (the “CA”)</w:t>
      </w:r>
      <w:r>
        <w:rPr>
          <w:rFonts w:ascii="Times New Roman" w:cs="Times New Roman" w:eastAsia="Times New Roman" w:hAnsi="Times New Roman"/>
          <w:sz w:val="15"/>
          <w:szCs w:val="15"/>
          <w:color w:val="auto"/>
        </w:rPr>
        <w:t>: You agree that your compliance with your Ongoing Obligations (which include your compliance with the CA) are a material term hereof and a condition of the Company paying severance benefits to you.</w:t>
      </w:r>
    </w:p>
    <w:p>
      <w:pPr>
        <w:spacing w:after="0" w:line="140" w:lineRule="exact"/>
        <w:rPr>
          <w:rFonts w:ascii="Times New Roman" w:cs="Times New Roman" w:eastAsia="Times New Roman" w:hAnsi="Times New Roman"/>
          <w:sz w:val="15"/>
          <w:szCs w:val="15"/>
          <w:color w:val="auto"/>
        </w:rPr>
      </w:pPr>
    </w:p>
    <w:p>
      <w:pPr>
        <w:jc w:val="both"/>
        <w:ind w:firstLine="535"/>
        <w:spacing w:after="0" w:line="246" w:lineRule="auto"/>
        <w:tabs>
          <w:tab w:leader="none" w:pos="746" w:val="left"/>
        </w:tabs>
        <w:numPr>
          <w:ilvl w:val="1"/>
          <w:numId w:val="3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Non-disparagement; Confidentiality of this Agreement</w:t>
      </w:r>
      <w:r>
        <w:rPr>
          <w:rFonts w:ascii="Times New Roman" w:cs="Times New Roman" w:eastAsia="Times New Roman" w:hAnsi="Times New Roman"/>
          <w:sz w:val="15"/>
          <w:szCs w:val="15"/>
          <w:color w:val="auto"/>
        </w:rPr>
        <w:t>: In accordance with Section 8(e) of the Employment Agreement and subject to Section 4(f), for the three year period following the Separation Date, you agree not to take any action or make any statement, directly or indirectly, orally, in writing or through any medium (including, but not limited to, the press or other media, computer networks or bulletin boards, or any other form of communication), which disparages, defames or criticizes the Released Parties, their officers, directors, investors or employees, the Released Parties’ business practices, or which disrupts or impairs their normal operations, including actions that would (i) harm the Released Parties’ reputation or goodwill with their current and prospective clients, business partners, or the public; or (ii) interfere with existing contracts or employment relationships with current and prospective clients, business partners or Released Parties’ employees. Further, subject to Section 4(f), you shall maintain confidentiality concerning this Agreement, including the substance, terms, existence and/or any discussions relating to it. Except as required by legal process, you will not discuss the same with anyone except your immediate family and accountants or attorneys, when such disclosure is necessary for them to render professional services</w:t>
      </w:r>
      <w:r>
        <w:rPr>
          <w:rFonts w:ascii="Times New Roman" w:cs="Times New Roman" w:eastAsia="Times New Roman" w:hAnsi="Times New Roman"/>
          <w:sz w:val="15"/>
          <w:szCs w:val="15"/>
          <w:b w:val="1"/>
          <w:bCs w:val="1"/>
          <w:color w:val="auto"/>
        </w:rPr>
        <w:t>. Nothing herein shall prohibit or bar you from providing truthful testimony in any legal proceeding or in communicating with 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Government Agencies or representative or from making any truthful disclosure required, authorized or permitted under law</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in providing such testimony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making such disclosures or communications, you will use your best efforts to ensure that this Section is complied with to the maximum extent possible. Further, nothing herein shall prohibit you (1) from disclosing that you are no longer employed by the Company, (2) from responding truthfully to any governmental investigation or inquiry by a governmental entity or any other law, subpoena, court order or other compulsory legal process, (3) from rebutting in good faith statements made by the Company that are untrue or misleading, or (4) discussing or disclosing information about sexual assault, discrimination, retaliation, or harassment in the workplace or other work-related conduct you have reason to believe is unlawful or in violation of established public policy.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57" w:name="page558"/>
    <w:bookmarkEnd w:id="557"/>
    <w:p>
      <w:pPr>
        <w:jc w:val="both"/>
        <w:ind w:firstLine="535"/>
        <w:spacing w:after="0" w:line="249" w:lineRule="auto"/>
        <w:tabs>
          <w:tab w:leader="none" w:pos="748" w:val="left"/>
        </w:tabs>
        <w:numPr>
          <w:ilvl w:val="1"/>
          <w:numId w:val="3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Non-Solicitation</w:t>
      </w:r>
      <w:r>
        <w:rPr>
          <w:rFonts w:ascii="Times New Roman" w:cs="Times New Roman" w:eastAsia="Times New Roman" w:hAnsi="Times New Roman"/>
          <w:sz w:val="15"/>
          <w:szCs w:val="15"/>
          <w:color w:val="auto"/>
        </w:rPr>
        <w:t>: Pursuant to Section 8(e) of the Employment Agreement, for a period of one year following the Separation Date, you agree that you shall not, directly or indirectly, individually or on behalf of any other person, firm, corporation or other entity, solicit, aid or induce any employee of the Company to leave such employment or to accept employment with any other person, firm, corporation or other entity unaffiliated with the Company or hire any such employee or take any action to materially assist or aid any other person, firm, corporation or other entity in identifying, hiring or soliciting any such employee. This paragraph shall not be violated by (1) general advertising or solicitation not specifically targeted at Company-related persons or entities or (2) you serving as a reference, upon request, for any employee of the Company, other than such a reference to a company with whom you are then affiliated</w:t>
      </w:r>
    </w:p>
    <w:p>
      <w:pPr>
        <w:spacing w:after="0" w:line="156" w:lineRule="exact"/>
        <w:rPr>
          <w:rFonts w:ascii="Times New Roman" w:cs="Times New Roman" w:eastAsia="Times New Roman" w:hAnsi="Times New Roman"/>
          <w:sz w:val="15"/>
          <w:szCs w:val="15"/>
          <w:color w:val="auto"/>
        </w:rPr>
      </w:pPr>
    </w:p>
    <w:p>
      <w:pPr>
        <w:jc w:val="both"/>
        <w:ind w:firstLine="535"/>
        <w:spacing w:after="0" w:line="273" w:lineRule="auto"/>
        <w:tabs>
          <w:tab w:leader="none" w:pos="735" w:val="left"/>
        </w:tabs>
        <w:numPr>
          <w:ilvl w:val="1"/>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Advance Notice</w:t>
      </w:r>
      <w:r>
        <w:rPr>
          <w:rFonts w:ascii="Times New Roman" w:cs="Times New Roman" w:eastAsia="Times New Roman" w:hAnsi="Times New Roman"/>
          <w:sz w:val="14"/>
          <w:szCs w:val="14"/>
          <w:color w:val="auto"/>
        </w:rPr>
        <w:t>: Except as set forth in Section 4(f) or as otherwise permitted by applicable law, above, you agree to give reasonable notice to the Company of any and all attempts by third parties to compel disclosure of any confidential information (as referred to in your CA), the terms of this Agreement, or to require you to testify in any matter concerning the Company, this Agreement and/or the Released Parties. Please direct such notice in writing to the Company’s President &amp; COO at least ten business days before compliance with any subpoena or order; if the subpoena or order requires compliance within less than ten business days, however, you shall provide such written notice, or if impractical, shall provide telephonic notice, within five business days after receiving notice that an attempt will be or has been made to compel your testimony or your disclosure of the Company’s confidential information.</w:t>
      </w:r>
    </w:p>
    <w:p>
      <w:pPr>
        <w:spacing w:after="0" w:line="139" w:lineRule="exact"/>
        <w:rPr>
          <w:rFonts w:ascii="Times New Roman" w:cs="Times New Roman" w:eastAsia="Times New Roman" w:hAnsi="Times New Roman"/>
          <w:sz w:val="14"/>
          <w:szCs w:val="14"/>
          <w:color w:val="auto"/>
        </w:rPr>
      </w:pPr>
    </w:p>
    <w:p>
      <w:pPr>
        <w:jc w:val="both"/>
        <w:ind w:firstLine="535"/>
        <w:spacing w:after="0" w:line="250" w:lineRule="auto"/>
        <w:tabs>
          <w:tab w:leader="none" w:pos="726" w:val="left"/>
        </w:tabs>
        <w:numPr>
          <w:ilvl w:val="1"/>
          <w:numId w:val="3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Breach; Remedies</w:t>
      </w:r>
      <w:r>
        <w:rPr>
          <w:rFonts w:ascii="Times New Roman" w:cs="Times New Roman" w:eastAsia="Times New Roman" w:hAnsi="Times New Roman"/>
          <w:sz w:val="15"/>
          <w:szCs w:val="15"/>
          <w:color w:val="auto"/>
        </w:rPr>
        <w:t>: If you breach this Agreement or any other agreement referenced herein, you agree that: (i) the Company shall be relieved of its obligations to make any further payments to you under Section 2; (ii) the Company will be entitled to seek recovery of the payment already made to you pursuant to Section 2; and (iii) the Company shall be entitled to recover its attorneys’ fees and costs incurred in enforcing its rights under this Agreement should it prevail in any such action, to the extent such recovery is not prohibited by law. This Agreement in all other respects, including, but not limited to, the release provision in Section 4, shall remain in full force and effect. The remedies in this Section shall be in addition to, and not as an alternative to, any other available remedies.</w:t>
      </w:r>
    </w:p>
    <w:p>
      <w:pPr>
        <w:spacing w:after="0" w:line="154" w:lineRule="exact"/>
        <w:rPr>
          <w:rFonts w:ascii="Times New Roman" w:cs="Times New Roman" w:eastAsia="Times New Roman" w:hAnsi="Times New Roman"/>
          <w:sz w:val="15"/>
          <w:szCs w:val="15"/>
          <w:color w:val="auto"/>
        </w:rPr>
      </w:pPr>
    </w:p>
    <w:p>
      <w:pPr>
        <w:jc w:val="both"/>
        <w:ind w:firstLine="8"/>
        <w:spacing w:after="0" w:line="269" w:lineRule="auto"/>
        <w:tabs>
          <w:tab w:leader="none" w:pos="549" w:val="left"/>
        </w:tabs>
        <w:numPr>
          <w:ilvl w:val="0"/>
          <w:numId w:val="3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Cooperation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You agree to cooperate fully with the Company’s employees and business partners in completely transitioning your work as the Company may designate. In this regard,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you agree to be available for reasonable periods of time (at mutually convenient times, considering your own commitments), either by telephone or, if you and the Company believe necessary, in person upon reasonable notice, to assist with matters relating to work performed by you on the Company’s behalf. In addition, you agree to cooperate with the Company and its attorneys at reasonable times and places in the prosecution and/or defense of any legal action wherein the Company is a party, as well as with respect to any investigation and/or audit regarding matters about which you may have knowledge. Such cooperation includes, but is not limited to, meeting with the Company’s attorneys at reasonable times and places to discuss your knowledge of pertinent facts, appearing as required at deposition, arbitration, trial or other proceeding to testify as to those facts, and testifying truthfully to the best of your abilities at any such proceeding. The Company shall reimburse you for any reasonable and approved out-of-pocket travel-related costs and expenses you incur in connection with such cooperation.</w:t>
      </w:r>
    </w:p>
    <w:p>
      <w:pPr>
        <w:spacing w:after="0" w:line="143" w:lineRule="exact"/>
        <w:rPr>
          <w:rFonts w:ascii="Times New Roman" w:cs="Times New Roman" w:eastAsia="Times New Roman" w:hAnsi="Times New Roman"/>
          <w:sz w:val="14"/>
          <w:szCs w:val="14"/>
          <w:b w:val="1"/>
          <w:bCs w:val="1"/>
          <w:color w:val="auto"/>
        </w:rPr>
      </w:pPr>
    </w:p>
    <w:p>
      <w:pPr>
        <w:ind w:left="640" w:hanging="632"/>
        <w:spacing w:after="0"/>
        <w:tabs>
          <w:tab w:leader="none" w:pos="640" w:val="left"/>
        </w:tabs>
        <w:numPr>
          <w:ilvl w:val="0"/>
          <w:numId w:val="33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Representations and Governing Law</w:t>
      </w:r>
      <w:r>
        <w:rPr>
          <w:rFonts w:ascii="Times New Roman" w:cs="Times New Roman" w:eastAsia="Times New Roman" w:hAnsi="Times New Roman"/>
          <w:sz w:val="15"/>
          <w:szCs w:val="15"/>
          <w:b w:val="1"/>
          <w:bCs w:val="1"/>
          <w:color w:val="auto"/>
        </w:rPr>
        <w:t>:</w:t>
      </w:r>
    </w:p>
    <w:p>
      <w:pPr>
        <w:spacing w:after="0" w:line="181" w:lineRule="exact"/>
        <w:rPr>
          <w:rFonts w:ascii="Times New Roman" w:cs="Times New Roman" w:eastAsia="Times New Roman" w:hAnsi="Times New Roman"/>
          <w:sz w:val="15"/>
          <w:szCs w:val="15"/>
          <w:b w:val="1"/>
          <w:bCs w:val="1"/>
          <w:color w:val="auto"/>
        </w:rPr>
      </w:pPr>
    </w:p>
    <w:p>
      <w:pPr>
        <w:jc w:val="both"/>
        <w:ind w:firstLine="535"/>
        <w:spacing w:after="0" w:line="276" w:lineRule="auto"/>
        <w:tabs>
          <w:tab w:leader="none" w:pos="726" w:val="left"/>
        </w:tabs>
        <w:numPr>
          <w:ilvl w:val="1"/>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 Amendment; Waiver; Construction of Agreement</w:t>
      </w:r>
      <w:r>
        <w:rPr>
          <w:rFonts w:ascii="Times New Roman" w:cs="Times New Roman" w:eastAsia="Times New Roman" w:hAnsi="Times New Roman"/>
          <w:sz w:val="14"/>
          <w:szCs w:val="14"/>
          <w:color w:val="auto"/>
        </w:rPr>
        <w:t>: This Agreement, the Equity Documents and the CA set forth the complete and sole agreement between the parties and supersede any and all other agreements or understandings, whether oral or written, express or implied. This Agreement may not be changed or rescinded except upon the express written consent of both you and an authorized Company officer. Any waiver of any provision of this Agreement shall not constitute a waiver of any other provision of this Agreement unless expressly so indicated otherwise. The language of all parts of this Agreement shall in all cases be construed as a whole according to its fair meaning and not strictly for or against either party.</w:t>
      </w:r>
    </w:p>
    <w:p>
      <w:pPr>
        <w:spacing w:after="0" w:line="138" w:lineRule="exact"/>
        <w:rPr>
          <w:rFonts w:ascii="Times New Roman" w:cs="Times New Roman" w:eastAsia="Times New Roman" w:hAnsi="Times New Roman"/>
          <w:sz w:val="14"/>
          <w:szCs w:val="14"/>
          <w:color w:val="auto"/>
        </w:rPr>
      </w:pPr>
    </w:p>
    <w:p>
      <w:pPr>
        <w:jc w:val="both"/>
        <w:ind w:firstLine="535"/>
        <w:spacing w:after="0" w:line="276" w:lineRule="auto"/>
        <w:tabs>
          <w:tab w:leader="none" w:pos="735" w:val="left"/>
        </w:tabs>
        <w:numPr>
          <w:ilvl w:val="1"/>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 Arbitration of Claims</w:t>
      </w:r>
      <w:r>
        <w:rPr>
          <w:rFonts w:ascii="Times New Roman" w:cs="Times New Roman" w:eastAsia="Times New Roman" w:hAnsi="Times New Roman"/>
          <w:sz w:val="14"/>
          <w:szCs w:val="14"/>
          <w:color w:val="auto"/>
        </w:rPr>
        <w:t>: This Agreement shall be deemed to be made and entered into in the State of New York. This Agreement and any claims arising out of this Agreement (or any other claims arising out of the relationship between the parties) shall be governed by and construed in accordance with the laws of the State of New York and shall in all respects be interpreted, enforced and governed under the internal and domestic laws, without giving effect to the principles of conflicts of laws of such State. Any claims or legal actions by one party against the other shall be commenced and maintained in any state or federal court located in such State, and you hereby submit to the jurisdiction and venue of any such court.</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58" w:name="page559"/>
    <w:bookmarkEnd w:id="558"/>
    <w:p>
      <w:pPr>
        <w:spacing w:after="0" w:line="269" w:lineRule="auto"/>
        <w:rPr>
          <w:sz w:val="20"/>
          <w:szCs w:val="20"/>
          <w:color w:val="auto"/>
        </w:rPr>
      </w:pPr>
      <w:r>
        <w:rPr>
          <w:rFonts w:ascii="Times New Roman" w:cs="Times New Roman" w:eastAsia="Times New Roman" w:hAnsi="Times New Roman"/>
          <w:sz w:val="15"/>
          <w:szCs w:val="15"/>
          <w:color w:val="auto"/>
        </w:rPr>
        <w:t>EACH PARTY HERETO HEREBY IRREVOCABLY WAIVES ANYAND ALL RIGHT TO TRIAL BY JURY IN ANY LEGAL PROCEEDING ARISING OUT OF OR RELATING TO THIS AGREEMENT OR THE TRANSACTIONS CONTEMPLATED HEREBY.</w:t>
      </w:r>
    </w:p>
    <w:p>
      <w:pPr>
        <w:spacing w:after="0" w:line="141" w:lineRule="exact"/>
        <w:rPr>
          <w:sz w:val="20"/>
          <w:szCs w:val="20"/>
          <w:color w:val="auto"/>
        </w:rPr>
      </w:pPr>
    </w:p>
    <w:p>
      <w:pPr>
        <w:ind w:firstLine="535"/>
        <w:spacing w:after="0" w:line="306" w:lineRule="auto"/>
        <w:tabs>
          <w:tab w:leader="none" w:pos="737"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provision of this Agreement, or part thereof, is held invalid, void or voidable as against public policy or otherwise, the invalidity shall not affect other provisions, or parts thereof, which may be given effect without the invalid provision or part. To this extent, the provisions, and parts thereof, of this Agreement are declared to be severable.</w:t>
      </w:r>
    </w:p>
    <w:p>
      <w:pPr>
        <w:spacing w:after="0" w:line="116" w:lineRule="exact"/>
        <w:rPr>
          <w:rFonts w:ascii="Times New Roman" w:cs="Times New Roman" w:eastAsia="Times New Roman" w:hAnsi="Times New Roman"/>
          <w:sz w:val="14"/>
          <w:szCs w:val="14"/>
          <w:color w:val="auto"/>
        </w:rPr>
      </w:pPr>
    </w:p>
    <w:p>
      <w:pPr>
        <w:ind w:firstLine="535"/>
        <w:spacing w:after="0" w:line="269" w:lineRule="auto"/>
        <w:tabs>
          <w:tab w:leader="none" w:pos="746"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Assignment</w:t>
      </w:r>
      <w:r>
        <w:rPr>
          <w:rFonts w:ascii="Times New Roman" w:cs="Times New Roman" w:eastAsia="Times New Roman" w:hAnsi="Times New Roman"/>
          <w:sz w:val="15"/>
          <w:szCs w:val="15"/>
          <w:color w:val="auto"/>
        </w:rPr>
        <w:t>: You shall not assign this Agreement; the Company may assign this Agreement. The benefits of this Agreement shall inure to the successors and assigns of the Company and the Released Parties and to your successors.</w:t>
      </w:r>
    </w:p>
    <w:p>
      <w:pPr>
        <w:spacing w:after="0" w:line="140" w:lineRule="exact"/>
        <w:rPr>
          <w:rFonts w:ascii="Times New Roman" w:cs="Times New Roman" w:eastAsia="Times New Roman" w:hAnsi="Times New Roman"/>
          <w:sz w:val="15"/>
          <w:szCs w:val="15"/>
          <w:color w:val="auto"/>
        </w:rPr>
      </w:pPr>
    </w:p>
    <w:p>
      <w:pPr>
        <w:ind w:left="740" w:hanging="205"/>
        <w:spacing w:after="0"/>
        <w:tabs>
          <w:tab w:leader="none" w:pos="740"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Acknowledgment of Company’s Compliance with Applicable Law</w:t>
      </w:r>
      <w:r>
        <w:rPr>
          <w:rFonts w:ascii="Times New Roman" w:cs="Times New Roman" w:eastAsia="Times New Roman" w:hAnsi="Times New Roman"/>
          <w:sz w:val="15"/>
          <w:szCs w:val="15"/>
          <w:color w:val="auto"/>
        </w:rPr>
        <w:t>: You represent that:</w:t>
      </w:r>
    </w:p>
    <w:p>
      <w:pPr>
        <w:spacing w:after="0" w:line="179" w:lineRule="exact"/>
        <w:rPr>
          <w:sz w:val="20"/>
          <w:szCs w:val="20"/>
          <w:color w:val="auto"/>
        </w:rPr>
      </w:pPr>
    </w:p>
    <w:p>
      <w:pPr>
        <w:ind w:firstLine="535"/>
        <w:spacing w:after="0" w:line="269" w:lineRule="auto"/>
        <w:tabs>
          <w:tab w:leader="none" w:pos="743" w:val="left"/>
        </w:tabs>
        <w:numPr>
          <w:ilvl w:val="0"/>
          <w:numId w:val="3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have not been subject to any retaliation or any other form of adverse action by the Released Parties for your exercise of, or attempt to exercise, any statutory rights recognized under federal, state or local law;</w:t>
      </w:r>
    </w:p>
    <w:p>
      <w:pPr>
        <w:spacing w:after="0" w:line="140" w:lineRule="exact"/>
        <w:rPr>
          <w:rFonts w:ascii="Times New Roman" w:cs="Times New Roman" w:eastAsia="Times New Roman" w:hAnsi="Times New Roman"/>
          <w:sz w:val="15"/>
          <w:szCs w:val="15"/>
          <w:color w:val="auto"/>
        </w:rPr>
      </w:pPr>
    </w:p>
    <w:p>
      <w:pPr>
        <w:ind w:left="780" w:hanging="245"/>
        <w:spacing w:after="0"/>
        <w:tabs>
          <w:tab w:leader="none" w:pos="780" w:val="left"/>
        </w:tabs>
        <w:numPr>
          <w:ilvl w:val="0"/>
          <w:numId w:val="3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have been paid all unpaid wages and accrued unused vacation;</w:t>
      </w:r>
    </w:p>
    <w:p>
      <w:pPr>
        <w:spacing w:after="0" w:line="179" w:lineRule="exact"/>
        <w:rPr>
          <w:rFonts w:ascii="Times New Roman" w:cs="Times New Roman" w:eastAsia="Times New Roman" w:hAnsi="Times New Roman"/>
          <w:sz w:val="15"/>
          <w:szCs w:val="15"/>
          <w:color w:val="auto"/>
        </w:rPr>
      </w:pPr>
    </w:p>
    <w:p>
      <w:pPr>
        <w:jc w:val="both"/>
        <w:ind w:firstLine="535"/>
        <w:spacing w:after="0" w:line="257" w:lineRule="auto"/>
        <w:tabs>
          <w:tab w:leader="none" w:pos="852" w:val="left"/>
        </w:tabs>
        <w:numPr>
          <w:ilvl w:val="0"/>
          <w:numId w:val="3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Released Parties have satisfied in full all obligations they ever had regarding leaves of absence and other time off of any kind (including, but not limited to, short-term disability leave, family medical leave, military leave, vacations, meal and rest periods, sick and personal days, and personal leave), and you have not suffered any adverse employment action as a result of seeking or taking any such leave of absence or time off; and</w:t>
      </w:r>
    </w:p>
    <w:p>
      <w:pPr>
        <w:spacing w:after="0" w:line="149" w:lineRule="exact"/>
        <w:rPr>
          <w:rFonts w:ascii="Times New Roman" w:cs="Times New Roman" w:eastAsia="Times New Roman" w:hAnsi="Times New Roman"/>
          <w:sz w:val="15"/>
          <w:szCs w:val="15"/>
          <w:color w:val="auto"/>
        </w:rPr>
      </w:pPr>
    </w:p>
    <w:p>
      <w:pPr>
        <w:jc w:val="both"/>
        <w:ind w:firstLine="535"/>
        <w:spacing w:after="0" w:line="257" w:lineRule="auto"/>
        <w:tabs>
          <w:tab w:leader="none" w:pos="822" w:val="left"/>
        </w:tabs>
        <w:numPr>
          <w:ilvl w:val="0"/>
          <w:numId w:val="3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have no known workplace injuries or occupational diseases, have not sustained any disabling injury and/or occupational disease that have resulted in a loss of wage-earning capacity during your employment, and have no personal injury and/or occupational disease that has been contributed to, or aggravated or accelerated in a significant manner by, your employment or separation from employment.</w:t>
      </w:r>
    </w:p>
    <w:p>
      <w:pPr>
        <w:spacing w:after="0" w:line="149" w:lineRule="exact"/>
        <w:rPr>
          <w:sz w:val="20"/>
          <w:szCs w:val="20"/>
          <w:color w:val="auto"/>
        </w:rPr>
      </w:pPr>
    </w:p>
    <w:p>
      <w:pPr>
        <w:jc w:val="both"/>
        <w:ind w:firstLine="535"/>
        <w:spacing w:after="0" w:line="257" w:lineRule="auto"/>
        <w:tabs>
          <w:tab w:leader="none" w:pos="721" w:val="left"/>
        </w:tabs>
        <w:numPr>
          <w:ilvl w:val="1"/>
          <w:numId w:val="3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 This Agreement may be executed in any number of counterparts, each of which will be deemed an original, but all of which will be deemed one and the same instrument. This Agreement may be executed by facsimile or electronic signature, and any such signature by any party shall be deemed to be an original signature and shall be binding on such party to the same extent as if such facsimile signature were an original signature.</w:t>
      </w:r>
    </w:p>
    <w:p>
      <w:pPr>
        <w:spacing w:after="0" w:line="147" w:lineRule="exact"/>
        <w:rPr>
          <w:rFonts w:ascii="Times New Roman" w:cs="Times New Roman" w:eastAsia="Times New Roman" w:hAnsi="Times New Roman"/>
          <w:sz w:val="15"/>
          <w:szCs w:val="15"/>
          <w:color w:val="auto"/>
        </w:rPr>
      </w:pPr>
    </w:p>
    <w:p>
      <w:pPr>
        <w:jc w:val="both"/>
        <w:ind w:firstLine="8"/>
        <w:spacing w:after="0" w:line="253" w:lineRule="auto"/>
        <w:tabs>
          <w:tab w:leader="none" w:pos="658" w:val="left"/>
        </w:tabs>
        <w:numPr>
          <w:ilvl w:val="0"/>
          <w:numId w:val="3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Review Period; Expiration of this Offer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 set forth in Section 4(e)(iii), you understand and acknowledge that you have been given the opportunity, if you so desire, to consider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this Agreement for up to twenty-one (21) days from your receipt of this Agreement before signing it (the “Consideration Period”). In signing this Agreement, you acknowledge that you have knowingly and voluntarily entered into this Agreement. To accept this Agreement, you must return a signed original or a signed PDF copy of this Agreement so that it is received by me </w:t>
      </w:r>
      <w:r>
        <w:rPr>
          <w:rFonts w:ascii="Times New Roman" w:cs="Times New Roman" w:eastAsia="Times New Roman" w:hAnsi="Times New Roman"/>
          <w:sz w:val="15"/>
          <w:szCs w:val="15"/>
          <w:b w:val="1"/>
          <w:bCs w:val="1"/>
          <w:color w:val="auto"/>
        </w:rPr>
        <w:t>before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the expiration of the Consideration Period.</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Notwithstanding the foregoing, if you breach any of the conditions of the Agreement within the Consideration Period, the offer of this Agreement may be withdrawn, and your execution of the Agreement will not be valid. For the period of seven (7) days from the date when you sign this Agreement, you have the right to revoke this Agreement by written notice to me (the “Revocation Period”). This Agreement shall become effective on the first business day following the expiration of the Revocation Period (the “Effective Date”). You acknowledge that you been advised by the Company to review this agreement with counsel before entering into it.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59" w:name="page560"/>
    <w:bookmarkEnd w:id="559"/>
    <w:p>
      <w:pPr>
        <w:spacing w:after="0"/>
        <w:rPr>
          <w:sz w:val="20"/>
          <w:szCs w:val="20"/>
          <w:color w:val="auto"/>
        </w:rPr>
      </w:pPr>
      <w:r>
        <w:rPr>
          <w:rFonts w:ascii="Times New Roman" w:cs="Times New Roman" w:eastAsia="Times New Roman" w:hAnsi="Times New Roman"/>
          <w:sz w:val="15"/>
          <w:szCs w:val="15"/>
          <w:color w:val="auto"/>
        </w:rPr>
        <w:t>We thank you for your service and wish you well.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Zenas BioPharma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Leon O. Moulder,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578860" cy="698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By: Leon O. Moulder, Jr.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Executive Chairman</w:t>
      </w:r>
    </w:p>
    <w:p>
      <w:pPr>
        <w:spacing w:after="0" w:line="340"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159"/>
          </w:cols>
          <w:pgMar w:left="300" w:top="762" w:right="1440" w:bottom="1440" w:gutter="0" w:footer="0" w:header="0"/>
        </w:sectPr>
      </w:pPr>
    </w:p>
    <w:bookmarkStart w:id="560" w:name="page561"/>
    <w:bookmarkEnd w:id="560"/>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PLEASE REVIEW CAREFULLY</w:t>
      </w:r>
    </w:p>
    <w:p>
      <w:pPr>
        <w:spacing w:after="0" w:line="17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b w:val="1"/>
          <w:bCs w:val="1"/>
          <w:color w:val="auto"/>
        </w:rPr>
        <w:t>THIS AGREEMENT HAS A RELEASE OF CERTAIN LEGAL RIGHTS YOU MAY HAVE. YOU SHOULD CONSULT WITH AN ATTORNEY REGARDING THE RELEASE AND OTHER ASPECTS OF THIS AGREEMENT BEFORE SIGNING IT.</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b w:val="1"/>
          <w:bCs w:val="1"/>
          <w:color w:val="auto"/>
        </w:rPr>
        <w:t>YOU UNDERSTAND THAT BY SIGNING THIS AGREEMENT, YOU ARE EXPRESSLY WAIVING ANY AND ALL RIGHTS TO A TRIAL OR HEARING BEFORE A JURY FOR ANY AND ALL DISPUTES AND CLAIMS RELATING TO THIS AGREEMENT, THE TRANSACTIONS CONTEMPLATED THEREBY, AND/OR THE EMPLOYMENT RELATIONSHIP.</w:t>
      </w:r>
    </w:p>
    <w:p>
      <w:pPr>
        <w:spacing w:after="0" w:line="14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color w:val="auto"/>
        </w:rPr>
        <w:t>YOUR EMPLOYMENT BY THE COMPANY IS TERMINATING. SUCH TERMINATION WILL NOT BE AFFECTED BY YOUR ACCEPTANCE OR FAILURE TO ACCEPT THIS AGREEMENT. IF YOU DO NOT ACCEPT IT, YOU WILL NOT RECEIVE THE PAYMENTS IN SECTION 2.</w:t>
      </w:r>
    </w:p>
    <w:p>
      <w:pPr>
        <w:spacing w:after="0" w:line="13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color w:val="auto"/>
        </w:rPr>
        <w:t>YOU REPRESENT THAT YOU HAVE READ THE FOREGOING AGREEMENT, FULLY UNDERSTAND ITS TERMS AND CONDITIONS, AND VOLUNTARILY ARE EXECUTING IT.</w:t>
      </w:r>
    </w:p>
    <w:p>
      <w:pPr>
        <w:spacing w:after="0" w:line="13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b w:val="1"/>
          <w:bCs w:val="1"/>
          <w:color w:val="auto"/>
        </w:rPr>
        <w:t>IN ENTERING INTO THIS AGREEMENT, YOU DO NOT RELY ON ANY REPRESENTATION, PROMISE OR INDUCEMENT MADE BY THE RELEASED PARTIES WITH THE EXCEPTION OF THE CONSIDERATION IN THIS DOCUMENT.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ACCEPTED: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 Hua Mu</w:t>
            </w:r>
          </w:p>
        </w:tc>
        <w:tc>
          <w:tcPr>
            <w:tcW w:w="58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Date:   14-Jul-2023</w:t>
            </w:r>
          </w:p>
        </w:tc>
      </w:tr>
      <w:tr>
        <w:trPr>
          <w:trHeight w:val="181"/>
        </w:trPr>
        <w:tc>
          <w:tcPr>
            <w:tcW w:w="20" w:type="dxa"/>
            <w:vAlign w:val="bottom"/>
          </w:tcPr>
          <w:p>
            <w:pPr>
              <w:spacing w:after="0"/>
              <w:rPr>
                <w:sz w:val="15"/>
                <w:szCs w:val="15"/>
                <w:color w:val="auto"/>
              </w:rPr>
            </w:pPr>
          </w:p>
        </w:tc>
        <w:tc>
          <w:tcPr>
            <w:tcW w:w="5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Hua Mu</w:t>
            </w:r>
          </w:p>
        </w:tc>
        <w:tc>
          <w:tcPr>
            <w:tcW w:w="1020" w:type="dxa"/>
            <w:vAlign w:val="bottom"/>
          </w:tcPr>
          <w:p>
            <w:pPr>
              <w:spacing w:after="0"/>
              <w:rPr>
                <w:sz w:val="15"/>
                <w:szCs w:val="15"/>
                <w:color w:val="auto"/>
              </w:rPr>
            </w:pPr>
          </w:p>
        </w:tc>
        <w:tc>
          <w:tcPr>
            <w:tcW w:w="4840" w:type="dxa"/>
            <w:vAlign w:val="bottom"/>
            <w:tcBorders>
              <w:top w:val="single" w:sz="8" w:color="auto"/>
            </w:tcBorders>
          </w:tcPr>
          <w:p>
            <w:pPr>
              <w:spacing w:after="0"/>
              <w:rPr>
                <w:sz w:val="15"/>
                <w:szCs w:val="15"/>
                <w:color w:val="auto"/>
              </w:rPr>
            </w:pPr>
          </w:p>
        </w:tc>
      </w:tr>
      <w:tr>
        <w:trPr>
          <w:trHeight w:val="513"/>
        </w:trPr>
        <w:tc>
          <w:tcPr>
            <w:tcW w:w="20" w:type="dxa"/>
            <w:vAlign w:val="bottom"/>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5"/>
                <w:szCs w:val="15"/>
                <w:color w:val="auto"/>
              </w:rPr>
              <w:t>10</w:t>
            </w: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60" w:right="319" w:bottom="1440" w:gutter="0" w:footer="0" w:header="0"/>
        </w:sectPr>
      </w:pPr>
    </w:p>
    <w:bookmarkStart w:id="561" w:name="page562"/>
    <w:bookmarkEnd w:id="561"/>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EXHIBIT A</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CERTIFICATE UPDATING RELEASE OF CLAIMS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TO BE SIGNED NO EARLIER THAN DECEMBER 31, 2023</w:t>
      </w:r>
    </w:p>
    <w:p>
      <w:pPr>
        <w:spacing w:after="0" w:line="181" w:lineRule="exact"/>
        <w:rPr>
          <w:sz w:val="20"/>
          <w:szCs w:val="20"/>
          <w:color w:val="auto"/>
        </w:rPr>
      </w:pPr>
    </w:p>
    <w:p>
      <w:pPr>
        <w:jc w:val="both"/>
        <w:ind w:firstLine="527"/>
        <w:spacing w:after="0" w:line="257" w:lineRule="auto"/>
        <w:rPr>
          <w:sz w:val="20"/>
          <w:szCs w:val="20"/>
          <w:color w:val="auto"/>
        </w:rPr>
      </w:pPr>
      <w:r>
        <w:rPr>
          <w:rFonts w:ascii="Times New Roman" w:cs="Times New Roman" w:eastAsia="Times New Roman" w:hAnsi="Times New Roman"/>
          <w:sz w:val="15"/>
          <w:szCs w:val="15"/>
          <w:color w:val="auto"/>
        </w:rPr>
        <w:t>I, Hua Mu, hereby acknowledge and certify that I entered into a Severance Agreement and General Release (the “Agreement”) with Zenas BioPharma (the “Company”). Pursuant to that Agreement, I am required to execute this certificate, which updates the release of claims in Section 5 of the Agreement (this “Certificate”) in order to receive the severance benefits in Section 2 of the Agreement. I, therefore, agree as follows:</w:t>
      </w:r>
    </w:p>
    <w:p>
      <w:pPr>
        <w:spacing w:after="0" w:line="149" w:lineRule="exact"/>
        <w:rPr>
          <w:sz w:val="20"/>
          <w:szCs w:val="20"/>
          <w:color w:val="auto"/>
        </w:rPr>
      </w:pPr>
    </w:p>
    <w:p>
      <w:pPr>
        <w:ind w:left="1060" w:hanging="525"/>
        <w:spacing w:after="0" w:line="269" w:lineRule="auto"/>
        <w:tabs>
          <w:tab w:leader="none" w:pos="1060" w:val="left"/>
        </w:tabs>
        <w:numPr>
          <w:ilvl w:val="0"/>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blank copy of this Certificate was attached to the Agreement as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I hereby certify and acknowledge that I received the Agreement and this Certificate at least 21 days before I was required to sign them. The Company has advised me to consult an attorney prior to signing this Certificate.</w:t>
      </w:r>
    </w:p>
    <w:p>
      <w:pPr>
        <w:spacing w:after="0" w:line="140" w:lineRule="exact"/>
        <w:rPr>
          <w:rFonts w:ascii="Times New Roman" w:cs="Times New Roman" w:eastAsia="Times New Roman" w:hAnsi="Times New Roman"/>
          <w:sz w:val="15"/>
          <w:szCs w:val="15"/>
          <w:color w:val="auto"/>
        </w:rPr>
      </w:pPr>
    </w:p>
    <w:p>
      <w:pPr>
        <w:jc w:val="both"/>
        <w:ind w:left="1060" w:hanging="525"/>
        <w:spacing w:after="0" w:line="257" w:lineRule="auto"/>
        <w:tabs>
          <w:tab w:leader="none" w:pos="1060" w:val="left"/>
        </w:tabs>
        <w:numPr>
          <w:ilvl w:val="0"/>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consideration of the severance payments and benefits described in Section 2 of the Agreement, for which I become eligible only if I sign this Certificate, I hereby extend the release of claims in Section 4 of the Agreement to any and all claims that arose after the date I signed the Agreement through the date I signed this Certificate, subject to all other exclusions and terms set forth in the Agreement.</w:t>
      </w:r>
    </w:p>
    <w:p>
      <w:pPr>
        <w:spacing w:after="0" w:line="149" w:lineRule="exact"/>
        <w:rPr>
          <w:rFonts w:ascii="Times New Roman" w:cs="Times New Roman" w:eastAsia="Times New Roman" w:hAnsi="Times New Roman"/>
          <w:sz w:val="15"/>
          <w:szCs w:val="15"/>
          <w:color w:val="auto"/>
        </w:rPr>
      </w:pPr>
    </w:p>
    <w:p>
      <w:pPr>
        <w:jc w:val="both"/>
        <w:ind w:left="1060" w:hanging="525"/>
        <w:spacing w:after="0" w:line="252" w:lineRule="auto"/>
        <w:tabs>
          <w:tab w:leader="none" w:pos="1060" w:val="left"/>
        </w:tabs>
        <w:numPr>
          <w:ilvl w:val="0"/>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Section 4(e) of the Agreement, the Company made a number of disclosures to me regarding my rights under the Age Discrimination in Employment Act (the “ADEA”). I understand that in signing this Certificate in consideration for the amounts described in Section 2 of the Agreement, I am specifically waiving such rights and/or claims under the ADEA to the extent that such rights and/or claims arose prior to or on the date that the Certificate is executed by me. I also make the following acknowledgements and representations:</w:t>
      </w:r>
    </w:p>
    <w:p>
      <w:pPr>
        <w:spacing w:after="0" w:line="154" w:lineRule="exact"/>
        <w:rPr>
          <w:rFonts w:ascii="Times New Roman" w:cs="Times New Roman" w:eastAsia="Times New Roman" w:hAnsi="Times New Roman"/>
          <w:sz w:val="15"/>
          <w:szCs w:val="15"/>
          <w:color w:val="auto"/>
        </w:rPr>
      </w:pPr>
    </w:p>
    <w:p>
      <w:pPr>
        <w:ind w:left="2100" w:hanging="510"/>
        <w:spacing w:after="0"/>
        <w:tabs>
          <w:tab w:leader="none" w:pos="2100" w:val="left"/>
        </w:tabs>
        <w:numPr>
          <w:ilvl w:val="1"/>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understand that rights or claims under the ADEA which may arise after the date this Certificate is executed are not waived by me;</w:t>
      </w:r>
    </w:p>
    <w:p>
      <w:pPr>
        <w:spacing w:after="0" w:line="179" w:lineRule="exact"/>
        <w:rPr>
          <w:rFonts w:ascii="Times New Roman" w:cs="Times New Roman" w:eastAsia="Times New Roman" w:hAnsi="Times New Roman"/>
          <w:sz w:val="15"/>
          <w:szCs w:val="15"/>
          <w:color w:val="auto"/>
        </w:rPr>
      </w:pPr>
    </w:p>
    <w:p>
      <w:pPr>
        <w:jc w:val="both"/>
        <w:ind w:left="1600" w:hanging="10"/>
        <w:spacing w:after="0" w:line="257" w:lineRule="auto"/>
        <w:tabs>
          <w:tab w:leader="none" w:pos="2205" w:val="left"/>
        </w:tabs>
        <w:numPr>
          <w:ilvl w:val="1"/>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acknowledge that I have been advised that I should consult with my counsel of choice prior to executing this Certificate, that I have had at least twenty-one (21) days to review this Certificate and consider its terms before signing it, and I have not been subject to any undue or improper influence interfering with the exercise of my free will in deciding whether to consult with counsel;</w:t>
      </w:r>
    </w:p>
    <w:p>
      <w:pPr>
        <w:spacing w:after="0" w:line="149" w:lineRule="exact"/>
        <w:rPr>
          <w:rFonts w:ascii="Times New Roman" w:cs="Times New Roman" w:eastAsia="Times New Roman" w:hAnsi="Times New Roman"/>
          <w:sz w:val="15"/>
          <w:szCs w:val="15"/>
          <w:color w:val="auto"/>
        </w:rPr>
      </w:pPr>
    </w:p>
    <w:p>
      <w:pPr>
        <w:jc w:val="both"/>
        <w:ind w:left="1600" w:hanging="10"/>
        <w:spacing w:after="0" w:line="257" w:lineRule="auto"/>
        <w:tabs>
          <w:tab w:leader="none" w:pos="2296" w:val="left"/>
        </w:tabs>
        <w:numPr>
          <w:ilvl w:val="1"/>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carefully read and fully understand all of the provisions of this Certificate, I knowingly and voluntarily agree to all of the terms set forth in this Certificate, and I acknowledge that in entering into this Certificate, I am not relying on any representation, promise or inducement made by the Company or its representatives with the exception of those promises contained in the Certificate and the Agreement; and</w:t>
      </w:r>
    </w:p>
    <w:p>
      <w:pPr>
        <w:spacing w:after="0" w:line="149" w:lineRule="exact"/>
        <w:rPr>
          <w:rFonts w:ascii="Times New Roman" w:cs="Times New Roman" w:eastAsia="Times New Roman" w:hAnsi="Times New Roman"/>
          <w:sz w:val="15"/>
          <w:szCs w:val="15"/>
          <w:color w:val="auto"/>
        </w:rPr>
      </w:pPr>
    </w:p>
    <w:p>
      <w:pPr>
        <w:jc w:val="both"/>
        <w:ind w:left="1600" w:hanging="10"/>
        <w:spacing w:after="0" w:line="257" w:lineRule="auto"/>
        <w:tabs>
          <w:tab w:leader="none" w:pos="1788" w:val="left"/>
        </w:tabs>
        <w:numPr>
          <w:ilvl w:val="1"/>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understand that I may revoke this Certificate for a period of seven (7) days following my execution hereof. I further understand that this Certificate shall not become effective or enforceable until the seven (7) day revocation period has expired (</w:t>
      </w:r>
      <w:r>
        <w:rPr>
          <w:rFonts w:ascii="Times New Roman" w:cs="Times New Roman" w:eastAsia="Times New Roman" w:hAnsi="Times New Roman"/>
          <w:sz w:val="15"/>
          <w:szCs w:val="15"/>
          <w:u w:val="single" w:color="auto"/>
          <w:color w:val="auto"/>
        </w:rPr>
        <w:t>i.e.</w:t>
      </w:r>
      <w:r>
        <w:rPr>
          <w:rFonts w:ascii="Times New Roman" w:cs="Times New Roman" w:eastAsia="Times New Roman" w:hAnsi="Times New Roman"/>
          <w:sz w:val="15"/>
          <w:szCs w:val="15"/>
          <w:color w:val="auto"/>
        </w:rPr>
        <w:t>, on the eighth day following my execution of it)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If I wish to revoke the Certificate, I must provide written notice of my revocation to the Company on or before the seventh day following my execution of it.</w:t>
      </w:r>
    </w:p>
    <w:p>
      <w:pPr>
        <w:spacing w:after="0" w:line="149" w:lineRule="exact"/>
        <w:rPr>
          <w:rFonts w:ascii="Times New Roman" w:cs="Times New Roman" w:eastAsia="Times New Roman" w:hAnsi="Times New Roman"/>
          <w:sz w:val="15"/>
          <w:szCs w:val="15"/>
          <w:color w:val="auto"/>
        </w:rPr>
      </w:pPr>
    </w:p>
    <w:p>
      <w:pPr>
        <w:jc w:val="both"/>
        <w:ind w:left="1060" w:hanging="525"/>
        <w:spacing w:after="0" w:line="257" w:lineRule="auto"/>
        <w:tabs>
          <w:tab w:leader="none" w:pos="1060" w:val="left"/>
        </w:tabs>
        <w:numPr>
          <w:ilvl w:val="0"/>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carefully read and fully understand all of the provisions of this Certificate, I knowingly and voluntarily agree to all of the terms set forth in this Certificate, and I acknowledge that in entering into this Certificate, I am not relying on any representation, promise or inducement made by the Company or its representatives with the exception of those promises contained in the Certificate and the Agreement; and</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62" w:name="page563"/>
    <w:bookmarkEnd w:id="562"/>
    <w:p>
      <w:pPr>
        <w:ind w:left="1060" w:hanging="525"/>
        <w:spacing w:after="0"/>
        <w:tabs>
          <w:tab w:leader="none" w:pos="1060" w:val="left"/>
        </w:tabs>
        <w:numPr>
          <w:ilvl w:val="0"/>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agree that this Certificate is part of the Agreement and shall become effective on the eighth day following my execution of it (the “Effective Date”).</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Hua Mu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3578860" cy="698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11430</wp:posOffset>
            </wp:positionV>
            <wp:extent cx="1074420" cy="698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074420" cy="6985"/>
                    </a:xfrm>
                    <a:prstGeom prst="rect">
                      <a:avLst/>
                    </a:prstGeom>
                    <a:noFill/>
                  </pic:spPr>
                </pic:pic>
              </a:graphicData>
            </a:graphic>
          </wp:anchor>
        </w:drawing>
      </w:r>
    </w:p>
    <w:p>
      <w:pPr>
        <w:spacing w:after="0" w:line="3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159"/>
          </w:cols>
          <w:pgMar w:left="300" w:top="762" w:right="1440" w:bottom="1440" w:gutter="0" w:footer="0" w:header="0"/>
        </w:sectPr>
      </w:pPr>
    </w:p>
    <w:bookmarkStart w:id="563" w:name="page564"/>
    <w:bookmarkEnd w:id="563"/>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We consent to the reference to our firm under the caption “Experts” and to the use of our report dated May 15, 2024, in the Registration Statement (Form S-1) and related Prospectus of Zenas BioPharma, Inc. dated August 22,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 Ernst &amp; Young LLP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Boston, Massachusetts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August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57720" cy="698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321" w:right="319" w:bottom="1440" w:gutter="0" w:footer="0" w:header="0"/>
        </w:sectPr>
      </w:pPr>
    </w:p>
    <w:bookmarkStart w:id="564" w:name="page565"/>
    <w:bookmarkEnd w:id="564"/>
    <w:p>
      <w:pPr>
        <w:jc w:val="right"/>
        <w:spacing w:after="0"/>
        <w:rPr>
          <w:sz w:val="20"/>
          <w:szCs w:val="20"/>
          <w:color w:val="auto"/>
        </w:rPr>
      </w:pPr>
      <w:r>
        <w:rPr>
          <w:rFonts w:ascii="Times New Roman" w:cs="Times New Roman" w:eastAsia="Times New Roman" w:hAnsi="Times New Roman"/>
          <w:sz w:val="15"/>
          <w:szCs w:val="15"/>
          <w:b w:val="1"/>
          <w:bCs w:val="1"/>
          <w:color w:val="auto"/>
        </w:rPr>
        <w:t>Exhibit 107</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Calculation of Filing Fee Tables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S-1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ZENAS BIOPHARMA, INC.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Table 1: Newly Registered Securities</w:t>
      </w:r>
    </w:p>
    <w:p>
      <w:pPr>
        <w:spacing w:after="0" w:line="174" w:lineRule="exact"/>
        <w:rPr>
          <w:sz w:val="20"/>
          <w:szCs w:val="20"/>
          <w:color w:val="auto"/>
        </w:rPr>
      </w:pPr>
    </w:p>
    <w:tbl>
      <w:tblPr>
        <w:tblLayout w:type="fixed"/>
        <w:tblInd w:w="590" w:type="dxa"/>
        <w:tblCellMar>
          <w:top w:w="0" w:type="dxa"/>
          <w:left w:w="0" w:type="dxa"/>
          <w:bottom w:w="0" w:type="dxa"/>
          <w:right w:w="0" w:type="dxa"/>
        </w:tblCellMar>
      </w:tblPr>
      <w:tr>
        <w:trPr>
          <w:trHeight w:val="181"/>
        </w:trPr>
        <w:tc>
          <w:tcPr>
            <w:tcW w:w="840" w:type="dxa"/>
            <w:vAlign w:val="bottom"/>
            <w:tcBorders>
              <w:top w:val="single" w:sz="8" w:color="auto"/>
              <w:left w:val="single" w:sz="8" w:color="auto"/>
              <w:right w:val="single" w:sz="8" w:color="auto"/>
            </w:tcBorders>
          </w:tcPr>
          <w:p>
            <w:pPr>
              <w:spacing w:after="0"/>
              <w:rPr>
                <w:sz w:val="15"/>
                <w:szCs w:val="15"/>
                <w:color w:val="auto"/>
              </w:rPr>
            </w:pPr>
          </w:p>
        </w:tc>
        <w:tc>
          <w:tcPr>
            <w:tcW w:w="820" w:type="dxa"/>
            <w:vAlign w:val="bottom"/>
            <w:tcBorders>
              <w:top w:val="single" w:sz="8" w:color="auto"/>
              <w:right w:val="single" w:sz="8" w:color="auto"/>
            </w:tcBorders>
          </w:tcPr>
          <w:p>
            <w:pPr>
              <w:spacing w:after="0"/>
              <w:rPr>
                <w:sz w:val="15"/>
                <w:szCs w:val="15"/>
                <w:color w:val="auto"/>
              </w:rPr>
            </w:pPr>
          </w:p>
        </w:tc>
        <w:tc>
          <w:tcPr>
            <w:tcW w:w="1920" w:type="dxa"/>
            <w:vAlign w:val="bottom"/>
            <w:tcBorders>
              <w:top w:val="single" w:sz="8" w:color="auto"/>
              <w:right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7"/>
              </w:rPr>
              <w:t>Fee</w:t>
            </w:r>
          </w:p>
        </w:tc>
        <w:tc>
          <w:tcPr>
            <w:tcW w:w="90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Proposed</w:t>
            </w:r>
          </w:p>
        </w:tc>
        <w:tc>
          <w:tcPr>
            <w:tcW w:w="142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spacing w:after="0"/>
              <w:rPr>
                <w:sz w:val="15"/>
                <w:szCs w:val="15"/>
                <w:color w:val="auto"/>
              </w:rPr>
            </w:pPr>
          </w:p>
        </w:tc>
        <w:tc>
          <w:tcPr>
            <w:tcW w:w="11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tcBorders>
              <w:left w:val="single" w:sz="8" w:color="auto"/>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right w:val="single" w:sz="8" w:color="auto"/>
            </w:tcBorders>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9"/>
              </w:rPr>
              <w:t>Calculation</w:t>
            </w:r>
          </w:p>
        </w:tc>
        <w:tc>
          <w:tcPr>
            <w:tcW w:w="9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Maximum</w:t>
            </w:r>
          </w:p>
        </w:tc>
        <w:tc>
          <w:tcPr>
            <w:tcW w:w="14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tcBorders>
              <w:left w:val="single" w:sz="8" w:color="auto"/>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right w:val="single" w:sz="8" w:color="auto"/>
            </w:tcBorders>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4"/>
              </w:rPr>
              <w:t>or Carry</w:t>
            </w:r>
          </w:p>
        </w:tc>
        <w:tc>
          <w:tcPr>
            <w:tcW w:w="9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Offering</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Maximum</w:t>
            </w:r>
          </w:p>
        </w:tc>
        <w:tc>
          <w:tcPr>
            <w:tcW w:w="12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Amount of</w:t>
            </w:r>
          </w:p>
        </w:tc>
        <w:tc>
          <w:tcPr>
            <w:tcW w:w="0" w:type="dxa"/>
            <w:vAlign w:val="bottom"/>
          </w:tcPr>
          <w:p>
            <w:pPr>
              <w:spacing w:after="0"/>
              <w:rPr>
                <w:sz w:val="1"/>
                <w:szCs w:val="1"/>
                <w:color w:val="auto"/>
              </w:rPr>
            </w:pPr>
          </w:p>
        </w:tc>
      </w:tr>
      <w:tr>
        <w:trPr>
          <w:trHeight w:val="176"/>
        </w:trPr>
        <w:tc>
          <w:tcPr>
            <w:tcW w:w="840" w:type="dxa"/>
            <w:vAlign w:val="bottom"/>
            <w:tcBorders>
              <w:left w:val="single" w:sz="8" w:color="auto"/>
              <w:right w:val="single" w:sz="8" w:color="auto"/>
            </w:tcBorders>
          </w:tcPr>
          <w:p>
            <w:pPr>
              <w:spacing w:after="0"/>
              <w:rPr>
                <w:sz w:val="15"/>
                <w:szCs w:val="15"/>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Security</w:t>
            </w:r>
          </w:p>
        </w:tc>
        <w:tc>
          <w:tcPr>
            <w:tcW w:w="19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right w:val="single" w:sz="8" w:color="auto"/>
            </w:tcBorders>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5"/>
              </w:rPr>
              <w:t>Forward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Price Per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Aggregate</w:t>
            </w:r>
          </w:p>
        </w:tc>
        <w:tc>
          <w:tcPr>
            <w:tcW w:w="12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Registration</w:t>
            </w:r>
          </w:p>
        </w:tc>
        <w:tc>
          <w:tcPr>
            <w:tcW w:w="0" w:type="dxa"/>
            <w:vAlign w:val="bottom"/>
          </w:tcPr>
          <w:p>
            <w:pPr>
              <w:spacing w:after="0"/>
              <w:rPr>
                <w:sz w:val="1"/>
                <w:szCs w:val="1"/>
                <w:color w:val="auto"/>
              </w:rPr>
            </w:pPr>
          </w:p>
        </w:tc>
      </w:tr>
      <w:tr>
        <w:trPr>
          <w:trHeight w:val="198"/>
        </w:trPr>
        <w:tc>
          <w:tcPr>
            <w:tcW w:w="84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2"/>
              </w:rPr>
              <w:t>Type</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Security Class Title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9"/>
              </w:rPr>
              <w:t>Rule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Registered</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Unit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Offering Price(1)</w:t>
            </w:r>
          </w:p>
        </w:tc>
        <w:tc>
          <w:tcPr>
            <w:tcW w:w="12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5"/>
                <w:szCs w:val="15"/>
                <w:b w:val="1"/>
                <w:bCs w:val="1"/>
                <w:color w:val="auto"/>
              </w:rPr>
              <w:t>Fee Rate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Fee(2)</w:t>
            </w:r>
          </w:p>
        </w:tc>
        <w:tc>
          <w:tcPr>
            <w:tcW w:w="0" w:type="dxa"/>
            <w:vAlign w:val="bottom"/>
          </w:tcPr>
          <w:p>
            <w:pPr>
              <w:spacing w:after="0"/>
              <w:rPr>
                <w:sz w:val="1"/>
                <w:szCs w:val="1"/>
                <w:color w:val="auto"/>
              </w:rPr>
            </w:pPr>
          </w:p>
        </w:tc>
      </w:tr>
      <w:tr>
        <w:trPr>
          <w:trHeight w:val="333"/>
        </w:trPr>
        <w:tc>
          <w:tcPr>
            <w:tcW w:w="8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Common Stock,</w:t>
            </w:r>
          </w:p>
        </w:tc>
        <w:tc>
          <w:tcPr>
            <w:tcW w:w="18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40" w:type="dxa"/>
            <w:vAlign w:val="bottom"/>
            <w:tcBorders>
              <w:left w:val="single" w:sz="8" w:color="auto"/>
              <w:right w:val="single" w:sz="8" w:color="auto"/>
            </w:tcBorders>
            <w:vMerge w:val="restart"/>
          </w:tcPr>
          <w:p>
            <w:pPr>
              <w:jc w:val="center"/>
              <w:ind w:left="27"/>
              <w:spacing w:after="0"/>
              <w:rPr>
                <w:sz w:val="20"/>
                <w:szCs w:val="20"/>
                <w:color w:val="auto"/>
              </w:rPr>
            </w:pPr>
            <w:r>
              <w:rPr>
                <w:rFonts w:ascii="Times New Roman" w:cs="Times New Roman" w:eastAsia="Times New Roman" w:hAnsi="Times New Roman"/>
                <w:sz w:val="15"/>
                <w:szCs w:val="15"/>
                <w:color w:val="auto"/>
                <w:w w:val="97"/>
              </w:rPr>
              <w:t>Fees to Be</w:t>
            </w:r>
          </w:p>
        </w:tc>
        <w:tc>
          <w:tcPr>
            <w:tcW w:w="82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par value</w:t>
            </w:r>
          </w:p>
        </w:tc>
        <w:tc>
          <w:tcPr>
            <w:tcW w:w="1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40" w:type="dxa"/>
            <w:vAlign w:val="bottom"/>
            <w:tcBorders>
              <w:left w:val="single" w:sz="8" w:color="auto"/>
              <w:right w:val="single" w:sz="8" w:color="auto"/>
            </w:tcBorders>
            <w:vMerge w:val="continue"/>
          </w:tcPr>
          <w:p>
            <w:pPr>
              <w:spacing w:after="0"/>
              <w:rPr>
                <w:sz w:val="7"/>
                <w:szCs w:val="7"/>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4"/>
              </w:rPr>
              <w:t>Equity</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$0.0001 per</w:t>
            </w:r>
          </w:p>
        </w:tc>
        <w:tc>
          <w:tcPr>
            <w:tcW w:w="180" w:type="dxa"/>
            <w:vAlign w:val="bottom"/>
          </w:tcPr>
          <w:p>
            <w:pPr>
              <w:spacing w:after="0"/>
              <w:rPr>
                <w:sz w:val="7"/>
                <w:szCs w:val="7"/>
                <w:color w:val="auto"/>
              </w:rPr>
            </w:pPr>
          </w:p>
        </w:tc>
        <w:tc>
          <w:tcPr>
            <w:tcW w:w="860" w:type="dxa"/>
            <w:vAlign w:val="bottom"/>
            <w:tcBorders>
              <w:right w:val="single" w:sz="8" w:color="auto"/>
            </w:tcBorders>
            <w:vMerge w:val="restart"/>
          </w:tcPr>
          <w:p>
            <w:pPr>
              <w:jc w:val="center"/>
              <w:ind w:right="47"/>
              <w:spacing w:after="0"/>
              <w:rPr>
                <w:sz w:val="20"/>
                <w:szCs w:val="20"/>
                <w:color w:val="auto"/>
              </w:rPr>
            </w:pPr>
            <w:r>
              <w:rPr>
                <w:rFonts w:ascii="Times New Roman" w:cs="Times New Roman" w:eastAsia="Times New Roman" w:hAnsi="Times New Roman"/>
                <w:sz w:val="15"/>
                <w:szCs w:val="15"/>
                <w:color w:val="auto"/>
                <w:w w:val="94"/>
              </w:rPr>
              <w:t>457(o)</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$100,000,000</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0.00014760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$14,760.00</w:t>
            </w:r>
          </w:p>
        </w:tc>
        <w:tc>
          <w:tcPr>
            <w:tcW w:w="0" w:type="dxa"/>
            <w:vAlign w:val="bottom"/>
          </w:tcPr>
          <w:p>
            <w:pPr>
              <w:spacing w:after="0"/>
              <w:rPr>
                <w:sz w:val="1"/>
                <w:szCs w:val="1"/>
                <w:color w:val="auto"/>
              </w:rPr>
            </w:pPr>
          </w:p>
        </w:tc>
      </w:tr>
      <w:tr>
        <w:trPr>
          <w:trHeight w:val="88"/>
        </w:trPr>
        <w:tc>
          <w:tcPr>
            <w:tcW w:w="840" w:type="dxa"/>
            <w:vAlign w:val="bottom"/>
            <w:tcBorders>
              <w:left w:val="single" w:sz="8" w:color="auto"/>
              <w:right w:val="single" w:sz="8" w:color="auto"/>
            </w:tcBorders>
            <w:vMerge w:val="restart"/>
          </w:tcPr>
          <w:p>
            <w:pPr>
              <w:jc w:val="center"/>
              <w:ind w:left="27"/>
              <w:spacing w:after="0"/>
              <w:rPr>
                <w:sz w:val="20"/>
                <w:szCs w:val="20"/>
                <w:color w:val="auto"/>
              </w:rPr>
            </w:pPr>
            <w:r>
              <w:rPr>
                <w:rFonts w:ascii="Times New Roman" w:cs="Times New Roman" w:eastAsia="Times New Roman" w:hAnsi="Times New Roman"/>
                <w:sz w:val="15"/>
                <w:szCs w:val="15"/>
                <w:color w:val="auto"/>
                <w:w w:val="97"/>
              </w:rPr>
              <w:t>Paid</w:t>
            </w:r>
          </w:p>
        </w:tc>
        <w:tc>
          <w:tcPr>
            <w:tcW w:w="82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840" w:type="dxa"/>
            <w:vAlign w:val="bottom"/>
            <w:tcBorders>
              <w:left w:val="single" w:sz="8" w:color="auto"/>
              <w:right w:val="single" w:sz="8" w:color="auto"/>
            </w:tcBorders>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vMerge w:val="restart"/>
          </w:tcPr>
          <w:p>
            <w:pPr>
              <w:jc w:val="center"/>
              <w:ind w:left="7"/>
              <w:spacing w:after="0"/>
              <w:rPr>
                <w:sz w:val="20"/>
                <w:szCs w:val="20"/>
                <w:color w:val="auto"/>
              </w:rPr>
            </w:pPr>
            <w:r>
              <w:rPr>
                <w:rFonts w:ascii="Times New Roman" w:cs="Times New Roman" w:eastAsia="Times New Roman" w:hAnsi="Times New Roman"/>
                <w:sz w:val="15"/>
                <w:szCs w:val="15"/>
                <w:color w:val="auto"/>
                <w:w w:val="97"/>
              </w:rPr>
              <w:t>share(3)</w:t>
            </w:r>
          </w:p>
        </w:tc>
        <w:tc>
          <w:tcPr>
            <w:tcW w:w="18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840" w:type="dxa"/>
            <w:vAlign w:val="bottom"/>
            <w:tcBorders>
              <w:left w:val="single" w:sz="8" w:color="auto"/>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gridSpan w:val="2"/>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3"/>
          </w:tcPr>
          <w:p>
            <w:pPr>
              <w:jc w:val="center"/>
              <w:ind w:left="67"/>
              <w:spacing w:after="0"/>
              <w:rPr>
                <w:sz w:val="20"/>
                <w:szCs w:val="20"/>
                <w:color w:val="auto"/>
              </w:rPr>
            </w:pPr>
            <w:r>
              <w:rPr>
                <w:rFonts w:ascii="Times New Roman" w:cs="Times New Roman" w:eastAsia="Times New Roman" w:hAnsi="Times New Roman"/>
                <w:sz w:val="15"/>
                <w:szCs w:val="15"/>
                <w:b w:val="1"/>
                <w:bCs w:val="1"/>
                <w:color w:val="auto"/>
                <w:w w:val="96"/>
              </w:rPr>
              <w:t>Total Offering Amounts</w:t>
            </w:r>
          </w:p>
        </w:tc>
        <w:tc>
          <w:tcPr>
            <w:tcW w:w="9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$100,000,000</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$14,760.00</w:t>
            </w:r>
          </w:p>
        </w:tc>
        <w:tc>
          <w:tcPr>
            <w:tcW w:w="0" w:type="dxa"/>
            <w:vAlign w:val="bottom"/>
          </w:tcPr>
          <w:p>
            <w:pPr>
              <w:spacing w:after="0"/>
              <w:rPr>
                <w:sz w:val="1"/>
                <w:szCs w:val="1"/>
                <w:color w:val="auto"/>
              </w:rPr>
            </w:pPr>
          </w:p>
        </w:tc>
      </w:tr>
      <w:tr>
        <w:trPr>
          <w:trHeight w:val="178"/>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3"/>
          </w:tcPr>
          <w:p>
            <w:pPr>
              <w:jc w:val="center"/>
              <w:ind w:left="67"/>
              <w:spacing w:after="0"/>
              <w:rPr>
                <w:sz w:val="20"/>
                <w:szCs w:val="20"/>
                <w:color w:val="auto"/>
              </w:rPr>
            </w:pPr>
            <w:r>
              <w:rPr>
                <w:rFonts w:ascii="Times New Roman" w:cs="Times New Roman" w:eastAsia="Times New Roman" w:hAnsi="Times New Roman"/>
                <w:sz w:val="15"/>
                <w:szCs w:val="15"/>
                <w:b w:val="1"/>
                <w:bCs w:val="1"/>
                <w:color w:val="auto"/>
                <w:w w:val="97"/>
              </w:rPr>
              <w:t>Total Fees Previously Paid</w:t>
            </w:r>
          </w:p>
        </w:tc>
        <w:tc>
          <w:tcPr>
            <w:tcW w:w="9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8"/>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2"/>
          </w:tcPr>
          <w:p>
            <w:pPr>
              <w:jc w:val="center"/>
              <w:ind w:left="927"/>
              <w:spacing w:after="0"/>
              <w:rPr>
                <w:sz w:val="20"/>
                <w:szCs w:val="20"/>
                <w:color w:val="auto"/>
              </w:rPr>
            </w:pPr>
            <w:r>
              <w:rPr>
                <w:rFonts w:ascii="Times New Roman" w:cs="Times New Roman" w:eastAsia="Times New Roman" w:hAnsi="Times New Roman"/>
                <w:sz w:val="15"/>
                <w:szCs w:val="15"/>
                <w:b w:val="1"/>
                <w:bCs w:val="1"/>
                <w:color w:val="auto"/>
                <w:w w:val="97"/>
              </w:rPr>
              <w:t>Total Fee Offsets</w:t>
            </w:r>
          </w:p>
        </w:tc>
        <w:tc>
          <w:tcPr>
            <w:tcW w:w="86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8"/>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2"/>
          </w:tcPr>
          <w:p>
            <w:pPr>
              <w:jc w:val="center"/>
              <w:ind w:left="907"/>
              <w:spacing w:after="0"/>
              <w:rPr>
                <w:sz w:val="20"/>
                <w:szCs w:val="20"/>
                <w:color w:val="auto"/>
              </w:rPr>
            </w:pPr>
            <w:r>
              <w:rPr>
                <w:rFonts w:ascii="Times New Roman" w:cs="Times New Roman" w:eastAsia="Times New Roman" w:hAnsi="Times New Roman"/>
                <w:sz w:val="15"/>
                <w:szCs w:val="15"/>
                <w:b w:val="1"/>
                <w:bCs w:val="1"/>
                <w:color w:val="auto"/>
                <w:w w:val="96"/>
              </w:rPr>
              <w:t>Net Fee Due</w:t>
            </w:r>
          </w:p>
        </w:tc>
        <w:tc>
          <w:tcPr>
            <w:tcW w:w="86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$14,760.00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hanging="452"/>
        <w:spacing w:after="0"/>
        <w:tabs>
          <w:tab w:leader="none" w:pos="460" w:val="left"/>
        </w:tabs>
        <w:numPr>
          <w:ilvl w:val="0"/>
          <w:numId w:val="3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for the purpose of computing the amount of the registration fee pursuant to Rule 457(o) under the Securities Act of 1933, as amended (the “Securities Act”).</w:t>
      </w:r>
    </w:p>
    <w:p>
      <w:pPr>
        <w:spacing w:after="0" w:line="179"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3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pursuant to Rule 457(o) under the Securities Act based on an estimate of the proposed maximum aggregate offering price.</w:t>
      </w:r>
    </w:p>
    <w:p>
      <w:pPr>
        <w:spacing w:after="0" w:line="179" w:lineRule="exact"/>
        <w:rPr>
          <w:rFonts w:ascii="Times New Roman" w:cs="Times New Roman" w:eastAsia="Times New Roman" w:hAnsi="Times New Roman"/>
          <w:sz w:val="15"/>
          <w:szCs w:val="15"/>
          <w:color w:val="auto"/>
        </w:rPr>
      </w:pPr>
    </w:p>
    <w:p>
      <w:pPr>
        <w:ind w:left="460" w:right="120" w:hanging="452"/>
        <w:spacing w:after="0" w:line="269" w:lineRule="auto"/>
        <w:tabs>
          <w:tab w:leader="none" w:pos="460" w:val="left"/>
        </w:tabs>
        <w:numPr>
          <w:ilvl w:val="0"/>
          <w:numId w:val="3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up to an additional 15% of the aggregate offering price to cover a 30-day option granted to the underwriters to purchase additional shares of our common stock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57720" cy="698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sectPr>
      <w:pgSz w:w="11900" w:h="16838" w:orient="portrait"/>
      <w:cols w:equalWidth="0" w:num="1">
        <w:col w:w="11280"/>
      </w:cols>
      <w:pgMar w:left="300" w:top="3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35B8110"/>
    <w:multiLevelType w:val="hybridMultilevel"/>
    <w:lvl w:ilvl="0">
      <w:lvlJc w:val="left"/>
      <w:lvlText w:val="(%1)"/>
      <w:numFmt w:val="decimal"/>
      <w:start w:val="1"/>
    </w:lvl>
  </w:abstractNum>
  <w:abstractNum w:abstractNumId="1">
    <w:nsid w:val="94927A8"/>
    <w:multiLevelType w:val="hybridMultilevel"/>
    <w:lvl w:ilvl="0">
      <w:lvlJc w:val="left"/>
      <w:lvlText w:val="​"/>
      <w:numFmt w:val="bullet"/>
      <w:start w:val="1"/>
    </w:lvl>
  </w:abstractNum>
  <w:abstractNum w:abstractNumId="2">
    <w:nsid w:val="DCDF8F6"/>
    <w:multiLevelType w:val="hybridMultilevel"/>
    <w:lvl w:ilvl="0">
      <w:lvlJc w:val="left"/>
      <w:lvlText w:val="​"/>
      <w:numFmt w:val="bullet"/>
      <w:start w:val="1"/>
    </w:lvl>
  </w:abstractNum>
  <w:abstractNum w:abstractNumId="3">
    <w:nsid w:val="52D7B105"/>
    <w:multiLevelType w:val="hybridMultilevel"/>
    <w:lvl w:ilvl="0">
      <w:lvlJc w:val="left"/>
      <w:lvlText w:val="•"/>
      <w:numFmt w:val="bullet"/>
      <w:start w:val="1"/>
    </w:lvl>
  </w:abstractNum>
  <w:abstractNum w:abstractNumId="4">
    <w:nsid w:val="2E8A6394"/>
    <w:multiLevelType w:val="hybridMultilevel"/>
    <w:lvl w:ilvl="0">
      <w:lvlJc w:val="left"/>
      <w:lvlText w:val="•"/>
      <w:numFmt w:val="bullet"/>
      <w:start w:val="1"/>
    </w:lvl>
  </w:abstractNum>
  <w:abstractNum w:abstractNumId="5">
    <w:nsid w:val="24E60401"/>
    <w:multiLevelType w:val="hybridMultilevel"/>
    <w:lvl w:ilvl="0">
      <w:lvlJc w:val="left"/>
      <w:lvlText w:val="•"/>
      <w:numFmt w:val="bullet"/>
      <w:start w:val="1"/>
    </w:lvl>
  </w:abstractNum>
  <w:abstractNum w:abstractNumId="6">
    <w:nsid w:val="2A6AD9BE"/>
    <w:multiLevelType w:val="hybridMultilevel"/>
    <w:lvl w:ilvl="0">
      <w:lvlJc w:val="left"/>
      <w:lvlText w:val=" "/>
      <w:numFmt w:val="bullet"/>
      <w:start w:val="1"/>
    </w:lvl>
  </w:abstractNum>
  <w:abstractNum w:abstractNumId="7">
    <w:nsid w:val="BAAC1B4"/>
    <w:multiLevelType w:val="hybridMultilevel"/>
    <w:lvl w:ilvl="0">
      <w:lvlJc w:val="left"/>
      <w:lvlText w:val="•"/>
      <w:numFmt w:val="bullet"/>
      <w:start w:val="1"/>
    </w:lvl>
  </w:abstractNum>
  <w:abstractNum w:abstractNumId="8">
    <w:nsid w:val="36B2ACBC"/>
    <w:multiLevelType w:val="hybridMultilevel"/>
    <w:lvl w:ilvl="0">
      <w:lvlJc w:val="left"/>
      <w:lvlText w:val="•"/>
      <w:numFmt w:val="bullet"/>
      <w:start w:val="1"/>
    </w:lvl>
  </w:abstractNum>
  <w:abstractNum w:abstractNumId="9">
    <w:nsid w:val="779D8544"/>
    <w:multiLevelType w:val="hybridMultilevel"/>
    <w:lvl w:ilvl="0">
      <w:lvlJc w:val="left"/>
      <w:lvlText w:val="•"/>
      <w:numFmt w:val="bullet"/>
      <w:start w:val="1"/>
    </w:lvl>
  </w:abstractNum>
  <w:abstractNum w:abstractNumId="10">
    <w:nsid w:val="4AB26E78"/>
    <w:multiLevelType w:val="hybridMultilevel"/>
    <w:lvl w:ilvl="0">
      <w:lvlJc w:val="left"/>
      <w:lvlText w:val="(%1)"/>
      <w:numFmt w:val="decimal"/>
      <w:start w:val="1"/>
    </w:lvl>
  </w:abstractNum>
  <w:abstractNum w:abstractNumId="11">
    <w:nsid w:val="21FAA2FA"/>
    <w:multiLevelType w:val="hybridMultilevel"/>
    <w:lvl w:ilvl="0">
      <w:lvlJc w:val="left"/>
      <w:lvlText w:val="(%1)"/>
      <w:numFmt w:val="decimal"/>
      <w:start w:val="1"/>
    </w:lvl>
  </w:abstractNum>
  <w:abstractNum w:abstractNumId="12">
    <w:nsid w:val="5451CF49"/>
    <w:multiLevelType w:val="hybridMultilevel"/>
    <w:lvl w:ilvl="0">
      <w:lvlJc w:val="left"/>
      <w:lvlText w:val="(%1)"/>
      <w:numFmt w:val="decimal"/>
      <w:start w:val="3"/>
    </w:lvl>
  </w:abstractNum>
  <w:abstractNum w:abstractNumId="13">
    <w:nsid w:val="6181EF69"/>
    <w:multiLevelType w:val="hybridMultilevel"/>
    <w:lvl w:ilvl="0">
      <w:lvlJc w:val="left"/>
      <w:lvlText w:val="•"/>
      <w:numFmt w:val="bullet"/>
      <w:start w:val="1"/>
    </w:lvl>
  </w:abstractNum>
  <w:abstractNum w:abstractNumId="14">
    <w:nsid w:val="3E6400E6"/>
    <w:multiLevelType w:val="hybridMultilevel"/>
    <w:lvl w:ilvl="0">
      <w:lvlJc w:val="left"/>
      <w:lvlText w:val="•"/>
      <w:numFmt w:val="bullet"/>
      <w:start w:val="1"/>
    </w:lvl>
  </w:abstractNum>
  <w:abstractNum w:abstractNumId="15">
    <w:nsid w:val="14217E23"/>
    <w:multiLevelType w:val="hybridMultilevel"/>
    <w:lvl w:ilvl="0">
      <w:lvlJc w:val="left"/>
      <w:lvlText w:val="•"/>
      <w:numFmt w:val="bullet"/>
      <w:start w:val="1"/>
    </w:lvl>
  </w:abstractNum>
  <w:abstractNum w:abstractNumId="16">
    <w:nsid w:val="710757D0"/>
    <w:multiLevelType w:val="hybridMultilevel"/>
    <w:lvl w:ilvl="0">
      <w:lvlJc w:val="left"/>
      <w:lvlText w:val="•"/>
      <w:numFmt w:val="bullet"/>
      <w:start w:val="1"/>
    </w:lvl>
  </w:abstractNum>
  <w:abstractNum w:abstractNumId="17">
    <w:nsid w:val="5015CD1A"/>
    <w:multiLevelType w:val="hybridMultilevel"/>
    <w:lvl w:ilvl="0">
      <w:lvlJc w:val="left"/>
      <w:lvlText w:val="•"/>
      <w:numFmt w:val="bullet"/>
      <w:start w:val="1"/>
    </w:lvl>
  </w:abstractNum>
  <w:abstractNum w:abstractNumId="18">
    <w:nsid w:val="424479DA"/>
    <w:multiLevelType w:val="hybridMultilevel"/>
    <w:lvl w:ilvl="0">
      <w:lvlJc w:val="left"/>
      <w:lvlText w:val="•"/>
      <w:numFmt w:val="bullet"/>
      <w:start w:val="1"/>
    </w:lvl>
  </w:abstractNum>
  <w:abstractNum w:abstractNumId="19">
    <w:nsid w:val="1A9A9E69"/>
    <w:multiLevelType w:val="hybridMultilevel"/>
    <w:lvl w:ilvl="0">
      <w:lvlJc w:val="left"/>
      <w:lvlText w:val="•"/>
      <w:numFmt w:val="bullet"/>
      <w:start w:val="1"/>
    </w:lvl>
  </w:abstractNum>
  <w:abstractNum w:abstractNumId="20">
    <w:nsid w:val="475E256A"/>
    <w:multiLevelType w:val="hybridMultilevel"/>
    <w:lvl w:ilvl="0">
      <w:lvlJc w:val="left"/>
      <w:lvlText w:val="(%1)"/>
      <w:numFmt w:val="lowerRoman"/>
      <w:start w:val="1"/>
    </w:lvl>
  </w:abstractNum>
  <w:abstractNum w:abstractNumId="21">
    <w:nsid w:val="368DB37E"/>
    <w:multiLevelType w:val="hybridMultilevel"/>
    <w:lvl w:ilvl="0">
      <w:lvlJc w:val="left"/>
      <w:lvlText w:val="•"/>
      <w:numFmt w:val="bullet"/>
      <w:start w:val="1"/>
    </w:lvl>
  </w:abstractNum>
  <w:abstractNum w:abstractNumId="22">
    <w:nsid w:val="6A3B714C"/>
    <w:multiLevelType w:val="hybridMultilevel"/>
    <w:lvl w:ilvl="0">
      <w:lvlJc w:val="left"/>
      <w:lvlText w:val="•"/>
      <w:numFmt w:val="bullet"/>
      <w:start w:val="1"/>
    </w:lvl>
  </w:abstractNum>
  <w:abstractNum w:abstractNumId="23">
    <w:nsid w:val="327B517E"/>
    <w:multiLevelType w:val="hybridMultilevel"/>
    <w:lvl w:ilvl="0">
      <w:lvlJc w:val="left"/>
      <w:lvlText w:val="•"/>
      <w:numFmt w:val="bullet"/>
      <w:start w:val="1"/>
    </w:lvl>
  </w:abstractNum>
  <w:abstractNum w:abstractNumId="24">
    <w:nsid w:val="1F461B51"/>
    <w:multiLevelType w:val="hybridMultilevel"/>
    <w:lvl w:ilvl="0">
      <w:lvlJc w:val="left"/>
      <w:lvlText w:val="•"/>
      <w:numFmt w:val="bullet"/>
      <w:start w:val="1"/>
    </w:lvl>
  </w:abstractNum>
  <w:abstractNum w:abstractNumId="25">
    <w:nsid w:val="29BACF25"/>
    <w:multiLevelType w:val="hybridMultilevel"/>
    <w:lvl w:ilvl="0">
      <w:lvlJc w:val="left"/>
      <w:lvlText w:val="•"/>
      <w:numFmt w:val="bullet"/>
      <w:start w:val="1"/>
    </w:lvl>
  </w:abstractNum>
  <w:abstractNum w:abstractNumId="26">
    <w:nsid w:val="5D5BABB3"/>
    <w:multiLevelType w:val="hybridMultilevel"/>
    <w:lvl w:ilvl="0">
      <w:lvlJc w:val="left"/>
      <w:lvlText w:val="•"/>
      <w:numFmt w:val="bullet"/>
      <w:start w:val="1"/>
    </w:lvl>
  </w:abstractNum>
  <w:abstractNum w:abstractNumId="27">
    <w:nsid w:val="51BF6B48"/>
    <w:multiLevelType w:val="hybridMultilevel"/>
    <w:lvl w:ilvl="0">
      <w:lvlJc w:val="left"/>
      <w:lvlText w:val="•"/>
      <w:numFmt w:val="bullet"/>
      <w:start w:val="1"/>
    </w:lvl>
  </w:abstractNum>
  <w:abstractNum w:abstractNumId="28">
    <w:nsid w:val="7E0F6384"/>
    <w:multiLevelType w:val="hybridMultilevel"/>
    <w:lvl w:ilvl="0">
      <w:lvlJc w:val="left"/>
      <w:lvlText w:val="•"/>
      <w:numFmt w:val="bullet"/>
      <w:start w:val="1"/>
    </w:lvl>
  </w:abstractNum>
  <w:abstractNum w:abstractNumId="29">
    <w:nsid w:val="2B4B8B53"/>
    <w:multiLevelType w:val="hybridMultilevel"/>
    <w:lvl w:ilvl="0">
      <w:lvlJc w:val="left"/>
      <w:lvlText w:val="•"/>
      <w:numFmt w:val="bullet"/>
      <w:start w:val="1"/>
    </w:lvl>
  </w:abstractNum>
  <w:abstractNum w:abstractNumId="30">
    <w:nsid w:val="72E3413A"/>
    <w:multiLevelType w:val="hybridMultilevel"/>
    <w:lvl w:ilvl="0">
      <w:lvlJc w:val="left"/>
      <w:lvlText w:val="•"/>
      <w:numFmt w:val="bullet"/>
      <w:start w:val="1"/>
    </w:lvl>
  </w:abstractNum>
  <w:abstractNum w:abstractNumId="31">
    <w:nsid w:val="116AE494"/>
    <w:multiLevelType w:val="hybridMultilevel"/>
    <w:lvl w:ilvl="0">
      <w:lvlJc w:val="left"/>
      <w:lvlText w:val="•"/>
      <w:numFmt w:val="bullet"/>
      <w:start w:val="1"/>
    </w:lvl>
  </w:abstractNum>
  <w:abstractNum w:abstractNumId="32">
    <w:nsid w:val="3494B2FB"/>
    <w:multiLevelType w:val="hybridMultilevel"/>
    <w:lvl w:ilvl="0">
      <w:lvlJc w:val="left"/>
      <w:lvlText w:val="•"/>
      <w:numFmt w:val="bullet"/>
      <w:start w:val="1"/>
    </w:lvl>
  </w:abstractNum>
  <w:abstractNum w:abstractNumId="33">
    <w:nsid w:val="B13A31"/>
    <w:multiLevelType w:val="hybridMultilevel"/>
    <w:lvl w:ilvl="0">
      <w:lvlJc w:val="left"/>
      <w:lvlText w:val="•"/>
      <w:numFmt w:val="bullet"/>
      <w:start w:val="1"/>
    </w:lvl>
  </w:abstractNum>
  <w:abstractNum w:abstractNumId="34">
    <w:nsid w:val="64429599"/>
    <w:multiLevelType w:val="hybridMultilevel"/>
    <w:lvl w:ilvl="0">
      <w:lvlJc w:val="left"/>
      <w:lvlText w:val="•"/>
      <w:numFmt w:val="bullet"/>
      <w:start w:val="1"/>
    </w:lvl>
  </w:abstractNum>
  <w:abstractNum w:abstractNumId="35">
    <w:nsid w:val="631F1690"/>
    <w:multiLevelType w:val="hybridMultilevel"/>
    <w:lvl w:ilvl="0">
      <w:lvlJc w:val="left"/>
      <w:lvlText w:val="•"/>
      <w:numFmt w:val="bullet"/>
      <w:start w:val="1"/>
    </w:lvl>
  </w:abstractNum>
  <w:abstractNum w:abstractNumId="36">
    <w:nsid w:val="25973E32"/>
    <w:multiLevelType w:val="hybridMultilevel"/>
    <w:lvl w:ilvl="0">
      <w:lvlJc w:val="left"/>
      <w:lvlText w:val="•"/>
      <w:numFmt w:val="bullet"/>
      <w:start w:val="1"/>
    </w:lvl>
  </w:abstractNum>
  <w:abstractNum w:abstractNumId="37">
    <w:nsid w:val="EAD6F57"/>
    <w:multiLevelType w:val="hybridMultilevel"/>
    <w:lvl w:ilvl="0">
      <w:lvlJc w:val="left"/>
      <w:lvlText w:val="•"/>
      <w:numFmt w:val="bullet"/>
      <w:start w:val="1"/>
    </w:lvl>
  </w:abstractNum>
  <w:abstractNum w:abstractNumId="38">
    <w:nsid w:val="6EC9D844"/>
    <w:multiLevelType w:val="hybridMultilevel"/>
    <w:lvl w:ilvl="0">
      <w:lvlJc w:val="left"/>
      <w:lvlText w:val="•"/>
      <w:numFmt w:val="bullet"/>
      <w:start w:val="1"/>
    </w:lvl>
  </w:abstractNum>
  <w:abstractNum w:abstractNumId="39">
    <w:nsid w:val="5C49EAEE"/>
    <w:multiLevelType w:val="hybridMultilevel"/>
    <w:lvl w:ilvl="0">
      <w:lvlJc w:val="left"/>
      <w:lvlText w:val="•"/>
      <w:numFmt w:val="bullet"/>
      <w:start w:val="1"/>
    </w:lvl>
  </w:abstractNum>
  <w:abstractNum w:abstractNumId="40">
    <w:nsid w:val="64AF49B"/>
    <w:multiLevelType w:val="hybridMultilevel"/>
    <w:lvl w:ilvl="0">
      <w:lvlJc w:val="left"/>
      <w:lvlText w:val="•"/>
      <w:numFmt w:val="bullet"/>
      <w:start w:val="1"/>
    </w:lvl>
  </w:abstractNum>
  <w:abstractNum w:abstractNumId="41">
    <w:nsid w:val="397C46BC"/>
    <w:multiLevelType w:val="hybridMultilevel"/>
    <w:lvl w:ilvl="0">
      <w:lvlJc w:val="left"/>
      <w:lvlText w:val="•"/>
      <w:numFmt w:val="bullet"/>
      <w:start w:val="1"/>
    </w:lvl>
  </w:abstractNum>
  <w:abstractNum w:abstractNumId="42">
    <w:nsid w:val="7E448DE9"/>
    <w:multiLevelType w:val="hybridMultilevel"/>
    <w:lvl w:ilvl="0">
      <w:lvlJc w:val="left"/>
      <w:lvlText w:val="•"/>
      <w:numFmt w:val="bullet"/>
      <w:start w:val="1"/>
    </w:lvl>
  </w:abstractNum>
  <w:abstractNum w:abstractNumId="43">
    <w:nsid w:val="5A9CC3E5"/>
    <w:multiLevelType w:val="hybridMultilevel"/>
    <w:lvl w:ilvl="0">
      <w:lvlJc w:val="left"/>
      <w:lvlText w:val="•"/>
      <w:numFmt w:val="bullet"/>
      <w:start w:val="1"/>
    </w:lvl>
    <w:lvl w:ilvl="1">
      <w:lvlJc w:val="left"/>
      <w:lvlText w:val="(%2)"/>
      <w:numFmt w:val="lowerRoman"/>
      <w:start w:val="2"/>
    </w:lvl>
  </w:abstractNum>
  <w:abstractNum w:abstractNumId="44">
    <w:nsid w:val="1AFE3625"/>
    <w:multiLevelType w:val="hybridMultilevel"/>
    <w:lvl w:ilvl="0">
      <w:lvlJc w:val="left"/>
      <w:lvlText w:val="(%1)"/>
      <w:numFmt w:val="decimal"/>
      <w:start w:val="1"/>
    </w:lvl>
  </w:abstractNum>
  <w:abstractNum w:abstractNumId="45">
    <w:nsid w:val="3CA88ECF"/>
    <w:multiLevelType w:val="hybridMultilevel"/>
    <w:lvl w:ilvl="0">
      <w:lvlJc w:val="left"/>
      <w:lvlText w:val="•"/>
      <w:numFmt w:val="bullet"/>
      <w:start w:val="1"/>
    </w:lvl>
  </w:abstractNum>
  <w:abstractNum w:abstractNumId="46">
    <w:nsid w:val="6EBE4208"/>
    <w:multiLevelType w:val="hybridMultilevel"/>
    <w:lvl w:ilvl="0">
      <w:lvlJc w:val="left"/>
      <w:lvlText w:val="•"/>
      <w:numFmt w:val="bullet"/>
      <w:start w:val="1"/>
    </w:lvl>
  </w:abstractNum>
  <w:abstractNum w:abstractNumId="47">
    <w:nsid w:val="C058DF5"/>
    <w:multiLevelType w:val="hybridMultilevel"/>
    <w:lvl w:ilvl="0">
      <w:lvlJc w:val="left"/>
      <w:lvlText w:val="•"/>
      <w:numFmt w:val="bullet"/>
      <w:start w:val="1"/>
    </w:lvl>
  </w:abstractNum>
  <w:abstractNum w:abstractNumId="48">
    <w:nsid w:val="CBE5BE9"/>
    <w:multiLevelType w:val="hybridMultilevel"/>
    <w:lvl w:ilvl="0">
      <w:lvlJc w:val="left"/>
      <w:lvlText w:val="•"/>
      <w:numFmt w:val="bullet"/>
      <w:start w:val="1"/>
    </w:lvl>
  </w:abstractNum>
  <w:abstractNum w:abstractNumId="49">
    <w:nsid w:val="3102BBE2"/>
    <w:multiLevelType w:val="hybridMultilevel"/>
    <w:lvl w:ilvl="0">
      <w:lvlJc w:val="left"/>
      <w:lvlText w:val="•"/>
      <w:numFmt w:val="bullet"/>
      <w:start w:val="1"/>
    </w:lvl>
  </w:abstractNum>
  <w:abstractNum w:abstractNumId="50">
    <w:nsid w:val="26A02C5E"/>
    <w:multiLevelType w:val="hybridMultilevel"/>
    <w:lvl w:ilvl="0">
      <w:lvlJc w:val="left"/>
      <w:lvlText w:val="•"/>
      <w:numFmt w:val="bullet"/>
      <w:start w:val="1"/>
    </w:lvl>
  </w:abstractNum>
  <w:abstractNum w:abstractNumId="51">
    <w:nsid w:val="541C8153"/>
    <w:multiLevelType w:val="hybridMultilevel"/>
    <w:lvl w:ilvl="0">
      <w:lvlJc w:val="left"/>
      <w:lvlText w:val="•"/>
      <w:numFmt w:val="bullet"/>
      <w:start w:val="1"/>
    </w:lvl>
  </w:abstractNum>
  <w:abstractNum w:abstractNumId="52">
    <w:nsid w:val="67906F60"/>
    <w:multiLevelType w:val="hybridMultilevel"/>
    <w:lvl w:ilvl="0">
      <w:lvlJc w:val="left"/>
      <w:lvlText w:val="•"/>
      <w:numFmt w:val="bullet"/>
      <w:start w:val="1"/>
    </w:lvl>
  </w:abstractNum>
  <w:abstractNum w:abstractNumId="53">
    <w:nsid w:val="10DB9DAA"/>
    <w:multiLevelType w:val="hybridMultilevel"/>
    <w:lvl w:ilvl="0">
      <w:lvlJc w:val="left"/>
      <w:lvlText w:val="•"/>
      <w:numFmt w:val="bullet"/>
      <w:start w:val="1"/>
    </w:lvl>
  </w:abstractNum>
  <w:abstractNum w:abstractNumId="54">
    <w:nsid w:val="697D2D2"/>
    <w:multiLevelType w:val="hybridMultilevel"/>
    <w:lvl w:ilvl="0">
      <w:lvlJc w:val="left"/>
      <w:lvlText w:val="•"/>
      <w:numFmt w:val="bullet"/>
      <w:start w:val="1"/>
    </w:lvl>
  </w:abstractNum>
  <w:abstractNum w:abstractNumId="55">
    <w:nsid w:val="6D68AB2"/>
    <w:multiLevelType w:val="hybridMultilevel"/>
    <w:lvl w:ilvl="0">
      <w:lvlJc w:val="left"/>
      <w:lvlText w:val="•"/>
      <w:numFmt w:val="bullet"/>
      <w:start w:val="1"/>
    </w:lvl>
  </w:abstractNum>
  <w:abstractNum w:abstractNumId="56">
    <w:nsid w:val="3A966CD0"/>
    <w:multiLevelType w:val="hybridMultilevel"/>
    <w:lvl w:ilvl="0">
      <w:lvlJc w:val="left"/>
      <w:lvlText w:val="•"/>
      <w:numFmt w:val="bullet"/>
      <w:start w:val="1"/>
    </w:lvl>
  </w:abstractNum>
  <w:abstractNum w:abstractNumId="57">
    <w:nsid w:val="63F37E85"/>
    <w:multiLevelType w:val="hybridMultilevel"/>
    <w:lvl w:ilvl="0">
      <w:lvlJc w:val="left"/>
      <w:lvlText w:val="•"/>
      <w:numFmt w:val="bullet"/>
      <w:start w:val="1"/>
    </w:lvl>
  </w:abstractNum>
  <w:abstractNum w:abstractNumId="58">
    <w:nsid w:val="5895F5FA"/>
    <w:multiLevelType w:val="hybridMultilevel"/>
    <w:lvl w:ilvl="0">
      <w:lvlJc w:val="left"/>
      <w:lvlText w:val="​"/>
      <w:numFmt w:val="bullet"/>
      <w:start w:val="1"/>
    </w:lvl>
  </w:abstractNum>
  <w:abstractNum w:abstractNumId="59">
    <w:nsid w:val="38A5D054"/>
    <w:multiLevelType w:val="hybridMultilevel"/>
    <w:lvl w:ilvl="0">
      <w:lvlJc w:val="left"/>
      <w:lvlText w:val="•"/>
      <w:numFmt w:val="bullet"/>
      <w:start w:val="1"/>
    </w:lvl>
  </w:abstractNum>
  <w:abstractNum w:abstractNumId="60">
    <w:nsid w:val="F3F09D8"/>
    <w:multiLevelType w:val="hybridMultilevel"/>
    <w:lvl w:ilvl="0">
      <w:lvlJc w:val="left"/>
      <w:lvlText w:val="•"/>
      <w:numFmt w:val="bullet"/>
      <w:start w:val="1"/>
    </w:lvl>
  </w:abstractNum>
  <w:abstractNum w:abstractNumId="61">
    <w:nsid w:val="4B793735"/>
    <w:multiLevelType w:val="hybridMultilevel"/>
    <w:lvl w:ilvl="0">
      <w:lvlJc w:val="left"/>
      <w:lvlText w:val=" "/>
      <w:numFmt w:val="bullet"/>
      <w:start w:val="1"/>
    </w:lvl>
  </w:abstractNum>
  <w:abstractNum w:abstractNumId="62">
    <w:nsid w:val="4A10B4E8"/>
    <w:multiLevelType w:val="hybridMultilevel"/>
    <w:lvl w:ilvl="0">
      <w:lvlJc w:val="left"/>
      <w:lvlText w:val="•"/>
      <w:numFmt w:val="bullet"/>
      <w:start w:val="1"/>
    </w:lvl>
  </w:abstractNum>
  <w:abstractNum w:abstractNumId="63">
    <w:nsid w:val="43D3BCD4"/>
    <w:multiLevelType w:val="hybridMultilevel"/>
    <w:lvl w:ilvl="0">
      <w:lvlJc w:val="left"/>
      <w:lvlText w:val="•"/>
      <w:numFmt w:val="bullet"/>
      <w:start w:val="1"/>
    </w:lvl>
  </w:abstractNum>
  <w:abstractNum w:abstractNumId="64">
    <w:nsid w:val="4C2A7166"/>
    <w:multiLevelType w:val="hybridMultilevel"/>
    <w:lvl w:ilvl="0">
      <w:lvlJc w:val="left"/>
      <w:lvlText w:val="•"/>
      <w:numFmt w:val="bullet"/>
      <w:start w:val="1"/>
    </w:lvl>
  </w:abstractNum>
  <w:abstractNum w:abstractNumId="65">
    <w:nsid w:val="2E534A82"/>
    <w:multiLevelType w:val="hybridMultilevel"/>
    <w:lvl w:ilvl="0">
      <w:lvlJc w:val="left"/>
      <w:lvlText w:val="•"/>
      <w:numFmt w:val="bullet"/>
      <w:start w:val="1"/>
    </w:lvl>
  </w:abstractNum>
  <w:abstractNum w:abstractNumId="66">
    <w:nsid w:val="26F2D364"/>
    <w:multiLevelType w:val="hybridMultilevel"/>
    <w:lvl w:ilvl="0">
      <w:lvlJc w:val="left"/>
      <w:lvlText w:val="•"/>
      <w:numFmt w:val="bullet"/>
      <w:start w:val="1"/>
    </w:lvl>
  </w:abstractNum>
  <w:abstractNum w:abstractNumId="67">
    <w:nsid w:val="71C1AF98"/>
    <w:multiLevelType w:val="hybridMultilevel"/>
    <w:lvl w:ilvl="0">
      <w:lvlJc w:val="left"/>
      <w:lvlText w:val="*"/>
      <w:numFmt w:val="bullet"/>
      <w:start w:val="1"/>
    </w:lvl>
  </w:abstractNum>
  <w:abstractNum w:abstractNumId="68">
    <w:nsid w:val="3D00B9D9"/>
    <w:multiLevelType w:val="hybridMultilevel"/>
    <w:lvl w:ilvl="0">
      <w:lvlJc w:val="left"/>
      <w:lvlText w:val="**"/>
      <w:numFmt w:val="bullet"/>
      <w:start w:val="1"/>
    </w:lvl>
    <w:lvl w:ilvl="1">
      <w:lvlJc w:val="left"/>
      <w:lvlText w:val="•"/>
      <w:numFmt w:val="bullet"/>
      <w:start w:val="1"/>
    </w:lvl>
  </w:abstractNum>
  <w:abstractNum w:abstractNumId="69">
    <w:nsid w:val="15BCABA8"/>
    <w:multiLevelType w:val="hybridMultilevel"/>
    <w:lvl w:ilvl="0">
      <w:lvlJc w:val="left"/>
      <w:lvlText w:val="•"/>
      <w:numFmt w:val="bullet"/>
      <w:start w:val="1"/>
    </w:lvl>
  </w:abstractNum>
  <w:abstractNum w:abstractNumId="70">
    <w:nsid w:val="4E0B9A87"/>
    <w:multiLevelType w:val="hybridMultilevel"/>
    <w:lvl w:ilvl="0">
      <w:lvlJc w:val="left"/>
      <w:lvlText w:val="•"/>
      <w:numFmt w:val="bullet"/>
      <w:start w:val="1"/>
    </w:lvl>
  </w:abstractNum>
  <w:abstractNum w:abstractNumId="71">
    <w:nsid w:val="434BAE75"/>
    <w:multiLevelType w:val="hybridMultilevel"/>
    <w:lvl w:ilvl="0">
      <w:lvlJc w:val="left"/>
      <w:lvlText w:val="5"/>
      <w:numFmt w:val="bullet"/>
      <w:start w:val="1"/>
    </w:lvl>
  </w:abstractNum>
  <w:abstractNum w:abstractNumId="72">
    <w:nsid w:val="4F38F265"/>
    <w:multiLevelType w:val="hybridMultilevel"/>
    <w:lvl w:ilvl="0">
      <w:lvlJc w:val="left"/>
      <w:lvlText w:val="•"/>
      <w:numFmt w:val="bullet"/>
      <w:start w:val="1"/>
    </w:lvl>
  </w:abstractNum>
  <w:abstractNum w:abstractNumId="73">
    <w:nsid w:val="4C502870"/>
    <w:multiLevelType w:val="hybridMultilevel"/>
    <w:lvl w:ilvl="0">
      <w:lvlJc w:val="left"/>
      <w:lvlText w:val="•"/>
      <w:numFmt w:val="bullet"/>
      <w:start w:val="1"/>
    </w:lvl>
  </w:abstractNum>
  <w:abstractNum w:abstractNumId="74">
    <w:nsid w:val="1DE8725A"/>
    <w:multiLevelType w:val="hybridMultilevel"/>
    <w:lvl w:ilvl="0">
      <w:lvlJc w:val="left"/>
      <w:lvlText w:val="•"/>
      <w:numFmt w:val="bullet"/>
      <w:start w:val="1"/>
    </w:lvl>
  </w:abstractNum>
  <w:abstractNum w:abstractNumId="75">
    <w:nsid w:val="6A37288A"/>
    <w:multiLevelType w:val="hybridMultilevel"/>
    <w:lvl w:ilvl="0">
      <w:lvlJc w:val="left"/>
      <w:lvlText w:val="•"/>
      <w:numFmt w:val="bullet"/>
      <w:start w:val="1"/>
    </w:lvl>
  </w:abstractNum>
  <w:abstractNum w:abstractNumId="76">
    <w:nsid w:val="8F8B73F"/>
    <w:multiLevelType w:val="hybridMultilevel"/>
    <w:lvl w:ilvl="0">
      <w:lvlJc w:val="left"/>
      <w:lvlText w:val="•"/>
      <w:numFmt w:val="bullet"/>
      <w:start w:val="1"/>
    </w:lvl>
  </w:abstractNum>
  <w:abstractNum w:abstractNumId="77">
    <w:nsid w:val="CA6B462"/>
    <w:multiLevelType w:val="hybridMultilevel"/>
    <w:lvl w:ilvl="0">
      <w:lvlJc w:val="left"/>
      <w:lvlText w:val="•"/>
      <w:numFmt w:val="bullet"/>
      <w:start w:val="1"/>
    </w:lvl>
  </w:abstractNum>
  <w:abstractNum w:abstractNumId="78">
    <w:nsid w:val="763CB680"/>
    <w:multiLevelType w:val="hybridMultilevel"/>
    <w:lvl w:ilvl="0">
      <w:lvlJc w:val="left"/>
      <w:lvlText w:val="•"/>
      <w:numFmt w:val="bullet"/>
      <w:start w:val="1"/>
    </w:lvl>
  </w:abstractNum>
  <w:abstractNum w:abstractNumId="79">
    <w:nsid w:val="15B71329"/>
    <w:multiLevelType w:val="hybridMultilevel"/>
    <w:lvl w:ilvl="0">
      <w:lvlJc w:val="left"/>
      <w:lvlText w:val="•"/>
      <w:numFmt w:val="bullet"/>
      <w:start w:val="1"/>
    </w:lvl>
  </w:abstractNum>
  <w:abstractNum w:abstractNumId="80">
    <w:nsid w:val="3DA97044"/>
    <w:multiLevelType w:val="hybridMultilevel"/>
    <w:lvl w:ilvl="0">
      <w:lvlJc w:val="left"/>
      <w:lvlText w:val="•"/>
      <w:numFmt w:val="bullet"/>
      <w:start w:val="1"/>
    </w:lvl>
  </w:abstractNum>
  <w:abstractNum w:abstractNumId="81">
    <w:nsid w:val="1CDCE2DE"/>
    <w:multiLevelType w:val="hybridMultilevel"/>
    <w:lvl w:ilvl="0">
      <w:lvlJc w:val="left"/>
      <w:lvlText w:val="a"/>
      <w:numFmt w:val="bullet"/>
      <w:start w:val="1"/>
    </w:lvl>
  </w:abstractNum>
  <w:abstractNum w:abstractNumId="82">
    <w:nsid w:val="69D3947C"/>
    <w:multiLevelType w:val="hybridMultilevel"/>
    <w:lvl w:ilvl="0">
      <w:lvlJc w:val="left"/>
      <w:lvlText w:val="(%1)"/>
      <w:numFmt w:val="lowerRoman"/>
      <w:start w:val="2"/>
    </w:lvl>
  </w:abstractNum>
  <w:abstractNum w:abstractNumId="83">
    <w:nsid w:val="2539DFA5"/>
    <w:multiLevelType w:val="hybridMultilevel"/>
    <w:lvl w:ilvl="0">
      <w:lvlJc w:val="left"/>
      <w:lvlText w:val="•"/>
      <w:numFmt w:val="bullet"/>
      <w:start w:val="1"/>
    </w:lvl>
  </w:abstractNum>
  <w:abstractNum w:abstractNumId="84">
    <w:nsid w:val="2DB88089"/>
    <w:multiLevelType w:val="hybridMultilevel"/>
    <w:lvl w:ilvl="0">
      <w:lvlJc w:val="left"/>
      <w:lvlText w:val="•"/>
      <w:numFmt w:val="bullet"/>
      <w:start w:val="1"/>
    </w:lvl>
  </w:abstractNum>
  <w:abstractNum w:abstractNumId="85">
    <w:nsid w:val="706B674E"/>
    <w:multiLevelType w:val="hybridMultilevel"/>
    <w:lvl w:ilvl="0">
      <w:lvlJc w:val="left"/>
      <w:lvlText w:val="•"/>
      <w:numFmt w:val="bullet"/>
      <w:start w:val="1"/>
    </w:lvl>
  </w:abstractNum>
  <w:abstractNum w:abstractNumId="86">
    <w:nsid w:val="2C106A57"/>
    <w:multiLevelType w:val="hybridMultilevel"/>
    <w:lvl w:ilvl="0">
      <w:lvlJc w:val="left"/>
      <w:lvlText w:val="•"/>
      <w:numFmt w:val="bullet"/>
      <w:start w:val="1"/>
    </w:lvl>
  </w:abstractNum>
  <w:abstractNum w:abstractNumId="87">
    <w:nsid w:val="684EED59"/>
    <w:multiLevelType w:val="hybridMultilevel"/>
    <w:lvl w:ilvl="0">
      <w:lvlJc w:val="left"/>
      <w:lvlText w:val="•"/>
      <w:numFmt w:val="bullet"/>
      <w:start w:val="1"/>
    </w:lvl>
  </w:abstractNum>
  <w:abstractNum w:abstractNumId="88">
    <w:nsid w:val="545EE5D3"/>
    <w:multiLevelType w:val="hybridMultilevel"/>
    <w:lvl w:ilvl="0">
      <w:lvlJc w:val="left"/>
      <w:lvlText w:val="•"/>
      <w:numFmt w:val="bullet"/>
      <w:start w:val="1"/>
    </w:lvl>
  </w:abstractNum>
  <w:abstractNum w:abstractNumId="89">
    <w:nsid w:val="4A66051"/>
    <w:multiLevelType w:val="hybridMultilevel"/>
    <w:lvl w:ilvl="0">
      <w:lvlJc w:val="left"/>
      <w:lvlText w:val="•"/>
      <w:numFmt w:val="bullet"/>
      <w:start w:val="1"/>
    </w:lvl>
  </w:abstractNum>
  <w:abstractNum w:abstractNumId="90">
    <w:nsid w:val="20F4BDAD"/>
    <w:multiLevelType w:val="hybridMultilevel"/>
    <w:lvl w:ilvl="0">
      <w:lvlJc w:val="left"/>
      <w:lvlText w:val="•"/>
      <w:numFmt w:val="bullet"/>
      <w:start w:val="1"/>
    </w:lvl>
  </w:abstractNum>
  <w:abstractNum w:abstractNumId="91">
    <w:nsid w:val="639DEFAC"/>
    <w:multiLevelType w:val="hybridMultilevel"/>
    <w:lvl w:ilvl="0">
      <w:lvlJc w:val="left"/>
      <w:lvlText w:val="•"/>
      <w:numFmt w:val="bullet"/>
      <w:start w:val="1"/>
    </w:lvl>
  </w:abstractNum>
  <w:abstractNum w:abstractNumId="92">
    <w:nsid w:val="501F9786"/>
    <w:multiLevelType w:val="hybridMultilevel"/>
    <w:lvl w:ilvl="0">
      <w:lvlJc w:val="left"/>
      <w:lvlText w:val="•"/>
      <w:numFmt w:val="bullet"/>
      <w:start w:val="1"/>
    </w:lvl>
  </w:abstractNum>
  <w:abstractNum w:abstractNumId="93">
    <w:nsid w:val="6B057295"/>
    <w:multiLevelType w:val="hybridMultilevel"/>
    <w:lvl w:ilvl="0">
      <w:lvlJc w:val="left"/>
      <w:lvlText w:val="•"/>
      <w:numFmt w:val="bullet"/>
      <w:start w:val="1"/>
    </w:lvl>
  </w:abstractNum>
  <w:abstractNum w:abstractNumId="94">
    <w:nsid w:val="2771AC80"/>
    <w:multiLevelType w:val="hybridMultilevel"/>
    <w:lvl w:ilvl="0">
      <w:lvlJc w:val="left"/>
      <w:lvlText w:val="(%1)"/>
      <w:numFmt w:val="decimal"/>
      <w:start w:val="1"/>
    </w:lvl>
  </w:abstractNum>
  <w:abstractNum w:abstractNumId="95">
    <w:nsid w:val="1C4A08EC"/>
    <w:multiLevelType w:val="hybridMultilevel"/>
    <w:lvl w:ilvl="0">
      <w:lvlJc w:val="left"/>
      <w:lvlText w:val="(%1)"/>
      <w:numFmt w:val="decimal"/>
      <w:start w:val="3"/>
    </w:lvl>
  </w:abstractNum>
  <w:abstractNum w:abstractNumId="96">
    <w:nsid w:val="1958BD17"/>
    <w:multiLevelType w:val="hybridMultilevel"/>
    <w:lvl w:ilvl="0">
      <w:lvlJc w:val="left"/>
      <w:lvlText w:val="(%1)"/>
      <w:numFmt w:val="decimal"/>
      <w:start w:val="1"/>
    </w:lvl>
  </w:abstractNum>
  <w:abstractNum w:abstractNumId="97">
    <w:nsid w:val="4E647FE4"/>
    <w:multiLevelType w:val="hybridMultilevel"/>
    <w:lvl w:ilvl="0">
      <w:lvlJc w:val="left"/>
      <w:lvlText w:val="(%1)"/>
      <w:numFmt w:val="decimal"/>
      <w:start w:val="6"/>
    </w:lvl>
  </w:abstractNum>
  <w:abstractNum w:abstractNumId="98">
    <w:nsid w:val="E0BB885"/>
    <w:multiLevelType w:val="hybridMultilevel"/>
    <w:lvl w:ilvl="0">
      <w:lvlJc w:val="left"/>
      <w:lvlText w:val="•"/>
      <w:numFmt w:val="bullet"/>
      <w:start w:val="1"/>
    </w:lvl>
    <w:lvl w:ilvl="1">
      <w:lvlJc w:val="left"/>
      <w:lvlText w:val="(%2)"/>
      <w:numFmt w:val="lowerRoman"/>
      <w:start w:val="3"/>
    </w:lvl>
  </w:abstractNum>
  <w:abstractNum w:abstractNumId="99">
    <w:nsid w:val="565976F1"/>
    <w:multiLevelType w:val="hybridMultilevel"/>
    <w:lvl w:ilvl="0">
      <w:lvlJc w:val="left"/>
      <w:lvlText w:val="•"/>
      <w:numFmt w:val="bullet"/>
      <w:start w:val="1"/>
    </w:lvl>
  </w:abstractNum>
  <w:abstractNum w:abstractNumId="100">
    <w:nsid w:val="64212B8C"/>
    <w:multiLevelType w:val="hybridMultilevel"/>
    <w:lvl w:ilvl="0">
      <w:lvlJc w:val="left"/>
      <w:lvlText w:val="•"/>
      <w:numFmt w:val="bullet"/>
      <w:start w:val="1"/>
    </w:lvl>
  </w:abstractNum>
  <w:abstractNum w:abstractNumId="101">
    <w:nsid w:val="5C17530C"/>
    <w:multiLevelType w:val="hybridMultilevel"/>
    <w:lvl w:ilvl="0">
      <w:lvlJc w:val="left"/>
      <w:lvlText w:val="(%1)"/>
      <w:numFmt w:val="lowerLetter"/>
      <w:start w:val="2"/>
    </w:lvl>
  </w:abstractNum>
  <w:abstractNum w:abstractNumId="102">
    <w:nsid w:val="19A52566"/>
    <w:multiLevelType w:val="hybridMultilevel"/>
    <w:lvl w:ilvl="0">
      <w:lvlJc w:val="left"/>
      <w:lvlText w:val="•"/>
      <w:numFmt w:val="bullet"/>
      <w:start w:val="1"/>
    </w:lvl>
  </w:abstractNum>
  <w:abstractNum w:abstractNumId="103">
    <w:nsid w:val="335A1DF1"/>
    <w:multiLevelType w:val="hybridMultilevel"/>
    <w:lvl w:ilvl="0">
      <w:lvlJc w:val="left"/>
      <w:lvlText w:val="(%1)"/>
      <w:numFmt w:val="decimal"/>
      <w:start w:val="1"/>
    </w:lvl>
  </w:abstractNum>
  <w:abstractNum w:abstractNumId="104">
    <w:nsid w:val="28677B7C"/>
    <w:multiLevelType w:val="hybridMultilevel"/>
    <w:lvl w:ilvl="0">
      <w:lvlJc w:val="left"/>
      <w:lvlText w:val="•"/>
      <w:numFmt w:val="bullet"/>
      <w:start w:val="1"/>
    </w:lvl>
  </w:abstractNum>
  <w:abstractNum w:abstractNumId="105">
    <w:nsid w:val="378D97C0"/>
    <w:multiLevelType w:val="hybridMultilevel"/>
    <w:lvl w:ilvl="0">
      <w:lvlJc w:val="left"/>
      <w:lvlText w:val="•"/>
      <w:numFmt w:val="bullet"/>
      <w:start w:val="1"/>
    </w:lvl>
  </w:abstractNum>
  <w:abstractNum w:abstractNumId="106">
    <w:nsid w:val="1D91467C"/>
    <w:multiLevelType w:val="hybridMultilevel"/>
    <w:lvl w:ilvl="0">
      <w:lvlJc w:val="left"/>
      <w:lvlText w:val="•"/>
      <w:numFmt w:val="bullet"/>
      <w:start w:val="1"/>
    </w:lvl>
  </w:abstractNum>
  <w:abstractNum w:abstractNumId="107">
    <w:nsid w:val="316032BB"/>
    <w:multiLevelType w:val="hybridMultilevel"/>
    <w:lvl w:ilvl="0">
      <w:lvlJc w:val="left"/>
      <w:lvlText w:val="(%1)"/>
      <w:numFmt w:val="decimal"/>
      <w:start w:val="1"/>
    </w:lvl>
  </w:abstractNum>
  <w:abstractNum w:abstractNumId="108">
    <w:nsid w:val="44344C22"/>
    <w:multiLevelType w:val="hybridMultilevel"/>
    <w:lvl w:ilvl="0">
      <w:lvlJc w:val="left"/>
      <w:lvlText w:val="(%1)"/>
      <w:numFmt w:val="decimal"/>
      <w:start w:val="1"/>
    </w:lvl>
  </w:abstractNum>
  <w:abstractNum w:abstractNumId="109">
    <w:nsid w:val="13CDFCFC"/>
    <w:multiLevelType w:val="hybridMultilevel"/>
    <w:lvl w:ilvl="0">
      <w:lvlJc w:val="left"/>
      <w:lvlText w:val="(%1)"/>
      <w:numFmt w:val="decimal"/>
      <w:start w:val="1"/>
    </w:lvl>
  </w:abstractNum>
  <w:abstractNum w:abstractNumId="110">
    <w:nsid w:val="471745E4"/>
    <w:multiLevelType w:val="hybridMultilevel"/>
    <w:lvl w:ilvl="0">
      <w:lvlJc w:val="left"/>
      <w:lvlText w:val="•"/>
      <w:numFmt w:val="bullet"/>
      <w:start w:val="1"/>
    </w:lvl>
  </w:abstractNum>
  <w:abstractNum w:abstractNumId="111">
    <w:nsid w:val="1DDBC66"/>
    <w:multiLevelType w:val="hybridMultilevel"/>
    <w:lvl w:ilvl="0">
      <w:lvlJc w:val="left"/>
      <w:lvlText w:val="(%1)"/>
      <w:numFmt w:val="decimal"/>
      <w:start w:val="1"/>
    </w:lvl>
  </w:abstractNum>
  <w:abstractNum w:abstractNumId="112">
    <w:nsid w:val="30AADFDA"/>
    <w:multiLevelType w:val="hybridMultilevel"/>
    <w:lvl w:ilvl="0">
      <w:lvlJc w:val="left"/>
      <w:lvlText w:val="(%1)"/>
      <w:numFmt w:val="decimal"/>
      <w:start w:val="5"/>
    </w:lvl>
  </w:abstractNum>
  <w:abstractNum w:abstractNumId="113">
    <w:nsid w:val="30EADA61"/>
    <w:multiLevelType w:val="hybridMultilevel"/>
    <w:lvl w:ilvl="0">
      <w:lvlJc w:val="left"/>
      <w:lvlText w:val="(%1)"/>
      <w:numFmt w:val="decimal"/>
      <w:start w:val="8"/>
    </w:lvl>
  </w:abstractNum>
  <w:abstractNum w:abstractNumId="114">
    <w:nsid w:val="27179C0B"/>
    <w:multiLevelType w:val="hybridMultilevel"/>
    <w:lvl w:ilvl="0">
      <w:lvlJc w:val="left"/>
      <w:lvlText w:val="•"/>
      <w:numFmt w:val="bullet"/>
      <w:start w:val="1"/>
    </w:lvl>
  </w:abstractNum>
  <w:abstractNum w:abstractNumId="115">
    <w:nsid w:val="5E636063"/>
    <w:multiLevelType w:val="hybridMultilevel"/>
    <w:lvl w:ilvl="0">
      <w:lvlJc w:val="left"/>
      <w:lvlText w:val="•"/>
      <w:numFmt w:val="bullet"/>
      <w:start w:val="1"/>
    </w:lvl>
  </w:abstractNum>
  <w:abstractNum w:abstractNumId="116">
    <w:nsid w:val="215641AF"/>
    <w:multiLevelType w:val="hybridMultilevel"/>
    <w:lvl w:ilvl="0">
      <w:lvlJc w:val="left"/>
      <w:lvlText w:val="•"/>
      <w:numFmt w:val="bullet"/>
      <w:start w:val="1"/>
    </w:lvl>
  </w:abstractNum>
  <w:abstractNum w:abstractNumId="117">
    <w:nsid w:val="53280662"/>
    <w:multiLevelType w:val="hybridMultilevel"/>
    <w:lvl w:ilvl="0">
      <w:lvlJc w:val="left"/>
      <w:lvlText w:val="•"/>
      <w:numFmt w:val="bullet"/>
      <w:start w:val="1"/>
    </w:lvl>
  </w:abstractNum>
  <w:abstractNum w:abstractNumId="118">
    <w:nsid w:val="46B24DBC"/>
    <w:multiLevelType w:val="hybridMultilevel"/>
    <w:lvl w:ilvl="0">
      <w:lvlJc w:val="left"/>
      <w:lvlText w:val="•"/>
      <w:numFmt w:val="bullet"/>
      <w:start w:val="1"/>
    </w:lvl>
  </w:abstractNum>
  <w:abstractNum w:abstractNumId="119">
    <w:nsid w:val="75B52783"/>
    <w:multiLevelType w:val="hybridMultilevel"/>
    <w:lvl w:ilvl="0">
      <w:lvlJc w:val="left"/>
      <w:lvlText w:val="•"/>
      <w:numFmt w:val="bullet"/>
      <w:start w:val="1"/>
    </w:lvl>
  </w:abstractNum>
  <w:abstractNum w:abstractNumId="120">
    <w:nsid w:val="57CE66B4"/>
    <w:multiLevelType w:val="hybridMultilevel"/>
    <w:lvl w:ilvl="0">
      <w:lvlJc w:val="left"/>
      <w:lvlText w:val="•"/>
      <w:numFmt w:val="bullet"/>
      <w:start w:val="1"/>
    </w:lvl>
  </w:abstractNum>
  <w:abstractNum w:abstractNumId="121">
    <w:nsid w:val="67A70B69"/>
    <w:multiLevelType w:val="hybridMultilevel"/>
    <w:lvl w:ilvl="0">
      <w:lvlJc w:val="left"/>
      <w:lvlText w:val="(%1)"/>
      <w:numFmt w:val="lowerRoman"/>
      <w:start w:val="2"/>
    </w:lvl>
  </w:abstractNum>
  <w:abstractNum w:abstractNumId="122">
    <w:nsid w:val="5953172F"/>
    <w:multiLevelType w:val="hybridMultilevel"/>
    <w:lvl w:ilvl="0">
      <w:lvlJc w:val="left"/>
      <w:lvlText w:val="•"/>
      <w:numFmt w:val="bullet"/>
      <w:start w:val="1"/>
    </w:lvl>
    <w:lvl w:ilvl="1">
      <w:lvlJc w:val="left"/>
      <w:lvlText w:val="(%2)"/>
      <w:numFmt w:val="upperLetter"/>
      <w:start w:val="1"/>
    </w:lvl>
  </w:abstractNum>
  <w:abstractNum w:abstractNumId="123">
    <w:nsid w:val="27EDFE3A"/>
    <w:multiLevelType w:val="hybridMultilevel"/>
    <w:lvl w:ilvl="0">
      <w:lvlJc w:val="left"/>
      <w:lvlText w:val="•"/>
      <w:numFmt w:val="bullet"/>
      <w:start w:val="1"/>
    </w:lvl>
  </w:abstractNum>
  <w:abstractNum w:abstractNumId="124">
    <w:nsid w:val="52AC7DFF"/>
    <w:multiLevelType w:val="hybridMultilevel"/>
    <w:lvl w:ilvl="0">
      <w:lvlJc w:val="left"/>
      <w:lvlText w:val="(%1)"/>
      <w:numFmt w:val="lowerRoman"/>
      <w:start w:val="1"/>
    </w:lvl>
  </w:abstractNum>
  <w:abstractNum w:abstractNumId="125">
    <w:nsid w:val="C4C3AF"/>
    <w:multiLevelType w:val="hybridMultilevel"/>
    <w:lvl w:ilvl="0">
      <w:lvlJc w:val="left"/>
      <w:lvlText w:val="(%1)"/>
      <w:numFmt w:val="lowerRoman"/>
      <w:start w:val="1"/>
    </w:lvl>
  </w:abstractNum>
  <w:abstractNum w:abstractNumId="126">
    <w:nsid w:val="44380727"/>
    <w:multiLevelType w:val="hybridMultilevel"/>
    <w:lvl w:ilvl="0">
      <w:lvlJc w:val="left"/>
      <w:lvlText w:val="(%1)"/>
      <w:numFmt w:val="lowerRoman"/>
      <w:start w:val="1"/>
    </w:lvl>
  </w:abstractNum>
  <w:abstractNum w:abstractNumId="127">
    <w:nsid w:val="6C053B16"/>
    <w:multiLevelType w:val="hybridMultilevel"/>
    <w:lvl w:ilvl="0">
      <w:lvlJc w:val="left"/>
      <w:lvlText w:val="(%1)"/>
      <w:numFmt w:val="lowerRoman"/>
      <w:start w:val="2"/>
    </w:lvl>
  </w:abstractNum>
  <w:abstractNum w:abstractNumId="128">
    <w:nsid w:val="4F294393"/>
    <w:multiLevelType w:val="hybridMultilevel"/>
    <w:lvl w:ilvl="0">
      <w:lvlJc w:val="left"/>
      <w:lvlText w:val="(%1)"/>
      <w:numFmt w:val="lowerRoman"/>
      <w:start w:val="1"/>
    </w:lvl>
  </w:abstractNum>
  <w:abstractNum w:abstractNumId="129">
    <w:nsid w:val="5243BFAC"/>
    <w:multiLevelType w:val="hybridMultilevel"/>
    <w:lvl w:ilvl="0">
      <w:lvlJc w:val="left"/>
      <w:lvlText w:val="(%1)"/>
      <w:numFmt w:val="lowerRoman"/>
      <w:start w:val="1"/>
    </w:lvl>
  </w:abstractNum>
  <w:abstractNum w:abstractNumId="130">
    <w:nsid w:val="425EB207"/>
    <w:multiLevelType w:val="hybridMultilevel"/>
    <w:lvl w:ilvl="0">
      <w:lvlJc w:val="left"/>
      <w:lvlText w:val="(%1)"/>
      <w:numFmt w:val="lowerLetter"/>
      <w:start w:val="1"/>
    </w:lvl>
  </w:abstractNum>
  <w:abstractNum w:abstractNumId="131">
    <w:nsid w:val="334A6F1F"/>
    <w:multiLevelType w:val="hybridMultilevel"/>
    <w:lvl w:ilvl="0">
      <w:lvlJc w:val="left"/>
      <w:lvlText w:val="(%1)"/>
      <w:numFmt w:val="lowerRoman"/>
      <w:start w:val="3"/>
    </w:lvl>
  </w:abstractNum>
  <w:abstractNum w:abstractNumId="132">
    <w:nsid w:val="2E5B12B8"/>
    <w:multiLevelType w:val="hybridMultilevel"/>
    <w:lvl w:ilvl="0">
      <w:lvlJc w:val="left"/>
      <w:lvlText w:val="​"/>
      <w:numFmt w:val="bullet"/>
      <w:start w:val="1"/>
    </w:lvl>
  </w:abstractNum>
  <w:abstractNum w:abstractNumId="133">
    <w:nsid w:val="5C03D76D"/>
    <w:multiLevelType w:val="hybridMultilevel"/>
    <w:lvl w:ilvl="0">
      <w:lvlJc w:val="left"/>
      <w:lvlText w:val="*"/>
      <w:numFmt w:val="bullet"/>
      <w:start w:val="1"/>
    </w:lvl>
  </w:abstractNum>
  <w:abstractNum w:abstractNumId="134">
    <w:nsid w:val="66A48D11"/>
    <w:multiLevelType w:val="hybridMultilevel"/>
    <w:lvl w:ilvl="0">
      <w:lvlJc w:val="left"/>
      <w:lvlText w:val="(%1)"/>
      <w:numFmt w:val="decimal"/>
      <w:start w:val="1"/>
    </w:lvl>
  </w:abstractNum>
  <w:abstractNum w:abstractNumId="135">
    <w:nsid w:val="56C28E34"/>
    <w:multiLevelType w:val="hybridMultilevel"/>
    <w:lvl w:ilvl="0">
      <w:lvlJc w:val="left"/>
      <w:lvlText w:val="(%1)"/>
      <w:numFmt w:val="decimal"/>
      <w:start w:val="2"/>
    </w:lvl>
  </w:abstractNum>
  <w:abstractNum w:abstractNumId="136">
    <w:nsid w:val="13916F2D"/>
    <w:multiLevelType w:val="hybridMultilevel"/>
    <w:lvl w:ilvl="0">
      <w:lvlJc w:val="left"/>
      <w:lvlText w:val="​"/>
      <w:numFmt w:val="bullet"/>
      <w:start w:val="1"/>
    </w:lvl>
  </w:abstractNum>
  <w:abstractNum w:abstractNumId="137">
    <w:nsid w:val="435D38D"/>
    <w:multiLevelType w:val="hybridMultilevel"/>
    <w:lvl w:ilvl="0">
      <w:lvlJc w:val="left"/>
      <w:lvlText w:val="*"/>
      <w:numFmt w:val="bullet"/>
      <w:start w:val="1"/>
    </w:lvl>
  </w:abstractNum>
  <w:abstractNum w:abstractNumId="138">
    <w:nsid w:val="822C0EF"/>
    <w:multiLevelType w:val="hybridMultilevel"/>
    <w:lvl w:ilvl="0">
      <w:lvlJc w:val="left"/>
      <w:lvlText w:val="#"/>
      <w:numFmt w:val="bullet"/>
      <w:start w:val="1"/>
    </w:lvl>
  </w:abstractNum>
  <w:abstractNum w:abstractNumId="139">
    <w:nsid w:val="57C5BB4F"/>
    <w:multiLevelType w:val="hybridMultilevel"/>
    <w:lvl w:ilvl="0">
      <w:lvlJc w:val="left"/>
      <w:lvlText w:val="+"/>
      <w:numFmt w:val="bullet"/>
      <w:start w:val="1"/>
    </w:lvl>
  </w:abstractNum>
  <w:abstractNum w:abstractNumId="140">
    <w:nsid w:val="1803D089"/>
    <w:multiLevelType w:val="hybridMultilevel"/>
    <w:lvl w:ilvl="0">
      <w:lvlJc w:val="left"/>
      <w:lvlText w:val="%1."/>
      <w:numFmt w:val="decimal"/>
      <w:start w:val="1"/>
    </w:lvl>
  </w:abstractNum>
  <w:abstractNum w:abstractNumId="141">
    <w:nsid w:val="4F3A06D4"/>
    <w:multiLevelType w:val="hybridMultilevel"/>
    <w:lvl w:ilvl="0">
      <w:lvlJc w:val="left"/>
      <w:lvlText w:val="%1."/>
      <w:numFmt w:val="upperLetter"/>
      <w:start w:val="1"/>
    </w:lvl>
  </w:abstractNum>
  <w:abstractNum w:abstractNumId="142">
    <w:nsid w:val="59A377B6"/>
    <w:multiLevelType w:val="hybridMultilevel"/>
    <w:lvl w:ilvl="0">
      <w:lvlJc w:val="left"/>
      <w:lvlText w:val="%1."/>
      <w:numFmt w:val="decimal"/>
      <w:start w:val="1"/>
    </w:lvl>
  </w:abstractNum>
  <w:abstractNum w:abstractNumId="143">
    <w:nsid w:val="48AEB063"/>
    <w:multiLevelType w:val="hybridMultilevel"/>
    <w:lvl w:ilvl="0">
      <w:lvlJc w:val="left"/>
      <w:lvlText w:val="(%1)"/>
      <w:numFmt w:val="upperLetter"/>
      <w:start w:val="1"/>
    </w:lvl>
  </w:abstractNum>
  <w:abstractNum w:abstractNumId="144">
    <w:nsid w:val="24E135"/>
    <w:multiLevelType w:val="hybridMultilevel"/>
    <w:lvl w:ilvl="0">
      <w:lvlJc w:val="left"/>
      <w:lvlText w:val="(%1)"/>
      <w:numFmt w:val="lowerLetter"/>
      <w:start w:val="1"/>
    </w:lvl>
  </w:abstractNum>
  <w:abstractNum w:abstractNumId="145">
    <w:nsid w:val="BB13C1"/>
    <w:multiLevelType w:val="hybridMultilevel"/>
    <w:lvl w:ilvl="0">
      <w:lvlJc w:val="left"/>
      <w:lvlText w:val="(%1)"/>
      <w:numFmt w:val="lowerLetter"/>
      <w:start w:val="1"/>
    </w:lvl>
  </w:abstractNum>
  <w:abstractNum w:abstractNumId="146">
    <w:nsid w:val="271210C7"/>
    <w:multiLevelType w:val="hybridMultilevel"/>
    <w:lvl w:ilvl="0">
      <w:lvlJc w:val="left"/>
      <w:lvlText w:val="(%1)"/>
      <w:numFmt w:val="lowerRoman"/>
      <w:start w:val="1"/>
    </w:lvl>
  </w:abstractNum>
  <w:abstractNum w:abstractNumId="147">
    <w:nsid w:val="217B22E4"/>
    <w:multiLevelType w:val="hybridMultilevel"/>
    <w:lvl w:ilvl="0">
      <w:lvlJc w:val="left"/>
      <w:lvlText w:val="(%1)"/>
      <w:numFmt w:val="lowerRoman"/>
      <w:start w:val="2"/>
    </w:lvl>
  </w:abstractNum>
  <w:abstractNum w:abstractNumId="148">
    <w:nsid w:val="53E31A24"/>
    <w:multiLevelType w:val="hybridMultilevel"/>
    <w:lvl w:ilvl="0">
      <w:lvlJc w:val="left"/>
      <w:lvlText w:val="%1."/>
      <w:numFmt w:val="decimal"/>
      <w:start w:val="2"/>
    </w:lvl>
  </w:abstractNum>
  <w:abstractNum w:abstractNumId="149">
    <w:nsid w:val="6DC45E83"/>
    <w:multiLevelType w:val="hybridMultilevel"/>
    <w:lvl w:ilvl="0">
      <w:lvlJc w:val="left"/>
      <w:lvlText w:val="(%1)"/>
      <w:numFmt w:val="lowerLetter"/>
      <w:start w:val="5"/>
    </w:lvl>
  </w:abstractNum>
  <w:abstractNum w:abstractNumId="150">
    <w:nsid w:val="17304A67"/>
    <w:multiLevelType w:val="hybridMultilevel"/>
    <w:lvl w:ilvl="0">
      <w:lvlJc w:val="left"/>
      <w:lvlText w:val="%1."/>
      <w:numFmt w:val="decimal"/>
      <w:start w:val="3"/>
    </w:lvl>
  </w:abstractNum>
  <w:abstractNum w:abstractNumId="151">
    <w:nsid w:val="2BB180D8"/>
    <w:multiLevelType w:val="hybridMultilevel"/>
    <w:lvl w:ilvl="0">
      <w:lvlJc w:val="left"/>
      <w:lvlText w:val="(%1)"/>
      <w:numFmt w:val="lowerLetter"/>
      <w:start w:val="1"/>
    </w:lvl>
  </w:abstractNum>
  <w:abstractNum w:abstractNumId="152">
    <w:nsid w:val="556B69ED"/>
    <w:multiLevelType w:val="hybridMultilevel"/>
    <w:lvl w:ilvl="0">
      <w:lvlJc w:val="left"/>
      <w:lvlText w:val="%1."/>
      <w:numFmt w:val="decimal"/>
      <w:start w:val="4"/>
    </w:lvl>
  </w:abstractNum>
  <w:abstractNum w:abstractNumId="153">
    <w:nsid w:val="70836196"/>
    <w:multiLevelType w:val="hybridMultilevel"/>
    <w:lvl w:ilvl="0">
      <w:lvlJc w:val="left"/>
      <w:lvlText w:val="%1."/>
      <w:numFmt w:val="decimal"/>
      <w:start w:val="5"/>
    </w:lvl>
  </w:abstractNum>
  <w:abstractNum w:abstractNumId="154">
    <w:nsid w:val="539F7F12"/>
    <w:multiLevelType w:val="hybridMultilevel"/>
    <w:lvl w:ilvl="0">
      <w:lvlJc w:val="left"/>
      <w:lvlText w:val="%1."/>
      <w:numFmt w:val="decimal"/>
      <w:start w:val="6"/>
    </w:lvl>
  </w:abstractNum>
  <w:abstractNum w:abstractNumId="155">
    <w:nsid w:val="2817E7EC"/>
    <w:multiLevelType w:val="hybridMultilevel"/>
    <w:lvl w:ilvl="0">
      <w:lvlJc w:val="left"/>
      <w:lvlText w:val="(%1)"/>
      <w:numFmt w:val="lowerLetter"/>
      <w:start w:val="1"/>
    </w:lvl>
  </w:abstractNum>
  <w:abstractNum w:abstractNumId="156">
    <w:nsid w:val="71482545"/>
    <w:multiLevelType w:val="hybridMultilevel"/>
    <w:lvl w:ilvl="0">
      <w:lvlJc w:val="left"/>
      <w:lvlText w:val="%1."/>
      <w:numFmt w:val="decimal"/>
      <w:start w:val="7"/>
    </w:lvl>
  </w:abstractNum>
  <w:abstractNum w:abstractNumId="157">
    <w:nsid w:val="17D78639"/>
    <w:multiLevelType w:val="hybridMultilevel"/>
    <w:lvl w:ilvl="0">
      <w:lvlJc w:val="left"/>
      <w:lvlText w:val="%1."/>
      <w:numFmt w:val="decimal"/>
      <w:start w:val="8"/>
    </w:lvl>
  </w:abstractNum>
  <w:abstractNum w:abstractNumId="158">
    <w:nsid w:val="141D2302"/>
    <w:multiLevelType w:val="hybridMultilevel"/>
    <w:lvl w:ilvl="0">
      <w:lvlJc w:val="left"/>
      <w:lvlText w:val="(%1)"/>
      <w:numFmt w:val="lowerLetter"/>
      <w:start w:val="1"/>
    </w:lvl>
  </w:abstractNum>
  <w:abstractNum w:abstractNumId="159">
    <w:nsid w:val="407168D8"/>
    <w:multiLevelType w:val="hybridMultilevel"/>
    <w:lvl w:ilvl="0">
      <w:lvlJc w:val="left"/>
      <w:lvlText w:val="(%1)"/>
      <w:numFmt w:val="lowerLetter"/>
      <w:start w:val="1"/>
    </w:lvl>
  </w:abstractNum>
  <w:abstractNum w:abstractNumId="160">
    <w:nsid w:val="6A1B45E5"/>
    <w:multiLevelType w:val="hybridMultilevel"/>
    <w:lvl w:ilvl="0">
      <w:lvlJc w:val="left"/>
      <w:lvlText w:val="%1."/>
      <w:numFmt w:val="decimal"/>
      <w:start w:val="9"/>
    </w:lvl>
  </w:abstractNum>
  <w:abstractNum w:abstractNumId="161">
    <w:nsid w:val="567BD50A"/>
    <w:multiLevelType w:val="hybridMultilevel"/>
    <w:lvl w:ilvl="0">
      <w:lvlJc w:val="left"/>
      <w:lvlText w:val="(%1)"/>
      <w:numFmt w:val="lowerLetter"/>
      <w:start w:val="1"/>
    </w:lvl>
  </w:abstractNum>
  <w:abstractNum w:abstractNumId="162">
    <w:nsid w:val="73BBD7F8"/>
    <w:multiLevelType w:val="hybridMultilevel"/>
    <w:lvl w:ilvl="0">
      <w:lvlJc w:val="left"/>
      <w:lvlText w:val="(%1)"/>
      <w:numFmt w:val="lowerLetter"/>
      <w:start w:val="1"/>
    </w:lvl>
  </w:abstractNum>
  <w:abstractNum w:abstractNumId="163">
    <w:nsid w:val="1876589D"/>
    <w:multiLevelType w:val="hybridMultilevel"/>
    <w:lvl w:ilvl="0">
      <w:lvlJc w:val="left"/>
      <w:lvlText w:val="(%1)"/>
      <w:numFmt w:val="lowerLetter"/>
      <w:start w:val="1"/>
    </w:lvl>
  </w:abstractNum>
  <w:abstractNum w:abstractNumId="164">
    <w:nsid w:val="327FAC77"/>
    <w:multiLevelType w:val="hybridMultilevel"/>
    <w:lvl w:ilvl="0">
      <w:lvlJc w:val="left"/>
      <w:lvlText w:val="(%1)"/>
      <w:numFmt w:val="lowerLetter"/>
      <w:start w:val="1"/>
    </w:lvl>
  </w:abstractNum>
  <w:abstractNum w:abstractNumId="165">
    <w:nsid w:val="5A606509"/>
    <w:multiLevelType w:val="hybridMultilevel"/>
    <w:lvl w:ilvl="0">
      <w:lvlJc w:val="left"/>
      <w:lvlText w:val="%1."/>
      <w:numFmt w:val="decimal"/>
      <w:start w:val="10"/>
    </w:lvl>
  </w:abstractNum>
  <w:abstractNum w:abstractNumId="166">
    <w:nsid w:val="6F38E6D1"/>
    <w:multiLevelType w:val="hybridMultilevel"/>
    <w:lvl w:ilvl="0">
      <w:lvlJc w:val="left"/>
      <w:lvlText w:val="(%1)"/>
      <w:numFmt w:val="lowerLetter"/>
      <w:start w:val="1"/>
    </w:lvl>
    <w:lvl w:ilvl="1">
      <w:lvlJc w:val="left"/>
      <w:lvlText w:val="(%2)"/>
      <w:numFmt w:val="lowerLetter"/>
      <w:start w:val="9"/>
    </w:lvl>
  </w:abstractNum>
  <w:abstractNum w:abstractNumId="167">
    <w:nsid w:val="46111BA5"/>
    <w:multiLevelType w:val="hybridMultilevel"/>
    <w:lvl w:ilvl="0">
      <w:lvlJc w:val="left"/>
      <w:lvlText w:val="(%1)"/>
      <w:numFmt w:val="lowerLetter"/>
      <w:start w:val="7"/>
    </w:lvl>
  </w:abstractNum>
  <w:abstractNum w:abstractNumId="168">
    <w:nsid w:val="5E963896"/>
    <w:multiLevelType w:val="hybridMultilevel"/>
    <w:lvl w:ilvl="0">
      <w:lvlJc w:val="left"/>
      <w:lvlText w:val="(%1)"/>
      <w:numFmt w:val="lowerLetter"/>
      <w:start w:val="1"/>
    </w:lvl>
  </w:abstractNum>
  <w:abstractNum w:abstractNumId="169">
    <w:nsid w:val="775BA7C1"/>
    <w:multiLevelType w:val="hybridMultilevel"/>
    <w:lvl w:ilvl="0">
      <w:lvlJc w:val="left"/>
      <w:lvlText w:val="(%1)"/>
      <w:numFmt w:val="lowerLetter"/>
      <w:start w:val="6"/>
    </w:lvl>
  </w:abstractNum>
  <w:abstractNum w:abstractNumId="170">
    <w:nsid w:val="1DD6D6F4"/>
    <w:multiLevelType w:val="hybridMultilevel"/>
    <w:lvl w:ilvl="0">
      <w:lvlJc w:val="left"/>
      <w:lvlText w:val="(%1)"/>
      <w:numFmt w:val="lowerLetter"/>
      <w:start w:val="15"/>
    </w:lvl>
  </w:abstractNum>
  <w:abstractNum w:abstractNumId="171">
    <w:nsid w:val="769A091F"/>
    <w:multiLevelType w:val="hybridMultilevel"/>
    <w:lvl w:ilvl="0">
      <w:lvlJc w:val="left"/>
      <w:lvlText w:val="(%1)"/>
      <w:numFmt w:val="lowerLetter"/>
      <w:start w:val="1"/>
    </w:lvl>
  </w:abstractNum>
  <w:abstractNum w:abstractNumId="172">
    <w:nsid w:val="4695AE95"/>
    <w:multiLevelType w:val="hybridMultilevel"/>
    <w:lvl w:ilvl="0">
      <w:lvlJc w:val="left"/>
      <w:lvlText w:val="%1."/>
      <w:numFmt w:val="decimal"/>
      <w:start w:val="11"/>
    </w:lvl>
  </w:abstractNum>
  <w:abstractNum w:abstractNumId="173">
    <w:nsid w:val="777A4EAA"/>
    <w:multiLevelType w:val="hybridMultilevel"/>
    <w:lvl w:ilvl="0">
      <w:lvlJc w:val="left"/>
      <w:lvlText w:val="(%1)"/>
      <w:numFmt w:val="lowerLetter"/>
      <w:start w:val="1"/>
    </w:lvl>
  </w:abstractNum>
  <w:abstractNum w:abstractNumId="174">
    <w:nsid w:val="3F48B982"/>
    <w:multiLevelType w:val="hybridMultilevel"/>
    <w:lvl w:ilvl="0">
      <w:lvlJc w:val="left"/>
      <w:lvlText w:val="(%1)"/>
      <w:numFmt w:val="lowerRoman"/>
      <w:start w:val="2"/>
    </w:lvl>
  </w:abstractNum>
  <w:abstractNum w:abstractNumId="175">
    <w:nsid w:val="46BA8FCA"/>
    <w:multiLevelType w:val="hybridMultilevel"/>
    <w:lvl w:ilvl="0">
      <w:lvlJc w:val="left"/>
      <w:lvlText w:val="%1."/>
      <w:numFmt w:val="decimal"/>
      <w:start w:val="12"/>
    </w:lvl>
  </w:abstractNum>
  <w:abstractNum w:abstractNumId="176">
    <w:nsid w:val="7835626C"/>
    <w:multiLevelType w:val="hybridMultilevel"/>
    <w:lvl w:ilvl="0">
      <w:lvlJc w:val="left"/>
      <w:lvlText w:val="%1."/>
      <w:numFmt w:val="decimal"/>
      <w:start w:val="13"/>
    </w:lvl>
  </w:abstractNum>
  <w:abstractNum w:abstractNumId="177">
    <w:nsid w:val="665ACA49"/>
    <w:multiLevelType w:val="hybridMultilevel"/>
    <w:lvl w:ilvl="0">
      <w:lvlJc w:val="left"/>
      <w:lvlText w:val="(%1)"/>
      <w:numFmt w:val="lowerLetter"/>
      <w:start w:val="1"/>
    </w:lvl>
  </w:abstractNum>
  <w:abstractNum w:abstractNumId="178">
    <w:nsid w:val="6835B2AE"/>
    <w:multiLevelType w:val="hybridMultilevel"/>
    <w:lvl w:ilvl="0">
      <w:lvlJc w:val="left"/>
      <w:lvlText w:val="(%1)"/>
      <w:numFmt w:val="lowerLetter"/>
      <w:start w:val="1"/>
    </w:lvl>
  </w:abstractNum>
  <w:abstractNum w:abstractNumId="179">
    <w:nsid w:val="4C187C90"/>
    <w:multiLevelType w:val="hybridMultilevel"/>
    <w:lvl w:ilvl="0">
      <w:lvlJc w:val="left"/>
      <w:lvlText w:val="(%1)"/>
      <w:numFmt w:val="lowerLetter"/>
      <w:start w:val="2"/>
    </w:lvl>
  </w:abstractNum>
  <w:abstractNum w:abstractNumId="180">
    <w:nsid w:val="541F28CD"/>
    <w:multiLevelType w:val="hybridMultilevel"/>
    <w:lvl w:ilvl="0">
      <w:lvlJc w:val="left"/>
      <w:lvlText w:val="%1."/>
      <w:numFmt w:val="decimal"/>
      <w:start w:val="14"/>
    </w:lvl>
  </w:abstractNum>
  <w:abstractNum w:abstractNumId="181">
    <w:nsid w:val="7F65FD16"/>
    <w:multiLevelType w:val="hybridMultilevel"/>
    <w:lvl w:ilvl="0">
      <w:lvlJc w:val="left"/>
      <w:lvlText w:val="(%1)"/>
      <w:numFmt w:val="lowerLetter"/>
      <w:start w:val="1"/>
    </w:lvl>
  </w:abstractNum>
  <w:abstractNum w:abstractNumId="182">
    <w:nsid w:val="77C9FD68"/>
    <w:multiLevelType w:val="hybridMultilevel"/>
    <w:lvl w:ilvl="0">
      <w:lvlJc w:val="left"/>
      <w:lvlText w:val="(%1)"/>
      <w:numFmt w:val="lowerLetter"/>
      <w:start w:val="2"/>
    </w:lvl>
  </w:abstractNum>
  <w:abstractNum w:abstractNumId="183">
    <w:nsid w:val="298A92BA"/>
    <w:multiLevelType w:val="hybridMultilevel"/>
    <w:lvl w:ilvl="0">
      <w:lvlJc w:val="left"/>
      <w:lvlText w:val="(%1)"/>
      <w:numFmt w:val="lowerLetter"/>
      <w:start w:val="1"/>
    </w:lvl>
  </w:abstractNum>
  <w:abstractNum w:abstractNumId="184">
    <w:nsid w:val="6FE95EAC"/>
    <w:multiLevelType w:val="hybridMultilevel"/>
    <w:lvl w:ilvl="0">
      <w:lvlJc w:val="left"/>
      <w:lvlText w:val="%1."/>
      <w:numFmt w:val="decimal"/>
      <w:start w:val="15"/>
    </w:lvl>
  </w:abstractNum>
  <w:abstractNum w:abstractNumId="185">
    <w:nsid w:val="4B697C7A"/>
    <w:multiLevelType w:val="hybridMultilevel"/>
    <w:lvl w:ilvl="0">
      <w:lvlJc w:val="left"/>
      <w:lvlText w:val="(%1)"/>
      <w:numFmt w:val="lowerLetter"/>
      <w:start w:val="1"/>
    </w:lvl>
  </w:abstractNum>
  <w:abstractNum w:abstractNumId="186">
    <w:nsid w:val="51A27AA6"/>
    <w:multiLevelType w:val="hybridMultilevel"/>
    <w:lvl w:ilvl="0">
      <w:lvlJc w:val="left"/>
      <w:lvlText w:val="%1."/>
      <w:numFmt w:val="upperLetter"/>
      <w:start w:val="9"/>
    </w:lvl>
  </w:abstractNum>
  <w:abstractNum w:abstractNumId="187">
    <w:nsid w:val="613183F2"/>
    <w:multiLevelType w:val="hybridMultilevel"/>
    <w:lvl w:ilvl="0">
      <w:lvlJc w:val="left"/>
      <w:lvlText w:val="%1."/>
      <w:numFmt w:val="upperLetter"/>
      <w:start w:val="35"/>
    </w:lvl>
  </w:abstractNum>
  <w:abstractNum w:abstractNumId="188">
    <w:nsid w:val="634102B4"/>
    <w:multiLevelType w:val="hybridMultilevel"/>
    <w:lvl w:ilvl="0">
      <w:lvlJc w:val="left"/>
      <w:lvlText w:val="%1."/>
      <w:numFmt w:val="upperLetter"/>
      <w:start w:val="61"/>
    </w:lvl>
  </w:abstractNum>
  <w:abstractNum w:abstractNumId="189">
    <w:nsid w:val="65BF9DA8"/>
    <w:multiLevelType w:val="hybridMultilevel"/>
    <w:lvl w:ilvl="0">
      <w:lvlJc w:val="left"/>
      <w:lvlText w:val="·"/>
      <w:numFmt w:val="bullet"/>
      <w:start w:val="1"/>
    </w:lvl>
  </w:abstractNum>
  <w:abstractNum w:abstractNumId="190">
    <w:nsid w:val="21A2ECCA"/>
    <w:multiLevelType w:val="hybridMultilevel"/>
    <w:lvl w:ilvl="0">
      <w:lvlJc w:val="left"/>
      <w:lvlText w:val="·"/>
      <w:numFmt w:val="bullet"/>
      <w:start w:val="1"/>
    </w:lvl>
  </w:abstractNum>
  <w:abstractNum w:abstractNumId="191">
    <w:nsid w:val="4D5C4899"/>
    <w:multiLevelType w:val="hybridMultilevel"/>
    <w:lvl w:ilvl="0">
      <w:lvlJc w:val="left"/>
      <w:lvlText w:val="·"/>
      <w:numFmt w:val="bullet"/>
      <w:start w:val="1"/>
    </w:lvl>
  </w:abstractNum>
  <w:abstractNum w:abstractNumId="192">
    <w:nsid w:val="3C3B72B2"/>
    <w:multiLevelType w:val="hybridMultilevel"/>
    <w:lvl w:ilvl="0">
      <w:lvlJc w:val="left"/>
      <w:lvlText w:val="%1."/>
      <w:numFmt w:val="decimal"/>
      <w:start w:val="1"/>
    </w:lvl>
  </w:abstractNum>
  <w:abstractNum w:abstractNumId="193">
    <w:nsid w:val="155EC4C2"/>
    <w:multiLevelType w:val="hybridMultilevel"/>
    <w:lvl w:ilvl="0">
      <w:lvlJc w:val="left"/>
      <w:lvlText w:val="%1."/>
      <w:numFmt w:val="upperLetter"/>
      <w:start w:val="1"/>
    </w:lvl>
  </w:abstractNum>
  <w:abstractNum w:abstractNumId="194">
    <w:nsid w:val="65D2A137"/>
    <w:multiLevelType w:val="hybridMultilevel"/>
    <w:lvl w:ilvl="0">
      <w:lvlJc w:val="left"/>
      <w:lvlText w:val="%1."/>
      <w:numFmt w:val="decimal"/>
      <w:start w:val="1"/>
    </w:lvl>
  </w:abstractNum>
  <w:abstractNum w:abstractNumId="195">
    <w:nsid w:val="6EBB1F2A"/>
    <w:multiLevelType w:val="hybridMultilevel"/>
    <w:lvl w:ilvl="0">
      <w:lvlJc w:val="left"/>
      <w:lvlText w:val="(%1)"/>
      <w:numFmt w:val="lowerRoman"/>
      <w:start w:val="1"/>
    </w:lvl>
  </w:abstractNum>
  <w:abstractNum w:abstractNumId="196">
    <w:nsid w:val="6FBF29CB"/>
    <w:multiLevelType w:val="hybridMultilevel"/>
    <w:lvl w:ilvl="0">
      <w:lvlJc w:val="left"/>
      <w:lvlText w:val="(%1)"/>
      <w:numFmt w:val="lowerLetter"/>
      <w:start w:val="1"/>
    </w:lvl>
    <w:lvl w:ilvl="1">
      <w:lvlJc w:val="left"/>
      <w:lvlText w:val="(%2)"/>
      <w:numFmt w:val="lowerLetter"/>
      <w:start w:val="9"/>
    </w:lvl>
  </w:abstractNum>
  <w:abstractNum w:abstractNumId="197">
    <w:nsid w:val="550B8808"/>
    <w:multiLevelType w:val="hybridMultilevel"/>
    <w:lvl w:ilvl="0">
      <w:lvlJc w:val="left"/>
      <w:lvlText w:val="(%1)"/>
      <w:numFmt w:val="lowerRoman"/>
      <w:start w:val="2"/>
    </w:lvl>
  </w:abstractNum>
  <w:abstractNum w:abstractNumId="198">
    <w:nsid w:val="34CC3ACF"/>
    <w:multiLevelType w:val="hybridMultilevel"/>
    <w:lvl w:ilvl="0">
      <w:lvlJc w:val="left"/>
      <w:lvlText w:val="(%1)"/>
      <w:numFmt w:val="lowerRoman"/>
      <w:start w:val="2"/>
    </w:lvl>
  </w:abstractNum>
  <w:abstractNum w:abstractNumId="199">
    <w:nsid w:val="4E556261"/>
    <w:multiLevelType w:val="hybridMultilevel"/>
    <w:lvl w:ilvl="0">
      <w:lvlJc w:val="left"/>
      <w:lvlText w:val="%1."/>
      <w:numFmt w:val="decimal"/>
      <w:start w:val="2"/>
    </w:lvl>
  </w:abstractNum>
  <w:abstractNum w:abstractNumId="200">
    <w:nsid w:val="4C672FC9"/>
    <w:multiLevelType w:val="hybridMultilevel"/>
    <w:lvl w:ilvl="0">
      <w:lvlJc w:val="left"/>
      <w:lvlText w:val="(%1)"/>
      <w:numFmt w:val="lowerLetter"/>
      <w:start w:val="5"/>
    </w:lvl>
  </w:abstractNum>
  <w:abstractNum w:abstractNumId="201">
    <w:nsid w:val="52A311C3"/>
    <w:multiLevelType w:val="hybridMultilevel"/>
    <w:lvl w:ilvl="0">
      <w:lvlJc w:val="left"/>
      <w:lvlText w:val="%1."/>
      <w:numFmt w:val="decimal"/>
      <w:start w:val="3"/>
    </w:lvl>
  </w:abstractNum>
  <w:abstractNum w:abstractNumId="202">
    <w:nsid w:val="44EF6B80"/>
    <w:multiLevelType w:val="hybridMultilevel"/>
    <w:lvl w:ilvl="0">
      <w:lvlJc w:val="left"/>
      <w:lvlText w:val="(%1)"/>
      <w:numFmt w:val="lowerLetter"/>
      <w:start w:val="1"/>
    </w:lvl>
  </w:abstractNum>
  <w:abstractNum w:abstractNumId="203">
    <w:nsid w:val="12FCDE5E"/>
    <w:multiLevelType w:val="hybridMultilevel"/>
    <w:lvl w:ilvl="0">
      <w:lvlJc w:val="left"/>
      <w:lvlText w:val="%1."/>
      <w:numFmt w:val="decimal"/>
      <w:start w:val="4"/>
    </w:lvl>
  </w:abstractNum>
  <w:abstractNum w:abstractNumId="204">
    <w:nsid w:val="4A1D606E"/>
    <w:multiLevelType w:val="hybridMultilevel"/>
    <w:lvl w:ilvl="0">
      <w:lvlJc w:val="left"/>
      <w:lvlText w:val="%1."/>
      <w:numFmt w:val="decimal"/>
      <w:start w:val="5"/>
    </w:lvl>
  </w:abstractNum>
  <w:abstractNum w:abstractNumId="205">
    <w:nsid w:val="4382503"/>
    <w:multiLevelType w:val="hybridMultilevel"/>
    <w:lvl w:ilvl="0">
      <w:lvlJc w:val="left"/>
      <w:lvlText w:val="%1."/>
      <w:numFmt w:val="decimal"/>
      <w:start w:val="6"/>
    </w:lvl>
  </w:abstractNum>
  <w:abstractNum w:abstractNumId="206">
    <w:nsid w:val="59B76E28"/>
    <w:multiLevelType w:val="hybridMultilevel"/>
    <w:lvl w:ilvl="0">
      <w:lvlJc w:val="left"/>
      <w:lvlText w:val="%1."/>
      <w:numFmt w:val="decimal"/>
      <w:start w:val="7"/>
    </w:lvl>
  </w:abstractNum>
  <w:abstractNum w:abstractNumId="207">
    <w:nsid w:val="4252C2DA"/>
    <w:multiLevelType w:val="hybridMultilevel"/>
    <w:lvl w:ilvl="0">
      <w:lvlJc w:val="left"/>
      <w:lvlText w:val="%1."/>
      <w:numFmt w:val="decimal"/>
      <w:start w:val="8"/>
    </w:lvl>
  </w:abstractNum>
  <w:abstractNum w:abstractNumId="208">
    <w:nsid w:val="6A92EF4C"/>
    <w:multiLevelType w:val="hybridMultilevel"/>
    <w:lvl w:ilvl="0">
      <w:lvlJc w:val="left"/>
      <w:lvlText w:val="%1."/>
      <w:numFmt w:val="decimal"/>
      <w:start w:val="9"/>
    </w:lvl>
  </w:abstractNum>
  <w:abstractNum w:abstractNumId="209">
    <w:nsid w:val="41ED20D7"/>
    <w:multiLevelType w:val="hybridMultilevel"/>
    <w:lvl w:ilvl="0">
      <w:lvlJc w:val="left"/>
      <w:lvlText w:val="(%1)"/>
      <w:numFmt w:val="lowerLetter"/>
      <w:start w:val="1"/>
    </w:lvl>
  </w:abstractNum>
  <w:abstractNum w:abstractNumId="210">
    <w:nsid w:val="E6B3F6A"/>
    <w:multiLevelType w:val="hybridMultilevel"/>
    <w:lvl w:ilvl="0">
      <w:lvlJc w:val="left"/>
      <w:lvlText w:val="(%1)"/>
      <w:numFmt w:val="lowerLetter"/>
      <w:start w:val="1"/>
    </w:lvl>
  </w:abstractNum>
  <w:abstractNum w:abstractNumId="211">
    <w:nsid w:val="3EB21819"/>
    <w:multiLevelType w:val="hybridMultilevel"/>
    <w:lvl w:ilvl="0">
      <w:lvlJc w:val="left"/>
      <w:lvlText w:val="(%1)"/>
      <w:numFmt w:val="lowerLetter"/>
      <w:start w:val="1"/>
    </w:lvl>
  </w:abstractNum>
  <w:abstractNum w:abstractNumId="212">
    <w:nsid w:val="41531DED"/>
    <w:multiLevelType w:val="hybridMultilevel"/>
    <w:lvl w:ilvl="0">
      <w:lvlJc w:val="left"/>
      <w:lvlText w:val="%1."/>
      <w:numFmt w:val="decimal"/>
      <w:start w:val="10"/>
    </w:lvl>
  </w:abstractNum>
  <w:abstractNum w:abstractNumId="213">
    <w:nsid w:val="6353CD2"/>
    <w:multiLevelType w:val="hybridMultilevel"/>
    <w:lvl w:ilvl="0">
      <w:lvlJc w:val="left"/>
      <w:lvlText w:val="(%1)"/>
      <w:numFmt w:val="lowerLetter"/>
      <w:start w:val="1"/>
    </w:lvl>
  </w:abstractNum>
  <w:abstractNum w:abstractNumId="214">
    <w:nsid w:val="683CAAD3"/>
    <w:multiLevelType w:val="hybridMultilevel"/>
    <w:lvl w:ilvl="0">
      <w:lvlJc w:val="left"/>
      <w:lvlText w:val="(%1)"/>
      <w:numFmt w:val="lowerLetter"/>
      <w:start w:val="1"/>
    </w:lvl>
  </w:abstractNum>
  <w:abstractNum w:abstractNumId="215">
    <w:nsid w:val="313C7C99"/>
    <w:multiLevelType w:val="hybridMultilevel"/>
    <w:lvl w:ilvl="0">
      <w:lvlJc w:val="left"/>
      <w:lvlText w:val="(%1)"/>
      <w:numFmt w:val="lowerLetter"/>
      <w:start w:val="1"/>
    </w:lvl>
  </w:abstractNum>
  <w:abstractNum w:abstractNumId="216">
    <w:nsid w:val="519EB94C"/>
    <w:multiLevelType w:val="hybridMultilevel"/>
    <w:lvl w:ilvl="0">
      <w:lvlJc w:val="left"/>
      <w:lvlText w:val="(%1)"/>
      <w:numFmt w:val="lowerLetter"/>
      <w:start w:val="4"/>
    </w:lvl>
  </w:abstractNum>
  <w:abstractNum w:abstractNumId="217">
    <w:nsid w:val="39DF2579"/>
    <w:multiLevelType w:val="hybridMultilevel"/>
    <w:lvl w:ilvl="0">
      <w:lvlJc w:val="left"/>
      <w:lvlText w:val="(%1)"/>
      <w:numFmt w:val="lowerLetter"/>
      <w:start w:val="1"/>
    </w:lvl>
  </w:abstractNum>
  <w:abstractNum w:abstractNumId="218">
    <w:nsid w:val="126E008B"/>
    <w:multiLevelType w:val="hybridMultilevel"/>
    <w:lvl w:ilvl="0">
      <w:lvlJc w:val="left"/>
      <w:lvlText w:val="%1."/>
      <w:numFmt w:val="decimal"/>
      <w:start w:val="11"/>
    </w:lvl>
  </w:abstractNum>
  <w:abstractNum w:abstractNumId="219">
    <w:nsid w:val="34DFBC00"/>
    <w:multiLevelType w:val="hybridMultilevel"/>
    <w:lvl w:ilvl="0">
      <w:lvlJc w:val="left"/>
      <w:lvlText w:val="(%1)"/>
      <w:numFmt w:val="lowerLetter"/>
      <w:start w:val="1"/>
    </w:lvl>
  </w:abstractNum>
  <w:abstractNum w:abstractNumId="220">
    <w:nsid w:val="1F9EC322"/>
    <w:multiLevelType w:val="hybridMultilevel"/>
    <w:lvl w:ilvl="0">
      <w:lvlJc w:val="left"/>
      <w:lvlText w:val="(%1)"/>
      <w:numFmt w:val="lowerLetter"/>
      <w:start w:val="1"/>
    </w:lvl>
  </w:abstractNum>
  <w:abstractNum w:abstractNumId="221">
    <w:nsid w:val="3410ED56"/>
    <w:multiLevelType w:val="hybridMultilevel"/>
    <w:lvl w:ilvl="0">
      <w:lvlJc w:val="left"/>
      <w:lvlText w:val="(%1)"/>
      <w:numFmt w:val="lowerLetter"/>
      <w:start w:val="8"/>
    </w:lvl>
  </w:abstractNum>
  <w:abstractNum w:abstractNumId="222">
    <w:nsid w:val="23C049A"/>
    <w:multiLevelType w:val="hybridMultilevel"/>
    <w:lvl w:ilvl="0">
      <w:lvlJc w:val="left"/>
      <w:lvlText w:val="(%1)"/>
      <w:numFmt w:val="lowerLetter"/>
      <w:start w:val="16"/>
    </w:lvl>
  </w:abstractNum>
  <w:abstractNum w:abstractNumId="223">
    <w:nsid w:val="5BDA35D4"/>
    <w:multiLevelType w:val="hybridMultilevel"/>
    <w:lvl w:ilvl="0">
      <w:lvlJc w:val="left"/>
      <w:lvlText w:val="(%1)"/>
      <w:numFmt w:val="lowerLetter"/>
      <w:start w:val="1"/>
    </w:lvl>
  </w:abstractNum>
  <w:abstractNum w:abstractNumId="224">
    <w:nsid w:val="496FB218"/>
    <w:multiLevelType w:val="hybridMultilevel"/>
    <w:lvl w:ilvl="0">
      <w:lvlJc w:val="left"/>
      <w:lvlText w:val="%1."/>
      <w:numFmt w:val="decimal"/>
      <w:start w:val="12"/>
    </w:lvl>
  </w:abstractNum>
  <w:abstractNum w:abstractNumId="225">
    <w:nsid w:val="680EA5D1"/>
    <w:multiLevelType w:val="hybridMultilevel"/>
    <w:lvl w:ilvl="0">
      <w:lvlJc w:val="left"/>
      <w:lvlText w:val="(%1)"/>
      <w:numFmt w:val="lowerLetter"/>
      <w:start w:val="1"/>
    </w:lvl>
  </w:abstractNum>
  <w:abstractNum w:abstractNumId="226">
    <w:nsid w:val="4A9554FE"/>
    <w:multiLevelType w:val="hybridMultilevel"/>
    <w:lvl w:ilvl="0">
      <w:lvlJc w:val="left"/>
      <w:lvlText w:val="(%1)"/>
      <w:numFmt w:val="lowerRoman"/>
      <w:start w:val="2"/>
    </w:lvl>
  </w:abstractNum>
  <w:abstractNum w:abstractNumId="227">
    <w:nsid w:val="392EDBE4"/>
    <w:multiLevelType w:val="hybridMultilevel"/>
    <w:lvl w:ilvl="0">
      <w:lvlJc w:val="left"/>
      <w:lvlText w:val="%1."/>
      <w:numFmt w:val="decimal"/>
      <w:start w:val="13"/>
    </w:lvl>
  </w:abstractNum>
  <w:abstractNum w:abstractNumId="228">
    <w:nsid w:val="3D1A2DD9"/>
    <w:multiLevelType w:val="hybridMultilevel"/>
    <w:lvl w:ilvl="0">
      <w:lvlJc w:val="left"/>
      <w:lvlText w:val="%1."/>
      <w:numFmt w:val="decimal"/>
      <w:start w:val="14"/>
    </w:lvl>
  </w:abstractNum>
  <w:abstractNum w:abstractNumId="229">
    <w:nsid w:val="7F618FCD"/>
    <w:multiLevelType w:val="hybridMultilevel"/>
    <w:lvl w:ilvl="0">
      <w:lvlJc w:val="left"/>
      <w:lvlText w:val="(%1)"/>
      <w:numFmt w:val="lowerLetter"/>
      <w:start w:val="1"/>
    </w:lvl>
  </w:abstractNum>
  <w:abstractNum w:abstractNumId="230">
    <w:nsid w:val="7843E45"/>
    <w:multiLevelType w:val="hybridMultilevel"/>
    <w:lvl w:ilvl="0">
      <w:lvlJc w:val="left"/>
      <w:lvlText w:val="[***]"/>
      <w:numFmt w:val="bullet"/>
      <w:start w:val="1"/>
    </w:lvl>
  </w:abstractNum>
  <w:abstractNum w:abstractNumId="231">
    <w:nsid w:val="9815DA3"/>
    <w:multiLevelType w:val="hybridMultilevel"/>
    <w:lvl w:ilvl="0">
      <w:lvlJc w:val="left"/>
      <w:lvlText w:val="(%1)"/>
      <w:numFmt w:val="lowerLetter"/>
      <w:start w:val="1"/>
    </w:lvl>
  </w:abstractNum>
  <w:abstractNum w:abstractNumId="232">
    <w:nsid w:val="5204A191"/>
    <w:multiLevelType w:val="hybridMultilevel"/>
    <w:lvl w:ilvl="0">
      <w:lvlJc w:val="left"/>
      <w:lvlText w:val="(%1)"/>
      <w:numFmt w:val="lowerLetter"/>
      <w:start w:val="1"/>
    </w:lvl>
  </w:abstractNum>
  <w:abstractNum w:abstractNumId="233">
    <w:nsid w:val="4C73A9C6"/>
    <w:multiLevelType w:val="hybridMultilevel"/>
    <w:lvl w:ilvl="0">
      <w:lvlJc w:val="left"/>
      <w:lvlText w:val="%1."/>
      <w:numFmt w:val="decimal"/>
      <w:start w:val="15"/>
    </w:lvl>
  </w:abstractNum>
  <w:abstractNum w:abstractNumId="234">
    <w:nsid w:val="1C7E3C01"/>
    <w:multiLevelType w:val="hybridMultilevel"/>
    <w:lvl w:ilvl="0">
      <w:lvlJc w:val="left"/>
      <w:lvlText w:val="(%1)"/>
      <w:numFmt w:val="lowerLetter"/>
      <w:start w:val="1"/>
    </w:lvl>
  </w:abstractNum>
  <w:abstractNum w:abstractNumId="235">
    <w:nsid w:val="1C2201FF"/>
    <w:multiLevelType w:val="hybridMultilevel"/>
    <w:lvl w:ilvl="0">
      <w:lvlJc w:val="left"/>
      <w:lvlText w:val="(%1)"/>
      <w:numFmt w:val="lowerLetter"/>
      <w:start w:val="1"/>
    </w:lvl>
  </w:abstractNum>
  <w:abstractNum w:abstractNumId="236">
    <w:nsid w:val="50ABCEC9"/>
    <w:multiLevelType w:val="hybridMultilevel"/>
    <w:lvl w:ilvl="0">
      <w:lvlJc w:val="left"/>
      <w:lvlText w:val="(%1)"/>
      <w:numFmt w:val="lowerLetter"/>
      <w:start w:val="3"/>
    </w:lvl>
  </w:abstractNum>
  <w:abstractNum w:abstractNumId="237">
    <w:nsid w:val="7635AA2A"/>
    <w:multiLevelType w:val="hybridMultilevel"/>
    <w:lvl w:ilvl="0">
      <w:lvlJc w:val="left"/>
      <w:lvlText w:val="%1."/>
      <w:numFmt w:val="decimal"/>
      <w:start w:val="16"/>
    </w:lvl>
  </w:abstractNum>
  <w:abstractNum w:abstractNumId="238">
    <w:nsid w:val="5E74C4D9"/>
    <w:multiLevelType w:val="hybridMultilevel"/>
    <w:lvl w:ilvl="0">
      <w:lvlJc w:val="left"/>
      <w:lvlText w:val="(%1)"/>
      <w:numFmt w:val="lowerLetter"/>
      <w:start w:val="1"/>
    </w:lvl>
  </w:abstractNum>
  <w:abstractNum w:abstractNumId="239">
    <w:nsid w:val="3B3EBE15"/>
    <w:multiLevelType w:val="hybridMultilevel"/>
    <w:lvl w:ilvl="0">
      <w:lvlJc w:val="left"/>
      <w:lvlText w:val="%1."/>
      <w:numFmt w:val="upperLetter"/>
      <w:start w:val="9"/>
    </w:lvl>
  </w:abstractNum>
  <w:abstractNum w:abstractNumId="240">
    <w:nsid w:val="3822CB01"/>
    <w:multiLevelType w:val="hybridMultilevel"/>
    <w:lvl w:ilvl="0">
      <w:lvlJc w:val="left"/>
      <w:lvlText w:val="%1."/>
      <w:numFmt w:val="upperLetter"/>
      <w:start w:val="35"/>
    </w:lvl>
  </w:abstractNum>
  <w:abstractNum w:abstractNumId="241">
    <w:nsid w:val="6CE00443"/>
    <w:multiLevelType w:val="hybridMultilevel"/>
    <w:lvl w:ilvl="0">
      <w:lvlJc w:val="left"/>
      <w:lvlText w:val="%1."/>
      <w:numFmt w:val="upperLetter"/>
      <w:start w:val="61"/>
    </w:lvl>
  </w:abstractNum>
  <w:abstractNum w:abstractNumId="242">
    <w:nsid w:val="79F0D62F"/>
    <w:multiLevelType w:val="hybridMultilevel"/>
    <w:lvl w:ilvl="0">
      <w:lvlJc w:val="left"/>
      <w:lvlText w:val="•"/>
      <w:numFmt w:val="bullet"/>
      <w:start w:val="1"/>
    </w:lvl>
  </w:abstractNum>
  <w:abstractNum w:abstractNumId="243">
    <w:nsid w:val="7975E8EE"/>
    <w:multiLevelType w:val="hybridMultilevel"/>
    <w:lvl w:ilvl="0">
      <w:lvlJc w:val="left"/>
      <w:lvlText w:val="•"/>
      <w:numFmt w:val="bullet"/>
      <w:start w:val="1"/>
    </w:lvl>
  </w:abstractNum>
  <w:abstractNum w:abstractNumId="244">
    <w:nsid w:val="73154115"/>
    <w:multiLevelType w:val="hybridMultilevel"/>
    <w:lvl w:ilvl="0">
      <w:lvlJc w:val="left"/>
      <w:lvlText w:val="•"/>
      <w:numFmt w:val="bullet"/>
      <w:start w:val="1"/>
    </w:lvl>
  </w:abstractNum>
  <w:abstractNum w:abstractNumId="245">
    <w:nsid w:val="622D8102"/>
    <w:multiLevelType w:val="hybridMultilevel"/>
    <w:lvl w:ilvl="0">
      <w:lvlJc w:val="left"/>
      <w:lvlText w:val="%1."/>
      <w:numFmt w:val="decimal"/>
      <w:start w:val="1"/>
    </w:lvl>
  </w:abstractNum>
  <w:abstractNum w:abstractNumId="246">
    <w:nsid w:val="2AB26587"/>
    <w:multiLevelType w:val="hybridMultilevel"/>
    <w:lvl w:ilvl="0">
      <w:lvlJc w:val="left"/>
      <w:lvlText w:val="(%1)"/>
      <w:numFmt w:val="lowerLetter"/>
      <w:start w:val="1"/>
    </w:lvl>
  </w:abstractNum>
  <w:abstractNum w:abstractNumId="247">
    <w:nsid w:val="44B3FA61"/>
    <w:multiLevelType w:val="hybridMultilevel"/>
    <w:lvl w:ilvl="0">
      <w:lvlJc w:val="left"/>
      <w:lvlText w:val="%1."/>
      <w:numFmt w:val="decimal"/>
      <w:start w:val="2"/>
    </w:lvl>
  </w:abstractNum>
  <w:abstractNum w:abstractNumId="248">
    <w:nsid w:val="1C0CA67C"/>
    <w:multiLevelType w:val="hybridMultilevel"/>
    <w:lvl w:ilvl="0">
      <w:lvlJc w:val="left"/>
      <w:lvlText w:val="%1."/>
      <w:numFmt w:val="decimal"/>
      <w:start w:val="1"/>
    </w:lvl>
  </w:abstractNum>
  <w:abstractNum w:abstractNumId="249">
    <w:nsid w:val="3D206613"/>
    <w:multiLevelType w:val="hybridMultilevel"/>
    <w:lvl w:ilvl="0">
      <w:lvlJc w:val="left"/>
      <w:lvlText w:val="(%1)"/>
      <w:numFmt w:val="lowerLetter"/>
      <w:start w:val="1"/>
    </w:lvl>
  </w:abstractNum>
  <w:abstractNum w:abstractNumId="250">
    <w:nsid w:val="7993B662"/>
    <w:multiLevelType w:val="hybridMultilevel"/>
    <w:lvl w:ilvl="0">
      <w:lvlJc w:val="left"/>
      <w:lvlText w:val="(%1)"/>
      <w:numFmt w:val="lowerLetter"/>
      <w:start w:val="2"/>
    </w:lvl>
  </w:abstractNum>
  <w:abstractNum w:abstractNumId="251">
    <w:nsid w:val="3BAB699E"/>
    <w:multiLevelType w:val="hybridMultilevel"/>
    <w:lvl w:ilvl="0">
      <w:lvlJc w:val="left"/>
      <w:lvlText w:val="%1."/>
      <w:numFmt w:val="decimal"/>
      <w:start w:val="2"/>
    </w:lvl>
  </w:abstractNum>
  <w:abstractNum w:abstractNumId="252">
    <w:nsid w:val="71315369"/>
    <w:multiLevelType w:val="hybridMultilevel"/>
    <w:lvl w:ilvl="0">
      <w:lvlJc w:val="left"/>
      <w:lvlText w:val="%1."/>
      <w:numFmt w:val="decimal"/>
      <w:start w:val="3"/>
    </w:lvl>
  </w:abstractNum>
  <w:abstractNum w:abstractNumId="253">
    <w:nsid w:val="7BCFBAFC"/>
    <w:multiLevelType w:val="hybridMultilevel"/>
    <w:lvl w:ilvl="0">
      <w:lvlJc w:val="left"/>
      <w:lvlText w:val="(%1)"/>
      <w:numFmt w:val="lowerLetter"/>
      <w:start w:val="1"/>
    </w:lvl>
  </w:abstractNum>
  <w:abstractNum w:abstractNumId="254">
    <w:nsid w:val="17859F72"/>
    <w:multiLevelType w:val="hybridMultilevel"/>
    <w:lvl w:ilvl="0">
      <w:lvlJc w:val="left"/>
      <w:lvlText w:val="(%1)"/>
      <w:numFmt w:val="lowerLetter"/>
      <w:start w:val="1"/>
    </w:lvl>
  </w:abstractNum>
  <w:abstractNum w:abstractNumId="255">
    <w:nsid w:val="3AA10581"/>
    <w:multiLevelType w:val="hybridMultilevel"/>
    <w:lvl w:ilvl="0">
      <w:lvlJc w:val="left"/>
      <w:lvlText w:val="(%1)"/>
      <w:numFmt w:val="decimal"/>
      <w:start w:val="2"/>
    </w:lvl>
  </w:abstractNum>
  <w:abstractNum w:abstractNumId="256">
    <w:nsid w:val="63DE60CD"/>
    <w:multiLevelType w:val="hybridMultilevel"/>
    <w:lvl w:ilvl="0">
      <w:lvlJc w:val="left"/>
      <w:lvlText w:val="(%1)"/>
      <w:numFmt w:val="upperLetter"/>
      <w:start w:val="1"/>
    </w:lvl>
  </w:abstractNum>
  <w:abstractNum w:abstractNumId="257">
    <w:nsid w:val="621AF471"/>
    <w:multiLevelType w:val="hybridMultilevel"/>
    <w:lvl w:ilvl="0">
      <w:lvlJc w:val="left"/>
      <w:lvlText w:val="(%1)"/>
      <w:numFmt w:val="lowerRoman"/>
      <w:start w:val="2"/>
    </w:lvl>
  </w:abstractNum>
  <w:abstractNum w:abstractNumId="258">
    <w:nsid w:val="73CFE165"/>
    <w:multiLevelType w:val="hybridMultilevel"/>
    <w:lvl w:ilvl="0">
      <w:lvlJc w:val="left"/>
      <w:lvlText w:val="(%1)"/>
      <w:numFmt w:val="decimal"/>
      <w:start w:val="2"/>
    </w:lvl>
  </w:abstractNum>
  <w:abstractNum w:abstractNumId="259">
    <w:nsid w:val="20F88EA6"/>
    <w:multiLevelType w:val="hybridMultilevel"/>
    <w:lvl w:ilvl="0">
      <w:lvlJc w:val="left"/>
      <w:lvlText w:val="(%1)"/>
      <w:numFmt w:val="lowerLetter"/>
      <w:start w:val="2"/>
    </w:lvl>
  </w:abstractNum>
  <w:abstractNum w:abstractNumId="260">
    <w:nsid w:val="617C843E"/>
    <w:multiLevelType w:val="hybridMultilevel"/>
    <w:lvl w:ilvl="0">
      <w:lvlJc w:val="left"/>
      <w:lvlText w:val="(%1)"/>
      <w:numFmt w:val="lowerLetter"/>
      <w:start w:val="1"/>
    </w:lvl>
  </w:abstractNum>
  <w:abstractNum w:abstractNumId="261">
    <w:nsid w:val="7B541FAB"/>
    <w:multiLevelType w:val="hybridMultilevel"/>
    <w:lvl w:ilvl="0">
      <w:lvlJc w:val="left"/>
      <w:lvlText w:val="(%1)"/>
      <w:numFmt w:val="lowerLetter"/>
      <w:start w:val="1"/>
    </w:lvl>
  </w:abstractNum>
  <w:abstractNum w:abstractNumId="262">
    <w:nsid w:val="2A79EC49"/>
    <w:multiLevelType w:val="hybridMultilevel"/>
    <w:lvl w:ilvl="0">
      <w:lvlJc w:val="left"/>
      <w:lvlText w:val="%1."/>
      <w:numFmt w:val="decimal"/>
      <w:start w:val="1"/>
    </w:lvl>
  </w:abstractNum>
  <w:abstractNum w:abstractNumId="263">
    <w:nsid w:val="338125CF"/>
    <w:multiLevelType w:val="hybridMultilevel"/>
    <w:lvl w:ilvl="0">
      <w:lvlJc w:val="left"/>
      <w:lvlText w:val="%1."/>
      <w:numFmt w:val="decimal"/>
      <w:start w:val="2"/>
    </w:lvl>
  </w:abstractNum>
  <w:abstractNum w:abstractNumId="264">
    <w:nsid w:val="47C7C971"/>
    <w:multiLevelType w:val="hybridMultilevel"/>
    <w:lvl w:ilvl="0">
      <w:lvlJc w:val="left"/>
      <w:lvlText w:val="%1."/>
      <w:numFmt w:val="decimal"/>
      <w:start w:val="3"/>
    </w:lvl>
  </w:abstractNum>
  <w:abstractNum w:abstractNumId="265">
    <w:nsid w:val="46F8284B"/>
    <w:multiLevelType w:val="hybridMultilevel"/>
    <w:lvl w:ilvl="0">
      <w:lvlJc w:val="left"/>
      <w:lvlText w:val="%1."/>
      <w:numFmt w:val="decimal"/>
      <w:start w:val="4"/>
    </w:lvl>
    <w:lvl w:ilvl="1">
      <w:lvlJc w:val="left"/>
      <w:lvlText w:val="(%2)"/>
      <w:numFmt w:val="lowerLetter"/>
      <w:start w:val="1"/>
    </w:lvl>
  </w:abstractNum>
  <w:abstractNum w:abstractNumId="266">
    <w:nsid w:val="4FA327CE"/>
    <w:multiLevelType w:val="hybridMultilevel"/>
    <w:lvl w:ilvl="0">
      <w:lvlJc w:val="left"/>
      <w:lvlText w:val="%1"/>
      <w:numFmt w:val="decimal"/>
      <w:start w:val="1"/>
    </w:lvl>
    <w:lvl w:ilvl="1">
      <w:lvlJc w:val="left"/>
      <w:lvlText w:val="(%2)"/>
      <w:numFmt w:val="lowerLetter"/>
      <w:start w:val="2"/>
    </w:lvl>
  </w:abstractNum>
  <w:abstractNum w:abstractNumId="267">
    <w:nsid w:val="1873983A"/>
    <w:multiLevelType w:val="hybridMultilevel"/>
    <w:lvl w:ilvl="0">
      <w:lvlJc w:val="left"/>
      <w:lvlText w:val="%1."/>
      <w:numFmt w:val="decimal"/>
      <w:start w:val="5"/>
    </w:lvl>
    <w:lvl w:ilvl="1">
      <w:lvlJc w:val="left"/>
      <w:lvlText w:val="%2"/>
      <w:numFmt w:val="lowerLetter"/>
      <w:start w:val="1"/>
    </w:lvl>
  </w:abstractNum>
  <w:abstractNum w:abstractNumId="268">
    <w:nsid w:val="3D2DD275"/>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69">
    <w:nsid w:val="2E17ECA7"/>
    <w:multiLevelType w:val="hybridMultilevel"/>
    <w:lvl w:ilvl="0">
      <w:lvlJc w:val="left"/>
      <w:lvlText w:val="(%1)"/>
      <w:numFmt w:val="decimal"/>
      <w:start w:val="4"/>
    </w:lvl>
    <w:lvl w:ilvl="1">
      <w:lvlJc w:val="left"/>
      <w:lvlText w:val="(%2)"/>
      <w:numFmt w:val="upperLetter"/>
      <w:start w:val="1"/>
    </w:lvl>
  </w:abstractNum>
  <w:abstractNum w:abstractNumId="270">
    <w:nsid w:val="53B2564F"/>
    <w:multiLevelType w:val="hybridMultilevel"/>
    <w:lvl w:ilvl="0">
      <w:lvlJc w:val="left"/>
      <w:lvlText w:val="(%1)"/>
      <w:numFmt w:val="decimal"/>
      <w:start w:val="5"/>
    </w:lvl>
  </w:abstractNum>
  <w:abstractNum w:abstractNumId="271">
    <w:nsid w:val="75509D76"/>
    <w:multiLevelType w:val="hybridMultilevel"/>
    <w:lvl w:ilvl="0">
      <w:lvlJc w:val="left"/>
      <w:lvlText w:val="(%1)"/>
      <w:numFmt w:val="decimal"/>
      <w:start w:val="8"/>
    </w:lvl>
    <w:lvl w:ilvl="1">
      <w:lvlJc w:val="left"/>
      <w:lvlText w:val="(%2)"/>
      <w:numFmt w:val="upperLetter"/>
      <w:start w:val="1"/>
    </w:lvl>
  </w:abstractNum>
  <w:abstractNum w:abstractNumId="272">
    <w:nsid w:val="1AF7F0E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4"/>
    </w:lvl>
  </w:abstractNum>
  <w:abstractNum w:abstractNumId="273">
    <w:nsid w:val="4DA32C7E"/>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74">
    <w:nsid w:val="6EC68664"/>
    <w:multiLevelType w:val="hybridMultilevel"/>
    <w:lvl w:ilvl="0">
      <w:lvlJc w:val="left"/>
      <w:lvlText w:val="%1"/>
      <w:numFmt w:val="lowerLetter"/>
      <w:start w:val="1"/>
    </w:lvl>
    <w:lvl w:ilvl="1">
      <w:lvlJc w:val="left"/>
      <w:lvlText w:val="(%2)"/>
      <w:numFmt w:val="decimal"/>
      <w:start w:val="4"/>
    </w:lvl>
  </w:abstractNum>
  <w:abstractNum w:abstractNumId="275">
    <w:nsid w:val="E0D31FF"/>
    <w:multiLevelType w:val="hybridMultilevel"/>
    <w:lvl w:ilvl="0">
      <w:lvlJc w:val="left"/>
      <w:lvlText w:val="(%1)"/>
      <w:numFmt w:val="lowerLetter"/>
      <w:start w:val="3"/>
    </w:lvl>
    <w:lvl w:ilvl="1">
      <w:lvlJc w:val="left"/>
      <w:lvlText w:val="(%2)"/>
      <w:numFmt w:val="decimal"/>
      <w:start w:val="1"/>
    </w:lvl>
  </w:abstractNum>
  <w:abstractNum w:abstractNumId="276">
    <w:nsid w:val="2FD0AD81"/>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77">
    <w:nsid w:val="1978EBEB"/>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278">
    <w:nsid w:val="52C12C61"/>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79">
    <w:nsid w:val="4BDD53FD"/>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280">
    <w:nsid w:val="569951FE"/>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81">
    <w:nsid w:val="4C54E2C3"/>
    <w:multiLevelType w:val="hybridMultilevel"/>
    <w:lvl w:ilvl="0">
      <w:lvlJc w:val="left"/>
      <w:lvlText w:val="%1"/>
      <w:numFmt w:val="decimal"/>
      <w:start w:val="1"/>
    </w:lvl>
    <w:lvl w:ilvl="1">
      <w:lvlJc w:val="left"/>
      <w:lvlText w:val="(%2)"/>
      <w:numFmt w:val="lowerLetter"/>
      <w:start w:val="2"/>
    </w:lvl>
  </w:abstractNum>
  <w:abstractNum w:abstractNumId="282">
    <w:nsid w:val="788BD9B"/>
    <w:multiLevelType w:val="hybridMultilevel"/>
    <w:lvl w:ilvl="0">
      <w:lvlJc w:val="left"/>
      <w:lvlText w:val="%1."/>
      <w:numFmt w:val="decimal"/>
      <w:start w:val="9"/>
    </w:lvl>
    <w:lvl w:ilvl="1">
      <w:lvlJc w:val="left"/>
      <w:lvlText w:val="%2"/>
      <w:numFmt w:val="lowerLetter"/>
      <w:start w:val="1"/>
    </w:lvl>
  </w:abstractNum>
  <w:abstractNum w:abstractNumId="283">
    <w:nsid w:val="47CAA567"/>
    <w:multiLevelType w:val="hybridMultilevel"/>
    <w:lvl w:ilvl="0">
      <w:lvlJc w:val="left"/>
      <w:lvlText w:val="%1."/>
      <w:numFmt w:val="decimal"/>
      <w:start w:val="10"/>
    </w:lvl>
  </w:abstractNum>
  <w:abstractNum w:abstractNumId="284">
    <w:nsid w:val="48249DBF"/>
    <w:multiLevelType w:val="hybridMultilevel"/>
    <w:lvl w:ilvl="0">
      <w:lvlJc w:val="left"/>
      <w:lvlText w:val="%1."/>
      <w:numFmt w:val="decimal"/>
      <w:start w:val="11"/>
    </w:lvl>
    <w:lvl w:ilvl="1">
      <w:lvlJc w:val="left"/>
      <w:lvlText w:val="(%2)"/>
      <w:numFmt w:val="lowerLetter"/>
      <w:start w:val="1"/>
    </w:lvl>
  </w:abstractNum>
  <w:abstractNum w:abstractNumId="285">
    <w:nsid w:val="1F0E5D0D"/>
    <w:multiLevelType w:val="hybridMultilevel"/>
    <w:lvl w:ilvl="0">
      <w:lvlJc w:val="left"/>
      <w:lvlText w:val="%1."/>
      <w:numFmt w:val="decimal"/>
      <w:start w:val="13"/>
    </w:lvl>
    <w:lvl w:ilvl="1">
      <w:lvlJc w:val="left"/>
      <w:lvlText w:val="(%2)"/>
      <w:numFmt w:val="lowerLetter"/>
      <w:start w:val="1"/>
    </w:lvl>
  </w:abstractNum>
  <w:abstractNum w:abstractNumId="286">
    <w:nsid w:val="26BAAE9"/>
    <w:multiLevelType w:val="hybridMultilevel"/>
    <w:lvl w:ilvl="0">
      <w:lvlJc w:val="left"/>
      <w:lvlText w:val="(%1)"/>
      <w:numFmt w:val="lowerRoman"/>
      <w:start w:val="1"/>
    </w:lvl>
  </w:abstractNum>
  <w:abstractNum w:abstractNumId="287">
    <w:nsid w:val="2C02FE8C"/>
    <w:multiLevelType w:val="hybridMultilevel"/>
    <w:lvl w:ilvl="0">
      <w:lvlJc w:val="left"/>
      <w:lvlText w:val="%1."/>
      <w:numFmt w:val="decimal"/>
      <w:start w:val="1"/>
    </w:lvl>
    <w:lvl w:ilvl="1">
      <w:lvlJc w:val="left"/>
      <w:lvlText w:val="(%2)"/>
      <w:numFmt w:val="lowerLetter"/>
      <w:start w:val="1"/>
    </w:lvl>
  </w:abstractNum>
  <w:abstractNum w:abstractNumId="288">
    <w:nsid w:val="129517E"/>
    <w:multiLevelType w:val="hybridMultilevel"/>
    <w:lvl w:ilvl="0">
      <w:lvlJc w:val="left"/>
      <w:lvlText w:val="(%1)"/>
      <w:numFmt w:val="lowerLetter"/>
      <w:start w:val="3"/>
    </w:lvl>
  </w:abstractNum>
  <w:abstractNum w:abstractNumId="289">
    <w:nsid w:val="763B8C4E"/>
    <w:multiLevelType w:val="hybridMultilevel"/>
    <w:lvl w:ilvl="0">
      <w:lvlJc w:val="left"/>
      <w:lvlText w:val="%1"/>
      <w:numFmt w:val="decimal"/>
      <w:start w:val="1"/>
    </w:lvl>
    <w:lvl w:ilvl="1">
      <w:lvlJc w:val="left"/>
      <w:lvlText w:val="(%2)"/>
      <w:numFmt w:val="lowerLetter"/>
      <w:start w:val="4"/>
    </w:lvl>
  </w:abstractNum>
  <w:abstractNum w:abstractNumId="290">
    <w:nsid w:val="4CFB8D32"/>
    <w:multiLevelType w:val="hybridMultilevel"/>
    <w:lvl w:ilvl="0">
      <w:lvlJc w:val="left"/>
      <w:lvlText w:val="%1."/>
      <w:numFmt w:val="decimal"/>
      <w:start w:val="3"/>
    </w:lvl>
    <w:lvl w:ilvl="1">
      <w:lvlJc w:val="left"/>
      <w:lvlText w:val="(%2)"/>
      <w:numFmt w:val="lowerLetter"/>
      <w:start w:val="1"/>
    </w:lvl>
  </w:abstractNum>
  <w:abstractNum w:abstractNumId="291">
    <w:nsid w:val="62A5D5BD"/>
    <w:multiLevelType w:val="hybridMultilevel"/>
    <w:lvl w:ilvl="0">
      <w:lvlJc w:val="left"/>
      <w:lvlText w:val="%1."/>
      <w:numFmt w:val="decimal"/>
      <w:start w:val="4"/>
    </w:lvl>
    <w:lvl w:ilvl="1">
      <w:lvlJc w:val="left"/>
      <w:lvlText w:val="(%2)"/>
      <w:numFmt w:val="lowerLetter"/>
      <w:start w:val="1"/>
    </w:lvl>
  </w:abstractNum>
  <w:abstractNum w:abstractNumId="292">
    <w:nsid w:val="718FABF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93">
    <w:nsid w:val="7775797C"/>
    <w:multiLevelType w:val="hybridMultilevel"/>
    <w:lvl w:ilvl="0">
      <w:lvlJc w:val="left"/>
      <w:lvlText w:val="%1"/>
      <w:numFmt w:val="lowerLetter"/>
      <w:start w:val="1"/>
    </w:lvl>
    <w:lvl w:ilvl="1">
      <w:lvlJc w:val="left"/>
      <w:lvlText w:val="(%2)"/>
      <w:numFmt w:val="lowerRoman"/>
      <w:start w:val="5"/>
    </w:lvl>
  </w:abstractNum>
  <w:abstractNum w:abstractNumId="294">
    <w:nsid w:val="1626FB8C"/>
    <w:multiLevelType w:val="hybridMultilevel"/>
    <w:lvl w:ilvl="0">
      <w:lvlJc w:val="left"/>
      <w:lvlText w:val="(%1)"/>
      <w:numFmt w:val="lowerLetter"/>
      <w:start w:val="2"/>
    </w:lvl>
    <w:lvl w:ilvl="1">
      <w:lvlJc w:val="left"/>
      <w:lvlText w:val="%2"/>
      <w:numFmt w:val="lowerRoman"/>
      <w:start w:val="1"/>
    </w:lvl>
  </w:abstractNum>
  <w:abstractNum w:abstractNumId="295">
    <w:nsid w:val="3957756A"/>
    <w:multiLevelType w:val="hybridMultilevel"/>
    <w:lvl w:ilvl="0">
      <w:lvlJc w:val="left"/>
      <w:lvlText w:val="%1."/>
      <w:numFmt w:val="decimal"/>
      <w:start w:val="7"/>
    </w:lvl>
  </w:abstractNum>
  <w:abstractNum w:abstractNumId="296">
    <w:nsid w:val="3E6DA1C7"/>
    <w:multiLevelType w:val="hybridMultilevel"/>
    <w:lvl w:ilvl="0">
      <w:lvlJc w:val="left"/>
      <w:lvlText w:val="%1."/>
      <w:numFmt w:val="decimal"/>
      <w:start w:val="12"/>
    </w:lvl>
  </w:abstractNum>
  <w:abstractNum w:abstractNumId="297">
    <w:nsid w:val="65CA235B"/>
    <w:multiLevelType w:val="hybridMultilevel"/>
    <w:lvl w:ilvl="0">
      <w:lvlJc w:val="left"/>
      <w:lvlText w:val="%1"/>
      <w:numFmt w:val="lowerLetter"/>
      <w:start w:val="1"/>
    </w:lvl>
    <w:lvl w:ilvl="1">
      <w:lvlJc w:val="left"/>
      <w:lvlText w:val="(%2)"/>
      <w:numFmt w:val="lowerLetter"/>
      <w:start w:val="1"/>
    </w:lvl>
  </w:abstractNum>
  <w:abstractNum w:abstractNumId="298">
    <w:nsid w:val="51CB0DA4"/>
    <w:multiLevelType w:val="hybridMultilevel"/>
    <w:lvl w:ilvl="0">
      <w:lvlJc w:val="left"/>
      <w:lvlText w:val="(%1)"/>
      <w:numFmt w:val="lowerLetter"/>
      <w:start w:val="2"/>
    </w:lvl>
    <w:lvl w:ilvl="1">
      <w:lvlJc w:val="left"/>
      <w:lvlText w:val="%2"/>
      <w:numFmt w:val="lowerLetter"/>
      <w:start w:val="1"/>
    </w:lvl>
  </w:abstractNum>
  <w:abstractNum w:abstractNumId="299">
    <w:nsid w:val="7B9B743C"/>
    <w:multiLevelType w:val="hybridMultilevel"/>
    <w:lvl w:ilvl="0">
      <w:lvlJc w:val="left"/>
      <w:lvlText w:val="%1."/>
      <w:numFmt w:val="decimal"/>
      <w:start w:val="1"/>
    </w:lvl>
  </w:abstractNum>
  <w:abstractNum w:abstractNumId="300">
    <w:nsid w:val="13E21002"/>
    <w:multiLevelType w:val="hybridMultilevel"/>
    <w:lvl w:ilvl="0">
      <w:lvlJc w:val="left"/>
      <w:lvlText w:val="%1."/>
      <w:numFmt w:val="decimal"/>
      <w:start w:val="2"/>
    </w:lvl>
  </w:abstractNum>
  <w:abstractNum w:abstractNumId="301">
    <w:nsid w:val="257D63F4"/>
    <w:multiLevelType w:val="hybridMultilevel"/>
    <w:lvl w:ilvl="0">
      <w:lvlJc w:val="left"/>
      <w:lvlText w:val="1"/>
      <w:numFmt w:val="bullet"/>
      <w:start w:val="1"/>
    </w:lvl>
  </w:abstractNum>
  <w:abstractNum w:abstractNumId="302">
    <w:nsid w:val="70EC11B2"/>
    <w:multiLevelType w:val="hybridMultilevel"/>
    <w:lvl w:ilvl="0">
      <w:lvlJc w:val="left"/>
      <w:lvlText w:val="%1."/>
      <w:numFmt w:val="decimal"/>
      <w:start w:val="3"/>
    </w:lvl>
  </w:abstractNum>
  <w:abstractNum w:abstractNumId="303">
    <w:nsid w:val="2EDA00ED"/>
    <w:multiLevelType w:val="hybridMultilevel"/>
    <w:lvl w:ilvl="0">
      <w:lvlJc w:val="left"/>
      <w:lvlText w:val="%1."/>
      <w:numFmt w:val="decimal"/>
      <w:start w:val="4"/>
    </w:lvl>
  </w:abstractNum>
  <w:abstractNum w:abstractNumId="304">
    <w:nsid w:val="73209072"/>
    <w:multiLevelType w:val="hybridMultilevel"/>
    <w:lvl w:ilvl="0">
      <w:lvlJc w:val="left"/>
      <w:lvlText w:val="%1."/>
      <w:numFmt w:val="decimal"/>
      <w:start w:val="7"/>
    </w:lvl>
  </w:abstractNum>
  <w:abstractNum w:abstractNumId="305">
    <w:nsid w:val="5FB29816"/>
    <w:multiLevelType w:val="hybridMultilevel"/>
    <w:lvl w:ilvl="0">
      <w:lvlJc w:val="left"/>
      <w:lvlText w:val="%1."/>
      <w:numFmt w:val="decimal"/>
      <w:start w:val="1"/>
    </w:lvl>
  </w:abstractNum>
  <w:abstractNum w:abstractNumId="306">
    <w:nsid w:val="3CE732EC"/>
    <w:multiLevelType w:val="hybridMultilevel"/>
    <w:lvl w:ilvl="0">
      <w:lvlJc w:val="left"/>
      <w:lvlText w:val="%1."/>
      <w:numFmt w:val="decimal"/>
      <w:start w:val="2"/>
    </w:lvl>
  </w:abstractNum>
  <w:abstractNum w:abstractNumId="307">
    <w:nsid w:val="22F13DF3"/>
    <w:multiLevelType w:val="hybridMultilevel"/>
    <w:lvl w:ilvl="0">
      <w:lvlJc w:val="left"/>
      <w:lvlText w:val="1"/>
      <w:numFmt w:val="bullet"/>
      <w:start w:val="1"/>
    </w:lvl>
  </w:abstractNum>
  <w:abstractNum w:abstractNumId="308">
    <w:nsid w:val="792B8401"/>
    <w:multiLevelType w:val="hybridMultilevel"/>
    <w:lvl w:ilvl="0">
      <w:lvlJc w:val="left"/>
      <w:lvlText w:val="%1."/>
      <w:numFmt w:val="decimal"/>
      <w:start w:val="3"/>
    </w:lvl>
  </w:abstractNum>
  <w:abstractNum w:abstractNumId="309">
    <w:nsid w:val="FA85F4D"/>
    <w:multiLevelType w:val="hybridMultilevel"/>
    <w:lvl w:ilvl="0">
      <w:lvlJc w:val="left"/>
      <w:lvlText w:val="%1."/>
      <w:numFmt w:val="decimal"/>
      <w:start w:val="4"/>
    </w:lvl>
  </w:abstractNum>
  <w:abstractNum w:abstractNumId="310">
    <w:nsid w:val="6ECE91F0"/>
    <w:multiLevelType w:val="hybridMultilevel"/>
    <w:lvl w:ilvl="0">
      <w:lvlJc w:val="left"/>
      <w:lvlText w:val="%1."/>
      <w:numFmt w:val="decimal"/>
      <w:start w:val="7"/>
    </w:lvl>
  </w:abstractNum>
  <w:abstractNum w:abstractNumId="311">
    <w:nsid w:val="4FC4D600"/>
    <w:multiLevelType w:val="hybridMultilevel"/>
    <w:lvl w:ilvl="0">
      <w:lvlJc w:val="left"/>
      <w:lvlText w:val="%1."/>
      <w:numFmt w:val="decimal"/>
      <w:start w:val="1"/>
    </w:lvl>
  </w:abstractNum>
  <w:abstractNum w:abstractNumId="312">
    <w:nsid w:val="5BFD4210"/>
    <w:multiLevelType w:val="hybridMultilevel"/>
    <w:lvl w:ilvl="0">
      <w:lvlJc w:val="left"/>
      <w:lvlText w:val="%1."/>
      <w:numFmt w:val="decimal"/>
      <w:start w:val="2"/>
    </w:lvl>
  </w:abstractNum>
  <w:abstractNum w:abstractNumId="313">
    <w:nsid w:val="76574F8B"/>
    <w:multiLevelType w:val="hybridMultilevel"/>
    <w:lvl w:ilvl="0">
      <w:lvlJc w:val="left"/>
      <w:lvlText w:val="1"/>
      <w:numFmt w:val="bullet"/>
      <w:start w:val="1"/>
    </w:lvl>
  </w:abstractNum>
  <w:abstractNum w:abstractNumId="314">
    <w:nsid w:val="178F7B67"/>
    <w:multiLevelType w:val="hybridMultilevel"/>
    <w:lvl w:ilvl="0">
      <w:lvlJc w:val="left"/>
      <w:lvlText w:val="%1."/>
      <w:numFmt w:val="decimal"/>
      <w:start w:val="3"/>
    </w:lvl>
  </w:abstractNum>
  <w:abstractNum w:abstractNumId="315">
    <w:nsid w:val="2421DFCF"/>
    <w:multiLevelType w:val="hybridMultilevel"/>
    <w:lvl w:ilvl="0">
      <w:lvlJc w:val="left"/>
      <w:lvlText w:val="%1."/>
      <w:numFmt w:val="decimal"/>
      <w:start w:val="4"/>
    </w:lvl>
  </w:abstractNum>
  <w:abstractNum w:abstractNumId="316">
    <w:nsid w:val="1565AC99"/>
    <w:multiLevelType w:val="hybridMultilevel"/>
    <w:lvl w:ilvl="0">
      <w:lvlJc w:val="left"/>
      <w:lvlText w:val="%1."/>
      <w:numFmt w:val="decimal"/>
      <w:start w:val="6"/>
    </w:lvl>
  </w:abstractNum>
  <w:abstractNum w:abstractNumId="317">
    <w:nsid w:val="19FB2650"/>
    <w:multiLevelType w:val="hybridMultilevel"/>
    <w:lvl w:ilvl="0">
      <w:lvlJc w:val="left"/>
      <w:lvlText w:val="(%1)"/>
      <w:numFmt w:val="lowerRoman"/>
      <w:start w:val="3"/>
    </w:lvl>
  </w:abstractNum>
  <w:abstractNum w:abstractNumId="318">
    <w:nsid w:val="5024DE5B"/>
    <w:multiLevelType w:val="hybridMultilevel"/>
    <w:lvl w:ilvl="0">
      <w:lvlJc w:val="left"/>
      <w:lvlText w:val="%1."/>
      <w:numFmt w:val="decimal"/>
      <w:start w:val="11"/>
    </w:lvl>
  </w:abstractNum>
  <w:abstractNum w:abstractNumId="319">
    <w:nsid w:val="168EFE17"/>
    <w:multiLevelType w:val="hybridMultilevel"/>
    <w:lvl w:ilvl="0">
      <w:lvlJc w:val="left"/>
      <w:lvlText w:val="%1."/>
      <w:numFmt w:val="decimal"/>
      <w:start w:val="1"/>
    </w:lvl>
    <w:lvl w:ilvl="1">
      <w:lvlJc w:val="left"/>
      <w:lvlText w:val="(%2)"/>
      <w:numFmt w:val="lowerLetter"/>
      <w:start w:val="1"/>
    </w:lvl>
  </w:abstractNum>
  <w:abstractNum w:abstractNumId="320">
    <w:nsid w:val="1036B29F"/>
    <w:multiLevelType w:val="hybridMultilevel"/>
    <w:lvl w:ilvl="0">
      <w:lvlJc w:val="left"/>
      <w:lvlText w:val="(%1)"/>
      <w:numFmt w:val="lowerLetter"/>
      <w:start w:val="5"/>
    </w:lvl>
  </w:abstractNum>
  <w:abstractNum w:abstractNumId="321">
    <w:nsid w:val="1D206B8E"/>
    <w:multiLevelType w:val="hybridMultilevel"/>
    <w:lvl w:ilvl="0">
      <w:lvlJc w:val="left"/>
      <w:lvlText w:val="%1."/>
      <w:numFmt w:val="decimal"/>
      <w:start w:val="2"/>
    </w:lvl>
    <w:lvl w:ilvl="1">
      <w:lvlJc w:val="left"/>
      <w:lvlText w:val="(%2)"/>
      <w:numFmt w:val="lowerLetter"/>
      <w:start w:val="1"/>
    </w:lvl>
  </w:abstractNum>
  <w:abstractNum w:abstractNumId="322">
    <w:nsid w:val="7934D3D4"/>
    <w:multiLevelType w:val="hybridMultilevel"/>
    <w:lvl w:ilvl="0">
      <w:lvlJc w:val="left"/>
      <w:lvlText w:val="%1."/>
      <w:numFmt w:val="decimal"/>
      <w:start w:val="3"/>
    </w:lvl>
    <w:lvl w:ilvl="1">
      <w:lvlJc w:val="left"/>
      <w:lvlText w:val="(%2)"/>
      <w:numFmt w:val="lowerLetter"/>
      <w:start w:val="1"/>
    </w:lvl>
  </w:abstractNum>
  <w:abstractNum w:abstractNumId="323">
    <w:nsid w:val="1C65E98"/>
    <w:multiLevelType w:val="hybridMultilevel"/>
    <w:lvl w:ilvl="0">
      <w:lvlJc w:val="left"/>
      <w:lvlText w:val="(%1)"/>
      <w:numFmt w:val="lowerRoman"/>
      <w:start w:val="1"/>
    </w:lvl>
  </w:abstractNum>
  <w:abstractNum w:abstractNumId="324">
    <w:nsid w:val="1495E50A"/>
    <w:multiLevelType w:val="hybridMultilevel"/>
    <w:lvl w:ilvl="0">
      <w:lvlJc w:val="left"/>
      <w:lvlText w:val="%1"/>
      <w:numFmt w:val="lowerLetter"/>
      <w:start w:val="1"/>
    </w:lvl>
    <w:lvl w:ilvl="1">
      <w:lvlJc w:val="left"/>
      <w:lvlText w:val="(%2)"/>
      <w:numFmt w:val="lowerRoman"/>
      <w:start w:val="3"/>
    </w:lvl>
  </w:abstractNum>
  <w:abstractNum w:abstractNumId="325">
    <w:nsid w:val="F5BCF61"/>
    <w:multiLevelType w:val="hybridMultilevel"/>
    <w:lvl w:ilvl="0">
      <w:lvlJc w:val="left"/>
      <w:lvlText w:val="(%1)"/>
      <w:numFmt w:val="lowerLetter"/>
      <w:start w:val="2"/>
    </w:lvl>
    <w:lvl w:ilvl="1">
      <w:lvlJc w:val="left"/>
      <w:lvlText w:val="(%2)"/>
      <w:numFmt w:val="lowerLetter"/>
      <w:start w:val="9"/>
    </w:lvl>
  </w:abstractNum>
  <w:abstractNum w:abstractNumId="326">
    <w:nsid w:val="3B1DD403"/>
    <w:multiLevelType w:val="hybridMultilevel"/>
    <w:lvl w:ilvl="0">
      <w:lvlJc w:val="left"/>
      <w:lvlText w:val="%1"/>
      <w:numFmt w:val="lowerLetter"/>
      <w:start w:val="1"/>
    </w:lvl>
    <w:lvl w:ilvl="1">
      <w:lvlJc w:val="left"/>
      <w:lvlText w:val="(%2)"/>
      <w:numFmt w:val="lowerRoman"/>
      <w:start w:val="2"/>
    </w:lvl>
  </w:abstractNum>
  <w:abstractNum w:abstractNumId="327">
    <w:nsid w:val="530386D1"/>
    <w:multiLevelType w:val="hybridMultilevel"/>
    <w:lvl w:ilvl="0">
      <w:lvlJc w:val="left"/>
      <w:lvlText w:val="(%1)"/>
      <w:numFmt w:val="lowerLetter"/>
      <w:start w:val="6"/>
    </w:lvl>
    <w:lvl w:ilvl="1">
      <w:lvlJc w:val="left"/>
      <w:lvlText w:val="(%2)"/>
      <w:numFmt w:val="lowerRoman"/>
      <w:start w:val="1"/>
    </w:lvl>
  </w:abstractNum>
  <w:abstractNum w:abstractNumId="328">
    <w:nsid w:val="7525F2BC"/>
    <w:multiLevelType w:val="hybridMultilevel"/>
    <w:lvl w:ilvl="0">
      <w:lvlJc w:val="left"/>
      <w:lvlText w:val="%1"/>
      <w:numFmt w:val="lowerLetter"/>
      <w:start w:val="1"/>
    </w:lvl>
    <w:lvl w:ilvl="1">
      <w:lvlJc w:val="left"/>
      <w:lvlText w:val="(%2)"/>
      <w:numFmt w:val="lowerRoman"/>
      <w:start w:val="2"/>
    </w:lvl>
  </w:abstractNum>
  <w:abstractNum w:abstractNumId="329">
    <w:nsid w:val="CE8E1A7"/>
    <w:multiLevelType w:val="hybridMultilevel"/>
    <w:lvl w:ilvl="0">
      <w:lvlJc w:val="left"/>
      <w:lvlText w:val="(%1)"/>
      <w:numFmt w:val="lowerLetter"/>
      <w:start w:val="7"/>
    </w:lvl>
    <w:lvl w:ilvl="1">
      <w:lvlJc w:val="left"/>
      <w:lvlText w:val="%2"/>
      <w:numFmt w:val="lowerRoman"/>
      <w:start w:val="1"/>
    </w:lvl>
  </w:abstractNum>
  <w:abstractNum w:abstractNumId="330">
    <w:nsid w:val="4E9EFB0D"/>
    <w:multiLevelType w:val="hybridMultilevel"/>
    <w:lvl w:ilvl="0">
      <w:lvlJc w:val="left"/>
      <w:lvlText w:val="%1."/>
      <w:numFmt w:val="decimal"/>
      <w:start w:val="5"/>
    </w:lvl>
    <w:lvl w:ilvl="1">
      <w:lvlJc w:val="left"/>
      <w:lvlText w:val="(%2)"/>
      <w:numFmt w:val="lowerLetter"/>
      <w:start w:val="1"/>
    </w:lvl>
  </w:abstractNum>
  <w:abstractNum w:abstractNumId="331">
    <w:nsid w:val="90802BE"/>
    <w:multiLevelType w:val="hybridMultilevel"/>
    <w:lvl w:ilvl="0">
      <w:lvlJc w:val="left"/>
      <w:lvlText w:val="%1"/>
      <w:numFmt w:val="decimal"/>
      <w:start w:val="1"/>
    </w:lvl>
    <w:lvl w:ilvl="1">
      <w:lvlJc w:val="left"/>
      <w:lvlText w:val="(%2)"/>
      <w:numFmt w:val="lowerLetter"/>
      <w:start w:val="3"/>
    </w:lvl>
  </w:abstractNum>
  <w:abstractNum w:abstractNumId="332">
    <w:nsid w:val="3266459B"/>
    <w:multiLevelType w:val="hybridMultilevel"/>
    <w:lvl w:ilvl="0">
      <w:lvlJc w:val="left"/>
      <w:lvlText w:val="%1."/>
      <w:numFmt w:val="decimal"/>
      <w:start w:val="9"/>
    </w:lvl>
    <w:lvl w:ilvl="1">
      <w:lvlJc w:val="left"/>
      <w:lvlText w:val="(%2)"/>
      <w:numFmt w:val="lowerLetter"/>
      <w:start w:val="1"/>
    </w:lvl>
  </w:abstractNum>
  <w:abstractNum w:abstractNumId="333">
    <w:nsid w:val="3F8B0CBF"/>
    <w:multiLevelType w:val="hybridMultilevel"/>
    <w:lvl w:ilvl="0">
      <w:lvlJc w:val="left"/>
      <w:lvlText w:val="(%1)"/>
      <w:numFmt w:val="lowerLetter"/>
      <w:start w:val="3"/>
    </w:lvl>
  </w:abstractNum>
  <w:abstractNum w:abstractNumId="334">
    <w:nsid w:val="37E203AB"/>
    <w:multiLevelType w:val="hybridMultilevel"/>
    <w:lvl w:ilvl="0">
      <w:lvlJc w:val="left"/>
      <w:lvlText w:val="(%1)"/>
      <w:numFmt w:val="lowerRoman"/>
      <w:start w:val="1"/>
    </w:lvl>
  </w:abstractNum>
  <w:abstractNum w:abstractNumId="335">
    <w:nsid w:val="2586D60E"/>
    <w:multiLevelType w:val="hybridMultilevel"/>
    <w:lvl w:ilvl="0">
      <w:lvlJc w:val="left"/>
      <w:lvlText w:val="%1"/>
      <w:numFmt w:val="decimal"/>
      <w:start w:val="1"/>
    </w:lvl>
    <w:lvl w:ilvl="1">
      <w:lvlJc w:val="left"/>
      <w:lvlText w:val="(%2)"/>
      <w:numFmt w:val="lowerLetter"/>
      <w:start w:val="6"/>
    </w:lvl>
  </w:abstractNum>
  <w:abstractNum w:abstractNumId="336">
    <w:nsid w:val="1F3DA4D5"/>
    <w:multiLevelType w:val="hybridMultilevel"/>
    <w:lvl w:ilvl="0">
      <w:lvlJc w:val="left"/>
      <w:lvlText w:val="%1."/>
      <w:numFmt w:val="decimal"/>
      <w:start w:val="11"/>
    </w:lvl>
    <w:lvl w:ilvl="1">
      <w:lvlJc w:val="left"/>
      <w:lvlText w:val="%2"/>
      <w:numFmt w:val="lowerLetter"/>
      <w:start w:val="1"/>
    </w:lvl>
  </w:abstractNum>
  <w:abstractNum w:abstractNumId="337">
    <w:nsid w:val="74C93698"/>
    <w:multiLevelType w:val="hybridMultilevel"/>
    <w:lvl w:ilvl="0">
      <w:lvlJc w:val="left"/>
      <w:lvlText w:val="%1."/>
      <w:numFmt w:val="decimal"/>
      <w:start w:val="1"/>
    </w:lvl>
    <w:lvl w:ilvl="1">
      <w:lvlJc w:val="left"/>
      <w:lvlText w:val="%2."/>
      <w:numFmt w:val="lowerRoman"/>
      <w:start w:val="1"/>
    </w:lvl>
  </w:abstractNum>
  <w:abstractNum w:abstractNumId="338">
    <w:nsid w:val="48781401"/>
    <w:multiLevelType w:val="hybridMultilevel"/>
    <w:lvl w:ilvl="0">
      <w:lvlJc w:val="left"/>
      <w:lvlText w:val="%1."/>
      <w:numFmt w:val="decimal"/>
      <w:start w:val="5"/>
    </w:lvl>
  </w:abstractNum>
  <w:abstractNum w:abstractNumId="339">
    <w:nsid w:val="186928D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jpe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2024-08-23T09:06:16Z</dcterms:created>
  <dcterms:modified xsi:type="dcterms:W3CDTF">2024-08-23T09:06:16Z</dcterms:modified>
</cp:coreProperties>
</file>