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MOULDER LEON O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60"/>
        <w:spacing w:after="0" w:line="336" w:lineRule="auto"/>
        <w:rPr>
          <w:sz w:val="20"/>
          <w:szCs w:val="20"/>
          <w:color w:val="auto"/>
        </w:rPr>
      </w:pPr>
      <w:r>
        <w:rPr>
          <w:rFonts w:ascii="Times New Roman" w:cs="Times New Roman" w:eastAsia="Times New Roman" w:hAnsi="Times New Roman"/>
          <w:sz w:val="17"/>
          <w:szCs w:val="17"/>
          <w:color w:val="0000FF"/>
        </w:rPr>
        <w:t>C/O ZENAS BIOPHARMA, INC. 852 WINTER STREET, SUITE 250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Zenas BioPharma,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58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5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03/30/2026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18.23</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1,692,039</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03/31/2026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34,000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19.31</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1,726,039</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36,928</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423,155</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ranging from $18.195 to $18.25, inclusive. The Reporting Person undertakes to provide the Issuer, any security holder of the Issuer or the staff of the Securities and Exchange Commission, upon request, full information regarding the number of shares purchased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Leon O. Moulder, Jr. is the Managing Member of Tellus BioVentures LLC ("Tellus") and may be deemed to have sole voting and dispositive power over the shares held by Tellus. Mr. Moulder is the Issuer's chief executive officer and Chairman of its board of directors. Mr. Moulder disclaims beneficial ownership of such securities except to the extent of his pecuniary interest therein.</w:t>
      </w:r>
    </w:p>
    <w:p>
      <w:pPr>
        <w:spacing w:after="0" w:line="7" w:lineRule="exact"/>
        <w:rPr>
          <w:rFonts w:ascii="Times New Roman" w:cs="Times New Roman" w:eastAsia="Times New Roman" w:hAnsi="Times New Roman"/>
          <w:sz w:val="13"/>
          <w:szCs w:val="13"/>
          <w:color w:val="008000"/>
        </w:rPr>
      </w:pPr>
    </w:p>
    <w:p>
      <w:pPr>
        <w:jc w:val="both"/>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ranging from $18.84 to $19.58, inclusive. The Reporting Person undertakes to provide the Issuer, any security holder of the Issuer or the staff of the Securities and Exchange Commission, upon request, full information regarding the number of shares purchased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Trustee of the Leon O. Moulder, Jr. Revocable Trust U/A dtd 9/9/2008 (the "Trust") and may be deemed to have voting and dispositive power over the shares held by the Trust. The reporting person is the Issuer's chief executive officer and Chairman of its board of directors. The reporting person disclaims beneficial ownership of such securities except to the extent of his pecuniary interest therein.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Chase Jayasekera,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03/31/2026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865" TargetMode="External"/><Relationship Id="rId14" Type="http://schemas.openxmlformats.org/officeDocument/2006/relationships/hyperlink" Target="http://www.sec.gov/cgi-bin/browse-edgar?action=getcompany&amp;CIK=00019539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2026-03-31T19:17:31Z</dcterms:created>
  <dcterms:modified xsi:type="dcterms:W3CDTF">2026-03-31T19:17:31Z</dcterms:modified>
</cp:coreProperties>
</file>